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88ED7F">
      <w:pPr>
        <w:keepNext w:val="0"/>
        <w:keepLines w:val="0"/>
        <w:pageBreakBefore w:val="0"/>
        <w:widowControl w:val="0"/>
        <w:kinsoku/>
        <w:wordWrap/>
        <w:overflowPunct/>
        <w:topLinePunct w:val="0"/>
        <w:autoSpaceDE/>
        <w:autoSpaceDN/>
        <w:bidi w:val="0"/>
        <w:ind w:firstLine="0" w:firstLineChars="0"/>
        <w:jc w:val="left"/>
        <w:textAlignment w:val="auto"/>
        <w:rPr>
          <w:rFonts w:hint="eastAsia" w:eastAsia="仿宋_GB2312"/>
          <w:color w:val="auto"/>
          <w:sz w:val="36"/>
          <w:szCs w:val="36"/>
          <w:highlight w:val="none"/>
          <w:lang w:val="en-US" w:eastAsia="zh-CN"/>
        </w:rPr>
      </w:pPr>
    </w:p>
    <w:p w14:paraId="4042E111">
      <w:pPr>
        <w:keepNext w:val="0"/>
        <w:keepLines w:val="0"/>
        <w:pageBreakBefore w:val="0"/>
        <w:widowControl w:val="0"/>
        <w:kinsoku/>
        <w:wordWrap/>
        <w:overflowPunct/>
        <w:topLinePunct w:val="0"/>
        <w:autoSpaceDE/>
        <w:autoSpaceDN/>
        <w:bidi w:val="0"/>
        <w:ind w:left="0" w:leftChars="0" w:firstLine="0" w:firstLineChars="0"/>
        <w:textAlignment w:val="auto"/>
        <w:rPr>
          <w:rFonts w:eastAsia="仿宋_GB2312"/>
          <w:color w:val="auto"/>
          <w:sz w:val="36"/>
          <w:szCs w:val="36"/>
          <w:highlight w:val="none"/>
        </w:rPr>
      </w:pPr>
    </w:p>
    <w:p w14:paraId="5FB2DF7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ascii="宋体" w:hAnsi="宋体"/>
          <w:bCs/>
          <w:color w:val="auto"/>
          <w:sz w:val="72"/>
          <w:szCs w:val="72"/>
          <w:highlight w:val="none"/>
        </w:rPr>
      </w:pPr>
      <w:r>
        <w:rPr>
          <w:rFonts w:ascii="宋体" w:hAnsi="宋体"/>
          <w:bCs/>
          <w:color w:val="auto"/>
          <w:sz w:val="72"/>
          <w:szCs w:val="72"/>
          <w:highlight w:val="none"/>
        </w:rPr>
        <w:t>建设项目环境影响报告表</w:t>
      </w:r>
    </w:p>
    <w:p w14:paraId="0A23C22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Cs/>
          <w:color w:val="auto"/>
          <w:sz w:val="48"/>
          <w:szCs w:val="48"/>
          <w:highlight w:val="none"/>
        </w:rPr>
      </w:pPr>
      <w:r>
        <w:rPr>
          <w:bCs/>
          <w:color w:val="auto"/>
          <w:sz w:val="48"/>
          <w:szCs w:val="48"/>
          <w:highlight w:val="none"/>
        </w:rPr>
        <w:t>（</w:t>
      </w:r>
      <w:r>
        <w:rPr>
          <w:rFonts w:hint="eastAsia"/>
          <w:bCs/>
          <w:color w:val="auto"/>
          <w:sz w:val="48"/>
          <w:szCs w:val="48"/>
          <w:highlight w:val="none"/>
        </w:rPr>
        <w:t>生态</w:t>
      </w:r>
      <w:r>
        <w:rPr>
          <w:bCs/>
          <w:color w:val="auto"/>
          <w:sz w:val="48"/>
          <w:szCs w:val="48"/>
          <w:highlight w:val="none"/>
        </w:rPr>
        <w:t>影响类）</w:t>
      </w:r>
    </w:p>
    <w:p w14:paraId="64944F3C">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仿宋" w:hAnsi="仿宋" w:eastAsia="仿宋" w:cs="仿宋"/>
          <w:bCs/>
          <w:color w:val="auto"/>
          <w:sz w:val="40"/>
          <w:szCs w:val="40"/>
          <w:highlight w:val="none"/>
          <w:lang w:eastAsia="zh-CN"/>
        </w:rPr>
      </w:pPr>
      <w:r>
        <w:rPr>
          <w:rFonts w:hint="eastAsia" w:ascii="仿宋" w:hAnsi="仿宋" w:eastAsia="仿宋" w:cs="仿宋"/>
          <w:bCs/>
          <w:color w:val="auto"/>
          <w:sz w:val="40"/>
          <w:szCs w:val="40"/>
          <w:highlight w:val="none"/>
          <w:lang w:eastAsia="zh-CN"/>
        </w:rPr>
        <w:t>（</w:t>
      </w:r>
      <w:r>
        <w:rPr>
          <w:rFonts w:hint="eastAsia" w:ascii="仿宋" w:hAnsi="仿宋" w:eastAsia="仿宋" w:cs="仿宋"/>
          <w:bCs/>
          <w:color w:val="auto"/>
          <w:sz w:val="40"/>
          <w:szCs w:val="40"/>
          <w:highlight w:val="none"/>
          <w:lang w:val="en-US" w:eastAsia="zh-CN"/>
        </w:rPr>
        <w:t>送审版</w:t>
      </w:r>
      <w:r>
        <w:rPr>
          <w:rFonts w:hint="eastAsia" w:ascii="仿宋" w:hAnsi="仿宋" w:eastAsia="仿宋" w:cs="仿宋"/>
          <w:bCs/>
          <w:color w:val="auto"/>
          <w:sz w:val="40"/>
          <w:szCs w:val="40"/>
          <w:highlight w:val="none"/>
          <w:lang w:eastAsia="zh-CN"/>
        </w:rPr>
        <w:t>）</w:t>
      </w:r>
    </w:p>
    <w:p w14:paraId="3A63B22F">
      <w:pPr>
        <w:keepNext w:val="0"/>
        <w:keepLines w:val="0"/>
        <w:pageBreakBefore w:val="0"/>
        <w:widowControl w:val="0"/>
        <w:kinsoku/>
        <w:wordWrap/>
        <w:overflowPunct/>
        <w:topLinePunct w:val="0"/>
        <w:autoSpaceDE/>
        <w:autoSpaceDN/>
        <w:bidi w:val="0"/>
        <w:ind w:firstLine="0" w:firstLineChars="0"/>
        <w:textAlignment w:val="auto"/>
        <w:rPr>
          <w:bCs/>
          <w:color w:val="auto"/>
          <w:sz w:val="48"/>
          <w:szCs w:val="48"/>
          <w:highlight w:val="none"/>
        </w:rPr>
      </w:pPr>
    </w:p>
    <w:p w14:paraId="7CA8A1D5">
      <w:pPr>
        <w:keepNext w:val="0"/>
        <w:keepLines w:val="0"/>
        <w:pageBreakBefore w:val="0"/>
        <w:widowControl w:val="0"/>
        <w:kinsoku/>
        <w:wordWrap/>
        <w:overflowPunct/>
        <w:topLinePunct w:val="0"/>
        <w:autoSpaceDE/>
        <w:autoSpaceDN/>
        <w:bidi w:val="0"/>
        <w:ind w:firstLine="0" w:firstLineChars="0"/>
        <w:textAlignment w:val="auto"/>
        <w:rPr>
          <w:rFonts w:hint="eastAsia"/>
          <w:color w:val="auto"/>
          <w:sz w:val="44"/>
          <w:szCs w:val="44"/>
          <w:highlight w:val="none"/>
        </w:rPr>
      </w:pPr>
    </w:p>
    <w:p w14:paraId="18E29865">
      <w:pPr>
        <w:keepNext w:val="0"/>
        <w:keepLines w:val="0"/>
        <w:pageBreakBefore w:val="0"/>
        <w:widowControl w:val="0"/>
        <w:kinsoku/>
        <w:wordWrap/>
        <w:overflowPunct/>
        <w:topLinePunct w:val="0"/>
        <w:autoSpaceDE/>
        <w:autoSpaceDN/>
        <w:bidi w:val="0"/>
        <w:ind w:firstLine="0" w:firstLineChars="0"/>
        <w:textAlignment w:val="auto"/>
        <w:rPr>
          <w:rFonts w:hint="eastAsia"/>
          <w:color w:val="auto"/>
          <w:sz w:val="44"/>
          <w:szCs w:val="44"/>
          <w:highlight w:val="none"/>
        </w:rPr>
      </w:pPr>
    </w:p>
    <w:p w14:paraId="55F41AD6">
      <w:pPr>
        <w:keepNext w:val="0"/>
        <w:keepLines w:val="0"/>
        <w:pageBreakBefore w:val="0"/>
        <w:widowControl w:val="0"/>
        <w:kinsoku/>
        <w:wordWrap/>
        <w:overflowPunct/>
        <w:topLinePunct w:val="0"/>
        <w:autoSpaceDE/>
        <w:autoSpaceDN/>
        <w:bidi w:val="0"/>
        <w:ind w:firstLine="0" w:firstLineChars="0"/>
        <w:textAlignment w:val="auto"/>
        <w:rPr>
          <w:color w:val="auto"/>
          <w:sz w:val="44"/>
          <w:szCs w:val="44"/>
          <w:highlight w:val="none"/>
        </w:rPr>
      </w:pPr>
    </w:p>
    <w:tbl>
      <w:tblPr>
        <w:tblStyle w:val="11"/>
        <w:tblW w:w="5000" w:type="pct"/>
        <w:tblInd w:w="0" w:type="dxa"/>
        <w:tblLayout w:type="autofit"/>
        <w:tblCellMar>
          <w:top w:w="0" w:type="dxa"/>
          <w:left w:w="108" w:type="dxa"/>
          <w:bottom w:w="0" w:type="dxa"/>
          <w:right w:w="108" w:type="dxa"/>
        </w:tblCellMar>
      </w:tblPr>
      <w:tblGrid>
        <w:gridCol w:w="2145"/>
        <w:gridCol w:w="1223"/>
        <w:gridCol w:w="6588"/>
      </w:tblGrid>
      <w:tr w14:paraId="2A4FE17E">
        <w:tblPrEx>
          <w:tblCellMar>
            <w:top w:w="0" w:type="dxa"/>
            <w:left w:w="108" w:type="dxa"/>
            <w:bottom w:w="0" w:type="dxa"/>
            <w:right w:w="108" w:type="dxa"/>
          </w:tblCellMar>
        </w:tblPrEx>
        <w:tc>
          <w:tcPr>
            <w:tcW w:w="1077" w:type="pct"/>
            <w:noWrap w:val="0"/>
            <w:vAlign w:val="top"/>
          </w:tcPr>
          <w:p w14:paraId="248D3EE8">
            <w:pPr>
              <w:keepNext w:val="0"/>
              <w:keepLines w:val="0"/>
              <w:pageBreakBefore w:val="0"/>
              <w:widowControl w:val="0"/>
              <w:kinsoku/>
              <w:wordWrap/>
              <w:overflowPunct/>
              <w:topLinePunct w:val="0"/>
              <w:autoSpaceDE/>
              <w:autoSpaceDN/>
              <w:bidi w:val="0"/>
              <w:spacing w:line="360" w:lineRule="auto"/>
              <w:ind w:firstLine="0" w:firstLineChars="0"/>
              <w:textAlignment w:val="auto"/>
              <w:rPr>
                <w:color w:val="auto"/>
                <w:sz w:val="36"/>
                <w:szCs w:val="36"/>
                <w:highlight w:val="none"/>
              </w:rPr>
            </w:pPr>
            <w:r>
              <w:rPr>
                <w:rFonts w:hint="eastAsia"/>
                <w:color w:val="auto"/>
                <w:sz w:val="36"/>
                <w:szCs w:val="36"/>
                <w:highlight w:val="none"/>
              </w:rPr>
              <w:t>项目名称：</w:t>
            </w:r>
          </w:p>
        </w:tc>
        <w:tc>
          <w:tcPr>
            <w:tcW w:w="3922" w:type="pct"/>
            <w:gridSpan w:val="2"/>
            <w:noWrap w:val="0"/>
            <w:vAlign w:val="top"/>
          </w:tcPr>
          <w:p w14:paraId="4416B175">
            <w:pPr>
              <w:keepNext w:val="0"/>
              <w:keepLines w:val="0"/>
              <w:pageBreakBefore w:val="0"/>
              <w:widowControl w:val="0"/>
              <w:kinsoku/>
              <w:wordWrap/>
              <w:overflowPunct/>
              <w:topLinePunct w:val="0"/>
              <w:autoSpaceDE/>
              <w:autoSpaceDN/>
              <w:bidi w:val="0"/>
              <w:spacing w:line="360" w:lineRule="auto"/>
              <w:ind w:firstLine="0" w:firstLineChars="0"/>
              <w:textAlignment w:val="auto"/>
              <w:rPr>
                <w:color w:val="auto"/>
                <w:sz w:val="36"/>
                <w:szCs w:val="36"/>
                <w:highlight w:val="none"/>
                <w:u w:val="single"/>
              </w:rPr>
            </w:pPr>
            <w:r>
              <w:rPr>
                <w:rFonts w:hint="eastAsia"/>
                <w:color w:val="auto"/>
                <w:sz w:val="36"/>
                <w:szCs w:val="36"/>
                <w:highlight w:val="none"/>
                <w:u w:val="single"/>
                <w:lang w:eastAsia="zh-CN"/>
              </w:rPr>
              <w:t>四川省大竹县柳城河石河镇二郎、福兴防洪治理工程、四川省大竹县柳城河石河镇防洪治理工程、四川省大竹县东柳河清河镇防洪治理工程和东柳河杨家镇防洪治理工程</w:t>
            </w:r>
            <w:r>
              <w:rPr>
                <w:rFonts w:hint="eastAsia"/>
                <w:color w:val="auto"/>
                <w:sz w:val="36"/>
                <w:szCs w:val="36"/>
                <w:highlight w:val="none"/>
                <w:u w:val="single"/>
              </w:rPr>
              <w:t xml:space="preserve"> </w:t>
            </w:r>
            <w:r>
              <w:rPr>
                <w:color w:val="auto"/>
                <w:sz w:val="36"/>
                <w:szCs w:val="36"/>
                <w:highlight w:val="none"/>
                <w:u w:val="single"/>
              </w:rPr>
              <w:t xml:space="preserve">  </w:t>
            </w:r>
            <w:r>
              <w:rPr>
                <w:rFonts w:hint="eastAsia"/>
                <w:color w:val="auto"/>
                <w:sz w:val="36"/>
                <w:szCs w:val="36"/>
                <w:highlight w:val="none"/>
                <w:u w:val="single"/>
                <w:lang w:val="en-US" w:eastAsia="zh-CN"/>
              </w:rPr>
              <w:t xml:space="preserve">                       </w:t>
            </w:r>
            <w:r>
              <w:rPr>
                <w:color w:val="auto"/>
                <w:sz w:val="36"/>
                <w:szCs w:val="36"/>
                <w:highlight w:val="none"/>
                <w:u w:val="single"/>
              </w:rPr>
              <w:t xml:space="preserve"> </w:t>
            </w:r>
            <w:r>
              <w:rPr>
                <w:rFonts w:hint="eastAsia"/>
                <w:color w:val="auto"/>
                <w:sz w:val="36"/>
                <w:szCs w:val="36"/>
                <w:highlight w:val="none"/>
                <w:u w:val="single"/>
              </w:rPr>
              <w:t xml:space="preserve"> </w:t>
            </w:r>
            <w:r>
              <w:rPr>
                <w:color w:val="auto"/>
                <w:sz w:val="36"/>
                <w:szCs w:val="36"/>
                <w:highlight w:val="none"/>
                <w:u w:val="single"/>
              </w:rPr>
              <w:t xml:space="preserve">          </w:t>
            </w:r>
          </w:p>
        </w:tc>
      </w:tr>
      <w:tr w14:paraId="6C931D83">
        <w:tblPrEx>
          <w:tblCellMar>
            <w:top w:w="0" w:type="dxa"/>
            <w:left w:w="108" w:type="dxa"/>
            <w:bottom w:w="0" w:type="dxa"/>
            <w:right w:w="108" w:type="dxa"/>
          </w:tblCellMar>
        </w:tblPrEx>
        <w:trPr>
          <w:trHeight w:val="69" w:hRule="atLeast"/>
        </w:trPr>
        <w:tc>
          <w:tcPr>
            <w:tcW w:w="1691" w:type="pct"/>
            <w:gridSpan w:val="2"/>
            <w:noWrap w:val="0"/>
            <w:vAlign w:val="top"/>
          </w:tcPr>
          <w:p w14:paraId="1E120CFF">
            <w:pPr>
              <w:keepNext w:val="0"/>
              <w:keepLines w:val="0"/>
              <w:pageBreakBefore w:val="0"/>
              <w:widowControl w:val="0"/>
              <w:kinsoku/>
              <w:wordWrap/>
              <w:overflowPunct/>
              <w:topLinePunct w:val="0"/>
              <w:autoSpaceDE/>
              <w:autoSpaceDN/>
              <w:bidi w:val="0"/>
              <w:spacing w:line="360" w:lineRule="auto"/>
              <w:ind w:firstLine="0" w:firstLineChars="0"/>
              <w:textAlignment w:val="auto"/>
              <w:rPr>
                <w:color w:val="auto"/>
                <w:sz w:val="36"/>
                <w:szCs w:val="36"/>
                <w:highlight w:val="none"/>
              </w:rPr>
            </w:pPr>
            <w:r>
              <w:rPr>
                <w:rFonts w:hint="eastAsia"/>
                <w:color w:val="auto"/>
                <w:sz w:val="36"/>
                <w:szCs w:val="36"/>
                <w:highlight w:val="none"/>
              </w:rPr>
              <w:t>建设单位（盖章）：</w:t>
            </w:r>
          </w:p>
        </w:tc>
        <w:tc>
          <w:tcPr>
            <w:tcW w:w="3308" w:type="pct"/>
            <w:noWrap w:val="0"/>
            <w:vAlign w:val="top"/>
          </w:tcPr>
          <w:p w14:paraId="4DCBA353">
            <w:pPr>
              <w:keepNext w:val="0"/>
              <w:keepLines w:val="0"/>
              <w:pageBreakBefore w:val="0"/>
              <w:widowControl w:val="0"/>
              <w:kinsoku/>
              <w:wordWrap/>
              <w:overflowPunct/>
              <w:topLinePunct w:val="0"/>
              <w:autoSpaceDE/>
              <w:autoSpaceDN/>
              <w:bidi w:val="0"/>
              <w:spacing w:line="360" w:lineRule="auto"/>
              <w:ind w:firstLine="0" w:firstLineChars="0"/>
              <w:textAlignment w:val="auto"/>
              <w:rPr>
                <w:color w:val="auto"/>
                <w:sz w:val="36"/>
                <w:szCs w:val="36"/>
                <w:highlight w:val="none"/>
                <w:u w:val="single"/>
              </w:rPr>
            </w:pPr>
            <w:r>
              <w:rPr>
                <w:rFonts w:hint="eastAsia"/>
                <w:color w:val="auto"/>
                <w:sz w:val="36"/>
                <w:szCs w:val="36"/>
                <w:highlight w:val="none"/>
                <w:u w:val="single"/>
                <w:lang w:eastAsia="zh-CN"/>
              </w:rPr>
              <w:t>大竹县河长制工作管理中心</w:t>
            </w:r>
            <w:r>
              <w:rPr>
                <w:rFonts w:hint="eastAsia"/>
                <w:color w:val="auto"/>
                <w:sz w:val="36"/>
                <w:szCs w:val="36"/>
                <w:highlight w:val="none"/>
                <w:u w:val="single"/>
              </w:rPr>
              <w:t xml:space="preserve"> </w:t>
            </w:r>
            <w:r>
              <w:rPr>
                <w:rFonts w:hint="eastAsia"/>
                <w:color w:val="auto"/>
                <w:sz w:val="36"/>
                <w:szCs w:val="36"/>
                <w:highlight w:val="none"/>
                <w:u w:val="single"/>
                <w:lang w:val="en-US" w:eastAsia="zh-CN"/>
              </w:rPr>
              <w:t xml:space="preserve">                </w:t>
            </w:r>
            <w:r>
              <w:rPr>
                <w:color w:val="auto"/>
                <w:sz w:val="36"/>
                <w:szCs w:val="36"/>
                <w:highlight w:val="none"/>
                <w:u w:val="single"/>
              </w:rPr>
              <w:t xml:space="preserve">     </w:t>
            </w:r>
          </w:p>
        </w:tc>
      </w:tr>
      <w:tr w14:paraId="6F8EDE5E">
        <w:tblPrEx>
          <w:tblCellMar>
            <w:top w:w="0" w:type="dxa"/>
            <w:left w:w="108" w:type="dxa"/>
            <w:bottom w:w="0" w:type="dxa"/>
            <w:right w:w="108" w:type="dxa"/>
          </w:tblCellMar>
        </w:tblPrEx>
        <w:tc>
          <w:tcPr>
            <w:tcW w:w="1077" w:type="pct"/>
            <w:noWrap w:val="0"/>
            <w:vAlign w:val="top"/>
          </w:tcPr>
          <w:p w14:paraId="67EEDA69">
            <w:pPr>
              <w:keepNext w:val="0"/>
              <w:keepLines w:val="0"/>
              <w:pageBreakBefore w:val="0"/>
              <w:widowControl w:val="0"/>
              <w:kinsoku/>
              <w:wordWrap/>
              <w:overflowPunct/>
              <w:topLinePunct w:val="0"/>
              <w:autoSpaceDE/>
              <w:autoSpaceDN/>
              <w:bidi w:val="0"/>
              <w:spacing w:line="360" w:lineRule="auto"/>
              <w:ind w:firstLine="0" w:firstLineChars="0"/>
              <w:textAlignment w:val="auto"/>
              <w:rPr>
                <w:color w:val="auto"/>
                <w:sz w:val="36"/>
                <w:szCs w:val="36"/>
                <w:highlight w:val="none"/>
              </w:rPr>
            </w:pPr>
            <w:r>
              <w:rPr>
                <w:rFonts w:hint="eastAsia"/>
                <w:color w:val="auto"/>
                <w:sz w:val="36"/>
                <w:szCs w:val="36"/>
                <w:highlight w:val="none"/>
              </w:rPr>
              <w:t>编制日期：</w:t>
            </w:r>
          </w:p>
        </w:tc>
        <w:tc>
          <w:tcPr>
            <w:tcW w:w="3922" w:type="pct"/>
            <w:gridSpan w:val="2"/>
            <w:noWrap w:val="0"/>
            <w:vAlign w:val="top"/>
          </w:tcPr>
          <w:p w14:paraId="54752CAB">
            <w:pPr>
              <w:keepNext w:val="0"/>
              <w:keepLines w:val="0"/>
              <w:pageBreakBefore w:val="0"/>
              <w:widowControl w:val="0"/>
              <w:kinsoku/>
              <w:wordWrap/>
              <w:overflowPunct/>
              <w:topLinePunct w:val="0"/>
              <w:autoSpaceDE/>
              <w:autoSpaceDN/>
              <w:bidi w:val="0"/>
              <w:spacing w:line="360" w:lineRule="auto"/>
              <w:ind w:firstLine="0" w:firstLineChars="0"/>
              <w:textAlignment w:val="auto"/>
              <w:rPr>
                <w:color w:val="auto"/>
                <w:sz w:val="36"/>
                <w:szCs w:val="36"/>
                <w:highlight w:val="none"/>
                <w:u w:val="single"/>
              </w:rPr>
            </w:pPr>
            <w:r>
              <w:rPr>
                <w:color w:val="auto"/>
                <w:sz w:val="36"/>
                <w:szCs w:val="36"/>
                <w:highlight w:val="none"/>
                <w:u w:val="single"/>
              </w:rPr>
              <w:t xml:space="preserve">       </w:t>
            </w:r>
            <w:r>
              <w:rPr>
                <w:rFonts w:hint="eastAsia"/>
                <w:color w:val="auto"/>
                <w:sz w:val="36"/>
                <w:szCs w:val="36"/>
                <w:highlight w:val="none"/>
                <w:u w:val="single"/>
                <w:lang w:val="en-US" w:eastAsia="zh-CN"/>
              </w:rPr>
              <w:t xml:space="preserve">  </w:t>
            </w:r>
            <w:r>
              <w:rPr>
                <w:color w:val="auto"/>
                <w:sz w:val="36"/>
                <w:szCs w:val="36"/>
                <w:highlight w:val="none"/>
                <w:u w:val="single"/>
              </w:rPr>
              <w:t xml:space="preserve">    2</w:t>
            </w:r>
            <w:r>
              <w:rPr>
                <w:rFonts w:hint="eastAsia"/>
                <w:color w:val="auto"/>
                <w:sz w:val="36"/>
                <w:szCs w:val="36"/>
                <w:highlight w:val="none"/>
                <w:u w:val="single"/>
              </w:rPr>
              <w:t>0</w:t>
            </w:r>
            <w:r>
              <w:rPr>
                <w:color w:val="auto"/>
                <w:sz w:val="36"/>
                <w:szCs w:val="36"/>
                <w:highlight w:val="none"/>
                <w:u w:val="single"/>
              </w:rPr>
              <w:t>2</w:t>
            </w:r>
            <w:r>
              <w:rPr>
                <w:rFonts w:hint="eastAsia"/>
                <w:color w:val="auto"/>
                <w:sz w:val="36"/>
                <w:szCs w:val="36"/>
                <w:highlight w:val="none"/>
                <w:u w:val="single"/>
                <w:lang w:val="en-US" w:eastAsia="zh-CN"/>
              </w:rPr>
              <w:t>5</w:t>
            </w:r>
            <w:r>
              <w:rPr>
                <w:rFonts w:hint="eastAsia"/>
                <w:color w:val="auto"/>
                <w:sz w:val="36"/>
                <w:szCs w:val="36"/>
                <w:highlight w:val="none"/>
                <w:u w:val="single"/>
              </w:rPr>
              <w:t>年</w:t>
            </w:r>
            <w:r>
              <w:rPr>
                <w:rFonts w:hint="eastAsia"/>
                <w:color w:val="auto"/>
                <w:sz w:val="36"/>
                <w:szCs w:val="36"/>
                <w:highlight w:val="none"/>
                <w:u w:val="single"/>
                <w:lang w:val="en-US" w:eastAsia="zh-CN"/>
              </w:rPr>
              <w:t xml:space="preserve"> 7  </w:t>
            </w:r>
            <w:r>
              <w:rPr>
                <w:rFonts w:hint="eastAsia"/>
                <w:color w:val="auto"/>
                <w:sz w:val="36"/>
                <w:szCs w:val="36"/>
                <w:highlight w:val="none"/>
                <w:u w:val="single"/>
              </w:rPr>
              <w:t xml:space="preserve">月 </w:t>
            </w:r>
            <w:r>
              <w:rPr>
                <w:color w:val="auto"/>
                <w:sz w:val="36"/>
                <w:szCs w:val="36"/>
                <w:highlight w:val="none"/>
                <w:u w:val="single"/>
              </w:rPr>
              <w:t xml:space="preserve">   </w:t>
            </w:r>
            <w:r>
              <w:rPr>
                <w:rFonts w:hint="eastAsia"/>
                <w:color w:val="auto"/>
                <w:sz w:val="36"/>
                <w:szCs w:val="36"/>
                <w:highlight w:val="none"/>
                <w:u w:val="single"/>
                <w:lang w:val="en-US" w:eastAsia="zh-CN"/>
              </w:rPr>
              <w:t xml:space="preserve">  </w:t>
            </w:r>
            <w:r>
              <w:rPr>
                <w:color w:val="auto"/>
                <w:sz w:val="36"/>
                <w:szCs w:val="36"/>
                <w:highlight w:val="none"/>
                <w:u w:val="single"/>
              </w:rPr>
              <w:t xml:space="preserve">            </w:t>
            </w:r>
          </w:p>
        </w:tc>
      </w:tr>
    </w:tbl>
    <w:p w14:paraId="7B44B78E">
      <w:pPr>
        <w:keepNext w:val="0"/>
        <w:keepLines w:val="0"/>
        <w:pageBreakBefore w:val="0"/>
        <w:widowControl w:val="0"/>
        <w:kinsoku/>
        <w:wordWrap/>
        <w:overflowPunct/>
        <w:topLinePunct w:val="0"/>
        <w:autoSpaceDE/>
        <w:autoSpaceDN/>
        <w:bidi w:val="0"/>
        <w:ind w:firstLine="0" w:firstLineChars="0"/>
        <w:textAlignment w:val="auto"/>
        <w:rPr>
          <w:color w:val="auto"/>
          <w:sz w:val="44"/>
          <w:szCs w:val="44"/>
          <w:highlight w:val="none"/>
        </w:rPr>
      </w:pPr>
    </w:p>
    <w:p w14:paraId="5F19673C">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color w:val="auto"/>
          <w:sz w:val="36"/>
          <w:szCs w:val="36"/>
          <w:highlight w:val="none"/>
          <w:u w:val="single"/>
        </w:rPr>
      </w:pPr>
      <w:bookmarkStart w:id="0" w:name="_Hlk57884087"/>
    </w:p>
    <w:p w14:paraId="49D1126B">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eastAsia="仿宋_GB2312"/>
          <w:color w:val="auto"/>
          <w:sz w:val="36"/>
          <w:szCs w:val="36"/>
          <w:highlight w:val="none"/>
        </w:rPr>
      </w:pPr>
    </w:p>
    <w:p w14:paraId="43BA22BA">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textAlignment w:val="auto"/>
        <w:rPr>
          <w:rFonts w:hint="eastAsia" w:eastAsia="仿宋_GB2312"/>
          <w:color w:val="auto"/>
          <w:sz w:val="36"/>
          <w:szCs w:val="36"/>
          <w:highlight w:val="none"/>
        </w:rPr>
      </w:pPr>
    </w:p>
    <w:bookmarkEnd w:id="0"/>
    <w:p w14:paraId="0346D18A">
      <w:pPr>
        <w:keepNext w:val="0"/>
        <w:keepLines w:val="0"/>
        <w:pageBreakBefore w:val="0"/>
        <w:widowControl w:val="0"/>
        <w:kinsoku/>
        <w:wordWrap/>
        <w:overflowPunct/>
        <w:topLinePunct w:val="0"/>
        <w:autoSpaceDE/>
        <w:autoSpaceDN/>
        <w:bidi w:val="0"/>
        <w:adjustRightInd w:val="0"/>
        <w:snapToGrid w:val="0"/>
        <w:spacing w:line="288" w:lineRule="auto"/>
        <w:ind w:firstLine="0" w:firstLineChars="0"/>
        <w:jc w:val="center"/>
        <w:textAlignment w:val="auto"/>
        <w:rPr>
          <w:color w:val="auto"/>
          <w:highlight w:val="none"/>
        </w:rPr>
      </w:pPr>
      <w:r>
        <w:rPr>
          <w:rFonts w:eastAsia="楷体_GB2312"/>
          <w:color w:val="auto"/>
          <w:sz w:val="36"/>
          <w:szCs w:val="36"/>
          <w:highlight w:val="none"/>
        </w:rPr>
        <w:t>中华人民共和国生态环境部制</w:t>
      </w:r>
    </w:p>
    <w:p w14:paraId="37240D43">
      <w:pPr>
        <w:pStyle w:val="10"/>
        <w:spacing w:beforeAutospacing="0" w:afterAutospacing="0"/>
        <w:ind w:firstLine="0" w:firstLineChars="0"/>
        <w:jc w:val="center"/>
        <w:outlineLvl w:val="0"/>
        <w:rPr>
          <w:rFonts w:hint="default" w:ascii="Times New Roman" w:hAnsi="Times New Roman" w:eastAsia="黑体" w:cs="Times New Roman"/>
          <w:color w:val="auto"/>
          <w:sz w:val="30"/>
          <w:szCs w:val="30"/>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083" w:bottom="1440" w:left="1083" w:header="851" w:footer="992" w:gutter="0"/>
          <w:pgBorders>
            <w:top w:val="none" w:sz="0" w:space="0"/>
            <w:left w:val="none" w:sz="0" w:space="0"/>
            <w:bottom w:val="none" w:sz="0" w:space="0"/>
            <w:right w:val="none" w:sz="0" w:space="0"/>
          </w:pgBorders>
          <w:cols w:space="720" w:num="1"/>
          <w:docGrid w:type="lines" w:linePitch="335" w:charSpace="0"/>
        </w:sectPr>
      </w:pPr>
    </w:p>
    <w:p w14:paraId="5F40BA05">
      <w:pPr>
        <w:pStyle w:val="10"/>
        <w:spacing w:beforeAutospacing="0" w:afterAutospacing="0"/>
        <w:ind w:firstLine="0" w:firstLineChars="0"/>
        <w:jc w:val="center"/>
        <w:outlineLvl w:val="0"/>
        <w:rPr>
          <w:rFonts w:hint="default" w:ascii="Times New Roman" w:hAnsi="Times New Roman" w:eastAsia="黑体" w:cs="Times New Roman"/>
          <w:color w:val="auto"/>
          <w:sz w:val="30"/>
          <w:szCs w:val="30"/>
          <w:highlight w:val="none"/>
        </w:rPr>
      </w:pPr>
      <w:r>
        <w:rPr>
          <w:rFonts w:hint="default" w:ascii="Times New Roman" w:hAnsi="Times New Roman" w:eastAsia="黑体" w:cs="Times New Roman"/>
          <w:color w:val="auto"/>
          <w:sz w:val="30"/>
          <w:szCs w:val="30"/>
          <w:highlight w:val="none"/>
        </w:rPr>
        <w:t>一、建设项目基本情况</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1628"/>
        <w:gridCol w:w="1755"/>
        <w:gridCol w:w="1763"/>
        <w:gridCol w:w="2112"/>
        <w:gridCol w:w="2197"/>
      </w:tblGrid>
      <w:tr w14:paraId="4858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pct"/>
            <w:gridSpan w:val="2"/>
            <w:tcBorders>
              <w:top w:val="single" w:color="auto" w:sz="4" w:space="0"/>
              <w:bottom w:val="single" w:color="auto" w:sz="4" w:space="0"/>
            </w:tcBorders>
            <w:noWrap w:val="0"/>
            <w:vAlign w:val="center"/>
          </w:tcPr>
          <w:p w14:paraId="4BDD500C">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建设项目名称</w:t>
            </w:r>
          </w:p>
        </w:tc>
        <w:tc>
          <w:tcPr>
            <w:tcW w:w="3930" w:type="pct"/>
            <w:gridSpan w:val="4"/>
            <w:tcBorders>
              <w:top w:val="single" w:color="auto" w:sz="4" w:space="0"/>
              <w:bottom w:val="single" w:color="auto" w:sz="4" w:space="0"/>
            </w:tcBorders>
            <w:noWrap w:val="0"/>
            <w:vAlign w:val="center"/>
          </w:tcPr>
          <w:p w14:paraId="310AB6F5">
            <w:pPr>
              <w:pStyle w:val="15"/>
              <w:spacing w:line="240" w:lineRule="auto"/>
              <w:jc w:val="both"/>
              <w:rPr>
                <w:rFonts w:hint="eastAsia" w:ascii="Times New Roman" w:hAnsi="Times New Roman" w:eastAsia="宋体" w:cs="Times New Roman"/>
                <w:color w:val="auto"/>
                <w:highlight w:val="none"/>
                <w:lang w:eastAsia="zh-CN"/>
              </w:rPr>
            </w:pPr>
            <w:r>
              <w:rPr>
                <w:rFonts w:hint="eastAsia" w:cs="Times New Roman"/>
                <w:color w:val="auto"/>
                <w:highlight w:val="none"/>
                <w:lang w:eastAsia="zh-CN"/>
              </w:rPr>
              <w:t>四川省大竹县柳城河石河镇二郎、福兴防洪治理工程、四川省大竹县柳城河石河镇防洪治理工程、四川省大竹县东柳河清河镇防洪治理工程和东柳河杨家镇防洪治理工程</w:t>
            </w:r>
          </w:p>
        </w:tc>
      </w:tr>
      <w:tr w14:paraId="62EB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pct"/>
            <w:gridSpan w:val="2"/>
            <w:tcBorders>
              <w:top w:val="single" w:color="auto" w:sz="4" w:space="0"/>
              <w:bottom w:val="single" w:color="auto" w:sz="4" w:space="0"/>
            </w:tcBorders>
            <w:noWrap w:val="0"/>
            <w:vAlign w:val="center"/>
          </w:tcPr>
          <w:p w14:paraId="159A8B16">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项目代码</w:t>
            </w:r>
          </w:p>
        </w:tc>
        <w:tc>
          <w:tcPr>
            <w:tcW w:w="3930" w:type="pct"/>
            <w:gridSpan w:val="4"/>
            <w:tcBorders>
              <w:top w:val="single" w:color="auto" w:sz="4" w:space="0"/>
              <w:bottom w:val="single" w:color="auto" w:sz="4" w:space="0"/>
            </w:tcBorders>
            <w:shd w:val="clear" w:color="auto" w:fill="auto"/>
            <w:noWrap w:val="0"/>
            <w:vAlign w:val="center"/>
          </w:tcPr>
          <w:p w14:paraId="7413321A">
            <w:pPr>
              <w:pStyle w:val="1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napToGrid w:val="0"/>
                <w:color w:val="auto"/>
                <w:sz w:val="24"/>
                <w:szCs w:val="24"/>
                <w:highlight w:val="none"/>
                <w:lang w:val="en-US" w:eastAsia="zh-CN" w:bidi="ar-SA"/>
              </w:rPr>
            </w:pPr>
            <w:r>
              <w:rPr>
                <w:rFonts w:hint="eastAsia"/>
                <w:color w:val="auto"/>
                <w:highlight w:val="none"/>
                <w:lang w:val="en-US" w:eastAsia="zh-CN"/>
              </w:rPr>
              <w:t>/</w:t>
            </w:r>
          </w:p>
        </w:tc>
      </w:tr>
      <w:tr w14:paraId="3796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pct"/>
            <w:gridSpan w:val="2"/>
            <w:tcBorders>
              <w:top w:val="single" w:color="auto" w:sz="4" w:space="0"/>
              <w:bottom w:val="single" w:color="auto" w:sz="4" w:space="0"/>
            </w:tcBorders>
            <w:noWrap w:val="0"/>
            <w:vAlign w:val="center"/>
          </w:tcPr>
          <w:p w14:paraId="20455C3E">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建设单位联系人</w:t>
            </w:r>
          </w:p>
        </w:tc>
        <w:tc>
          <w:tcPr>
            <w:tcW w:w="881" w:type="pct"/>
            <w:tcBorders>
              <w:top w:val="single" w:color="auto" w:sz="4" w:space="0"/>
              <w:bottom w:val="single" w:color="auto" w:sz="4" w:space="0"/>
            </w:tcBorders>
            <w:noWrap w:val="0"/>
            <w:vAlign w:val="center"/>
          </w:tcPr>
          <w:p w14:paraId="7A41A23C">
            <w:pPr>
              <w:pStyle w:val="15"/>
              <w:spacing w:line="240" w:lineRule="auto"/>
              <w:rPr>
                <w:rFonts w:hint="default" w:ascii="Times New Roman" w:hAnsi="Times New Roman" w:eastAsia="宋体" w:cs="Times New Roman"/>
                <w:bCs/>
                <w:color w:val="auto"/>
                <w:spacing w:val="-10"/>
                <w:highlight w:val="none"/>
                <w:lang w:val="en-US" w:eastAsia="zh-CN"/>
              </w:rPr>
            </w:pPr>
            <w:r>
              <w:rPr>
                <w:rFonts w:hint="eastAsia" w:cs="Times New Roman"/>
                <w:color w:val="auto"/>
                <w:highlight w:val="none"/>
                <w:u w:val="none"/>
                <w:lang w:val="en-US" w:eastAsia="zh-CN"/>
              </w:rPr>
              <w:t>王老师</w:t>
            </w:r>
          </w:p>
        </w:tc>
        <w:tc>
          <w:tcPr>
            <w:tcW w:w="885" w:type="pct"/>
            <w:tcBorders>
              <w:top w:val="single" w:color="auto" w:sz="4" w:space="0"/>
              <w:bottom w:val="single" w:color="auto" w:sz="4" w:space="0"/>
            </w:tcBorders>
            <w:noWrap w:val="0"/>
            <w:vAlign w:val="center"/>
          </w:tcPr>
          <w:p w14:paraId="5D1D9E29">
            <w:pPr>
              <w:pStyle w:val="15"/>
              <w:spacing w:line="240" w:lineRule="auto"/>
              <w:rPr>
                <w:rFonts w:hint="default" w:ascii="Times New Roman" w:hAnsi="Times New Roman" w:cs="Times New Roman"/>
                <w:bCs/>
                <w:color w:val="auto"/>
                <w:spacing w:val="-10"/>
                <w:highlight w:val="none"/>
              </w:rPr>
            </w:pPr>
            <w:r>
              <w:rPr>
                <w:rFonts w:hint="default" w:ascii="Times New Roman" w:hAnsi="Times New Roman" w:cs="Times New Roman"/>
                <w:bCs/>
                <w:color w:val="auto"/>
                <w:spacing w:val="-10"/>
                <w:highlight w:val="none"/>
              </w:rPr>
              <w:t>联系方式</w:t>
            </w:r>
          </w:p>
        </w:tc>
        <w:tc>
          <w:tcPr>
            <w:tcW w:w="2164" w:type="pct"/>
            <w:gridSpan w:val="2"/>
            <w:tcBorders>
              <w:top w:val="single" w:color="auto" w:sz="4" w:space="0"/>
              <w:bottom w:val="single" w:color="auto" w:sz="4" w:space="0"/>
            </w:tcBorders>
            <w:noWrap w:val="0"/>
            <w:vAlign w:val="center"/>
          </w:tcPr>
          <w:p w14:paraId="01915BD7">
            <w:pPr>
              <w:pStyle w:val="15"/>
              <w:spacing w:line="240" w:lineRule="auto"/>
              <w:rPr>
                <w:rFonts w:hint="default" w:ascii="Times New Roman" w:hAnsi="Times New Roman" w:cs="Times New Roman"/>
                <w:bCs/>
                <w:color w:val="auto"/>
                <w:spacing w:val="-10"/>
                <w:highlight w:val="none"/>
              </w:rPr>
            </w:pPr>
            <w:r>
              <w:rPr>
                <w:rFonts w:hint="eastAsia"/>
                <w:color w:val="auto"/>
                <w:highlight w:val="none"/>
              </w:rPr>
              <w:t>17882729520</w:t>
            </w:r>
          </w:p>
        </w:tc>
      </w:tr>
      <w:tr w14:paraId="3FD9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pct"/>
            <w:gridSpan w:val="2"/>
            <w:tcBorders>
              <w:top w:val="single" w:color="auto" w:sz="4" w:space="0"/>
              <w:bottom w:val="single" w:color="auto" w:sz="4" w:space="0"/>
            </w:tcBorders>
            <w:noWrap w:val="0"/>
            <w:vAlign w:val="center"/>
          </w:tcPr>
          <w:p w14:paraId="12B74BE7">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建设地点</w:t>
            </w:r>
          </w:p>
        </w:tc>
        <w:tc>
          <w:tcPr>
            <w:tcW w:w="3930" w:type="pct"/>
            <w:gridSpan w:val="4"/>
            <w:tcBorders>
              <w:top w:val="single" w:color="auto" w:sz="4" w:space="0"/>
              <w:bottom w:val="single" w:color="auto" w:sz="4" w:space="0"/>
            </w:tcBorders>
            <w:noWrap w:val="0"/>
            <w:vAlign w:val="center"/>
          </w:tcPr>
          <w:p w14:paraId="5BF3CEA5">
            <w:pPr>
              <w:pStyle w:val="15"/>
              <w:spacing w:line="240" w:lineRule="auto"/>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四川省达州市大竹县石河镇、</w:t>
            </w:r>
            <w:r>
              <w:rPr>
                <w:rFonts w:hint="eastAsia" w:cs="Times New Roman"/>
                <w:color w:val="auto"/>
                <w:highlight w:val="none"/>
                <w:lang w:val="en-US" w:eastAsia="zh-CN"/>
              </w:rPr>
              <w:t>清河镇、杨家镇</w:t>
            </w:r>
          </w:p>
        </w:tc>
      </w:tr>
      <w:tr w14:paraId="6C1B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5" w:hRule="atLeast"/>
        </w:trPr>
        <w:tc>
          <w:tcPr>
            <w:tcW w:w="1069" w:type="pct"/>
            <w:gridSpan w:val="2"/>
            <w:tcBorders>
              <w:top w:val="single" w:color="auto" w:sz="4" w:space="0"/>
              <w:bottom w:val="single" w:color="auto" w:sz="4" w:space="0"/>
            </w:tcBorders>
            <w:noWrap w:val="0"/>
            <w:vAlign w:val="center"/>
          </w:tcPr>
          <w:p w14:paraId="354B5A58">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地理坐标</w:t>
            </w:r>
          </w:p>
        </w:tc>
        <w:tc>
          <w:tcPr>
            <w:tcW w:w="3930" w:type="pct"/>
            <w:gridSpan w:val="4"/>
            <w:tcBorders>
              <w:top w:val="single" w:color="auto" w:sz="4" w:space="0"/>
              <w:bottom w:val="single" w:color="auto" w:sz="4" w:space="0"/>
            </w:tcBorders>
            <w:noWrap w:val="0"/>
            <w:vAlign w:val="center"/>
          </w:tcPr>
          <w:tbl>
            <w:tblPr>
              <w:tblStyle w:val="12"/>
              <w:tblW w:w="76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1763"/>
              <w:gridCol w:w="2112"/>
              <w:gridCol w:w="2094"/>
            </w:tblGrid>
            <w:tr w14:paraId="0AB5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2" w:type="dxa"/>
                  <w:shd w:val="clear" w:color="auto" w:fill="auto"/>
                  <w:vAlign w:val="center"/>
                </w:tcPr>
                <w:p w14:paraId="47E586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4"/>
                      <w:szCs w:val="21"/>
                      <w:highlight w:val="none"/>
                      <w:lang w:val="en-US" w:eastAsia="zh-CN" w:bidi="ar-SA"/>
                    </w:rPr>
                  </w:pPr>
                  <w:r>
                    <w:rPr>
                      <w:rFonts w:hint="eastAsia"/>
                      <w:b/>
                      <w:color w:val="auto"/>
                      <w:szCs w:val="21"/>
                      <w:highlight w:val="none"/>
                    </w:rPr>
                    <w:t>项目</w:t>
                  </w:r>
                </w:p>
              </w:tc>
              <w:tc>
                <w:tcPr>
                  <w:tcW w:w="1763" w:type="dxa"/>
                  <w:shd w:val="clear" w:color="auto" w:fill="auto"/>
                  <w:vAlign w:val="center"/>
                </w:tcPr>
                <w:p w14:paraId="136FED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4"/>
                      <w:szCs w:val="21"/>
                      <w:highlight w:val="none"/>
                      <w:lang w:val="en-US" w:eastAsia="zh-CN" w:bidi="ar-SA"/>
                    </w:rPr>
                  </w:pPr>
                  <w:r>
                    <w:rPr>
                      <w:rFonts w:hint="eastAsia"/>
                      <w:b/>
                      <w:color w:val="auto"/>
                      <w:szCs w:val="21"/>
                      <w:highlight w:val="none"/>
                    </w:rPr>
                    <w:t>项目</w:t>
                  </w:r>
                  <w:r>
                    <w:rPr>
                      <w:rFonts w:hint="eastAsia"/>
                      <w:b/>
                      <w:color w:val="auto"/>
                      <w:szCs w:val="21"/>
                      <w:highlight w:val="none"/>
                      <w:lang w:val="en-US" w:eastAsia="zh-CN"/>
                    </w:rPr>
                    <w:t>对应河段</w:t>
                  </w:r>
                </w:p>
              </w:tc>
              <w:tc>
                <w:tcPr>
                  <w:tcW w:w="2112" w:type="dxa"/>
                  <w:shd w:val="clear" w:color="auto" w:fill="auto"/>
                  <w:vAlign w:val="center"/>
                </w:tcPr>
                <w:p w14:paraId="203242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4"/>
                      <w:szCs w:val="21"/>
                      <w:highlight w:val="none"/>
                      <w:lang w:val="en-US" w:eastAsia="zh-CN" w:bidi="ar-SA"/>
                    </w:rPr>
                  </w:pPr>
                  <w:r>
                    <w:rPr>
                      <w:rFonts w:hint="eastAsia"/>
                      <w:b/>
                      <w:color w:val="auto"/>
                      <w:szCs w:val="21"/>
                      <w:highlight w:val="none"/>
                    </w:rPr>
                    <w:t>起点</w:t>
                  </w:r>
                </w:p>
              </w:tc>
              <w:tc>
                <w:tcPr>
                  <w:tcW w:w="2094" w:type="dxa"/>
                  <w:shd w:val="clear" w:color="auto" w:fill="auto"/>
                  <w:vAlign w:val="center"/>
                </w:tcPr>
                <w:p w14:paraId="1F98E9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sz w:val="24"/>
                      <w:szCs w:val="21"/>
                      <w:highlight w:val="none"/>
                      <w:lang w:val="en-US" w:eastAsia="zh-CN" w:bidi="ar-SA"/>
                    </w:rPr>
                  </w:pPr>
                  <w:r>
                    <w:rPr>
                      <w:rFonts w:hint="eastAsia"/>
                      <w:b/>
                      <w:color w:val="auto"/>
                      <w:szCs w:val="21"/>
                      <w:highlight w:val="none"/>
                    </w:rPr>
                    <w:t>终点</w:t>
                  </w:r>
                </w:p>
              </w:tc>
            </w:tr>
            <w:tr w14:paraId="3591E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42" w:type="dxa"/>
                  <w:vMerge w:val="restart"/>
                  <w:shd w:val="clear" w:color="auto" w:fill="auto"/>
                  <w:vAlign w:val="center"/>
                </w:tcPr>
                <w:p w14:paraId="5A0E13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eastAsia" w:cs="Times New Roman"/>
                      <w:color w:val="auto"/>
                      <w:highlight w:val="none"/>
                      <w:lang w:eastAsia="zh-CN"/>
                    </w:rPr>
                    <w:t>四川省大竹县柳城河石河镇二郎、福兴防洪治理工程</w:t>
                  </w:r>
                </w:p>
              </w:tc>
              <w:tc>
                <w:tcPr>
                  <w:tcW w:w="1763" w:type="dxa"/>
                  <w:shd w:val="clear" w:color="auto" w:fill="auto"/>
                  <w:vAlign w:val="center"/>
                </w:tcPr>
                <w:p w14:paraId="0B8F3F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cs="Times New Roman"/>
                      <w:color w:val="auto"/>
                      <w:highlight w:val="none"/>
                    </w:rPr>
                    <w:t>二郎段</w:t>
                  </w:r>
                </w:p>
              </w:tc>
              <w:tc>
                <w:tcPr>
                  <w:tcW w:w="2112" w:type="dxa"/>
                  <w:shd w:val="clear" w:color="auto" w:fill="auto"/>
                  <w:vAlign w:val="center"/>
                </w:tcPr>
                <w:p w14:paraId="5D951F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E107°</w:t>
                  </w:r>
                  <w:r>
                    <w:rPr>
                      <w:rFonts w:hint="eastAsia" w:cs="Times New Roman"/>
                      <w:color w:val="auto"/>
                      <w:szCs w:val="21"/>
                      <w:highlight w:val="none"/>
                      <w:lang w:val="en-US" w:eastAsia="zh-CN"/>
                    </w:rPr>
                    <w:t>21</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13</w:t>
                  </w:r>
                  <w:r>
                    <w:rPr>
                      <w:rFonts w:hint="default" w:ascii="Times New Roman" w:hAnsi="Times New Roman" w:cs="Times New Roman"/>
                      <w:color w:val="auto"/>
                      <w:szCs w:val="21"/>
                      <w:highlight w:val="none"/>
                    </w:rPr>
                    <w:t>.02</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w:t>
                  </w:r>
                </w:p>
                <w:p w14:paraId="18455B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cs="Times New Roman"/>
                      <w:color w:val="auto"/>
                      <w:szCs w:val="21"/>
                      <w:highlight w:val="none"/>
                    </w:rPr>
                    <w:t>N30°55′</w:t>
                  </w:r>
                  <w:r>
                    <w:rPr>
                      <w:rFonts w:hint="eastAsia" w:cs="Times New Roman"/>
                      <w:color w:val="auto"/>
                      <w:szCs w:val="21"/>
                      <w:highlight w:val="none"/>
                      <w:lang w:val="en-US" w:eastAsia="zh-CN"/>
                    </w:rPr>
                    <w:t>27</w:t>
                  </w:r>
                  <w:r>
                    <w:rPr>
                      <w:rFonts w:hint="default" w:ascii="Times New Roman" w:hAnsi="Times New Roman" w:cs="Times New Roman"/>
                      <w:color w:val="auto"/>
                      <w:szCs w:val="21"/>
                      <w:highlight w:val="none"/>
                    </w:rPr>
                    <w:t>.43</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w:t>
                  </w:r>
                </w:p>
              </w:tc>
              <w:tc>
                <w:tcPr>
                  <w:tcW w:w="2094" w:type="dxa"/>
                  <w:shd w:val="clear" w:color="auto" w:fill="auto"/>
                  <w:vAlign w:val="center"/>
                </w:tcPr>
                <w:p w14:paraId="24B32A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E107°</w:t>
                  </w:r>
                  <w:r>
                    <w:rPr>
                      <w:rFonts w:hint="eastAsia" w:cs="Times New Roman"/>
                      <w:color w:val="auto"/>
                      <w:szCs w:val="21"/>
                      <w:highlight w:val="none"/>
                      <w:lang w:val="en-US" w:eastAsia="zh-CN"/>
                    </w:rPr>
                    <w:t>19</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54.1</w:t>
                  </w: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w:t>
                  </w:r>
                </w:p>
                <w:p w14:paraId="366C50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cs="Times New Roman"/>
                      <w:color w:val="auto"/>
                      <w:szCs w:val="21"/>
                      <w:highlight w:val="none"/>
                    </w:rPr>
                    <w:t>N30°5</w:t>
                  </w:r>
                  <w:r>
                    <w:rPr>
                      <w:rFonts w:hint="eastAsia" w:cs="Times New Roman"/>
                      <w:color w:val="auto"/>
                      <w:szCs w:val="21"/>
                      <w:highlight w:val="none"/>
                      <w:lang w:val="en-US" w:eastAsia="zh-CN"/>
                    </w:rPr>
                    <w:t>6</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.22</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w:t>
                  </w:r>
                </w:p>
              </w:tc>
            </w:tr>
            <w:tr w14:paraId="4FFC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2" w:type="dxa"/>
                  <w:vMerge w:val="continue"/>
                  <w:shd w:val="clear" w:color="auto" w:fill="auto"/>
                  <w:vAlign w:val="center"/>
                </w:tcPr>
                <w:p w14:paraId="7CAEDE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p>
              </w:tc>
              <w:tc>
                <w:tcPr>
                  <w:tcW w:w="1763" w:type="dxa"/>
                  <w:shd w:val="clear" w:color="auto" w:fill="auto"/>
                  <w:vAlign w:val="center"/>
                </w:tcPr>
                <w:p w14:paraId="29000A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cs="Times New Roman"/>
                      <w:color w:val="auto"/>
                      <w:highlight w:val="none"/>
                    </w:rPr>
                    <w:t>福兴段</w:t>
                  </w:r>
                </w:p>
              </w:tc>
              <w:tc>
                <w:tcPr>
                  <w:tcW w:w="2112" w:type="dxa"/>
                  <w:shd w:val="clear" w:color="auto" w:fill="auto"/>
                  <w:vAlign w:val="center"/>
                </w:tcPr>
                <w:p w14:paraId="1BBEC9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E107°16′</w:t>
                  </w:r>
                  <w:r>
                    <w:rPr>
                      <w:rFonts w:hint="eastAsia" w:cs="Times New Roman"/>
                      <w:color w:val="auto"/>
                      <w:szCs w:val="21"/>
                      <w:highlight w:val="none"/>
                      <w:lang w:val="en-US" w:eastAsia="zh-CN"/>
                    </w:rPr>
                    <w:t>33</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0</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w:t>
                  </w:r>
                </w:p>
                <w:p w14:paraId="640DCD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cs="Times New Roman"/>
                      <w:color w:val="auto"/>
                      <w:szCs w:val="21"/>
                      <w:highlight w:val="none"/>
                    </w:rPr>
                    <w:t>N30°53′</w:t>
                  </w:r>
                  <w:r>
                    <w:rPr>
                      <w:rFonts w:hint="eastAsia" w:cs="Times New Roman"/>
                      <w:color w:val="auto"/>
                      <w:szCs w:val="21"/>
                      <w:highlight w:val="none"/>
                      <w:lang w:val="en-US" w:eastAsia="zh-CN"/>
                    </w:rPr>
                    <w:t>34</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3</w:t>
                  </w: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w:t>
                  </w:r>
                </w:p>
              </w:tc>
              <w:tc>
                <w:tcPr>
                  <w:tcW w:w="2094" w:type="dxa"/>
                  <w:shd w:val="clear" w:color="auto" w:fill="auto"/>
                  <w:vAlign w:val="center"/>
                </w:tcPr>
                <w:p w14:paraId="795145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E107°17′</w:t>
                  </w:r>
                  <w:r>
                    <w:rPr>
                      <w:rFonts w:hint="eastAsia" w:cs="Times New Roman"/>
                      <w:color w:val="auto"/>
                      <w:szCs w:val="21"/>
                      <w:highlight w:val="none"/>
                      <w:lang w:val="en-US" w:eastAsia="zh-CN"/>
                    </w:rPr>
                    <w:t>8</w:t>
                  </w:r>
                  <w:r>
                    <w:rPr>
                      <w:rFonts w:hint="default" w:ascii="Times New Roman" w:hAnsi="Times New Roman" w:cs="Times New Roman"/>
                      <w:color w:val="auto"/>
                      <w:szCs w:val="21"/>
                      <w:highlight w:val="none"/>
                    </w:rPr>
                    <w:t>.60</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w:t>
                  </w:r>
                </w:p>
                <w:p w14:paraId="2391C4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cs="Times New Roman"/>
                      <w:color w:val="auto"/>
                      <w:szCs w:val="21"/>
                      <w:highlight w:val="none"/>
                    </w:rPr>
                    <w:t>N30°53′</w:t>
                  </w:r>
                  <w:r>
                    <w:rPr>
                      <w:rFonts w:hint="eastAsia" w:cs="Times New Roman"/>
                      <w:color w:val="auto"/>
                      <w:szCs w:val="21"/>
                      <w:highlight w:val="none"/>
                      <w:lang w:val="en-US" w:eastAsia="zh-CN"/>
                    </w:rPr>
                    <w:t>44</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0</w:t>
                  </w:r>
                  <w:r>
                    <w:rPr>
                      <w:rFonts w:hint="default" w:ascii="Times New Roman" w:hAnsi="Times New Roman" w:cs="Times New Roman"/>
                      <w:color w:val="auto"/>
                      <w:szCs w:val="21"/>
                      <w:highlight w:val="none"/>
                    </w:rPr>
                    <w:t>1</w:t>
                  </w:r>
                  <w:r>
                    <w:rPr>
                      <w:rFonts w:hint="default" w:ascii="Times New Roman" w:hAnsi="Times New Roman" w:cs="Times New Roman"/>
                      <w:color w:val="auto"/>
                      <w:szCs w:val="21"/>
                      <w:highlight w:val="none"/>
                      <w:lang w:val="en-US" w:eastAsia="zh-CN"/>
                    </w:rPr>
                    <w:t>0</w:t>
                  </w:r>
                  <w:r>
                    <w:rPr>
                      <w:rFonts w:hint="default" w:ascii="Times New Roman" w:hAnsi="Times New Roman" w:cs="Times New Roman"/>
                      <w:color w:val="auto"/>
                      <w:szCs w:val="21"/>
                      <w:highlight w:val="none"/>
                    </w:rPr>
                    <w:t>″</w:t>
                  </w:r>
                </w:p>
              </w:tc>
            </w:tr>
            <w:tr w14:paraId="2139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2" w:type="dxa"/>
                  <w:vMerge w:val="restart"/>
                  <w:shd w:val="clear" w:color="auto" w:fill="auto"/>
                  <w:vAlign w:val="center"/>
                </w:tcPr>
                <w:p w14:paraId="2A479B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eastAsia" w:cs="Times New Roman"/>
                      <w:color w:val="auto"/>
                      <w:highlight w:val="none"/>
                      <w:lang w:eastAsia="zh-CN"/>
                    </w:rPr>
                    <w:t>四川省大竹县柳城河石河镇防洪治理工程</w:t>
                  </w:r>
                </w:p>
              </w:tc>
              <w:tc>
                <w:tcPr>
                  <w:tcW w:w="1763" w:type="dxa"/>
                  <w:shd w:val="clear" w:color="auto" w:fill="auto"/>
                  <w:vAlign w:val="center"/>
                </w:tcPr>
                <w:p w14:paraId="211BC1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eastAsia" w:cs="Times New Roman"/>
                      <w:color w:val="auto"/>
                      <w:highlight w:val="none"/>
                      <w:lang w:eastAsia="zh-CN"/>
                    </w:rPr>
                    <w:t>石河镇段</w:t>
                  </w:r>
                </w:p>
              </w:tc>
              <w:tc>
                <w:tcPr>
                  <w:tcW w:w="2112" w:type="dxa"/>
                  <w:shd w:val="clear" w:color="auto" w:fill="auto"/>
                  <w:vAlign w:val="center"/>
                </w:tcPr>
                <w:p w14:paraId="416C74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E107°1</w:t>
                  </w:r>
                  <w:r>
                    <w:rPr>
                      <w:rFonts w:hint="eastAsia" w:cs="Times New Roman"/>
                      <w:color w:val="auto"/>
                      <w:szCs w:val="21"/>
                      <w:highlight w:val="none"/>
                      <w:lang w:val="en-US" w:eastAsia="zh-CN"/>
                    </w:rPr>
                    <w:t>8</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59</w:t>
                  </w:r>
                  <w:r>
                    <w:rPr>
                      <w:rFonts w:hint="default" w:ascii="Times New Roman" w:hAnsi="Times New Roman" w:cs="Times New Roman"/>
                      <w:color w:val="auto"/>
                      <w:szCs w:val="21"/>
                      <w:highlight w:val="none"/>
                    </w:rPr>
                    <w:t>.53</w:t>
                  </w:r>
                  <w:r>
                    <w:rPr>
                      <w:rFonts w:hint="eastAsia" w:cs="Times New Roman"/>
                      <w:color w:val="auto"/>
                      <w:szCs w:val="21"/>
                      <w:highlight w:val="none"/>
                      <w:lang w:val="en-US" w:eastAsia="zh-CN"/>
                    </w:rPr>
                    <w:t>0</w:t>
                  </w:r>
                  <w:r>
                    <w:rPr>
                      <w:rFonts w:hint="default" w:ascii="Times New Roman" w:hAnsi="Times New Roman" w:cs="Times New Roman"/>
                      <w:color w:val="auto"/>
                      <w:szCs w:val="21"/>
                      <w:highlight w:val="none"/>
                    </w:rPr>
                    <w:t>″</w:t>
                  </w:r>
                </w:p>
                <w:p w14:paraId="3A08C0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cs="Times New Roman"/>
                      <w:color w:val="auto"/>
                      <w:szCs w:val="21"/>
                      <w:highlight w:val="none"/>
                    </w:rPr>
                    <w:t>N30°</w:t>
                  </w:r>
                  <w:r>
                    <w:rPr>
                      <w:rFonts w:hint="eastAsia" w:cs="Times New Roman"/>
                      <w:color w:val="auto"/>
                      <w:szCs w:val="21"/>
                      <w:highlight w:val="none"/>
                      <w:lang w:val="en-US" w:eastAsia="zh-CN"/>
                    </w:rPr>
                    <w:t>50</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6</w:t>
                  </w:r>
                  <w:r>
                    <w:rPr>
                      <w:rFonts w:hint="default" w:ascii="Times New Roman" w:hAnsi="Times New Roman" w:cs="Times New Roman"/>
                      <w:color w:val="auto"/>
                      <w:szCs w:val="21"/>
                      <w:highlight w:val="none"/>
                    </w:rPr>
                    <w:t>.20</w:t>
                  </w:r>
                  <w:r>
                    <w:rPr>
                      <w:rFonts w:hint="eastAsia" w:cs="Times New Roman"/>
                      <w:color w:val="auto"/>
                      <w:szCs w:val="21"/>
                      <w:highlight w:val="none"/>
                      <w:lang w:val="en-US" w:eastAsia="zh-CN"/>
                    </w:rPr>
                    <w:t>0</w:t>
                  </w:r>
                  <w:r>
                    <w:rPr>
                      <w:rFonts w:hint="default" w:ascii="Times New Roman" w:hAnsi="Times New Roman" w:cs="Times New Roman"/>
                      <w:color w:val="auto"/>
                      <w:szCs w:val="21"/>
                      <w:highlight w:val="none"/>
                    </w:rPr>
                    <w:t>″</w:t>
                  </w:r>
                </w:p>
              </w:tc>
              <w:tc>
                <w:tcPr>
                  <w:tcW w:w="2094" w:type="dxa"/>
                  <w:shd w:val="clear" w:color="auto" w:fill="auto"/>
                  <w:vAlign w:val="center"/>
                </w:tcPr>
                <w:p w14:paraId="591E89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E107°</w:t>
                  </w:r>
                  <w:r>
                    <w:rPr>
                      <w:rFonts w:hint="eastAsia" w:cs="Times New Roman"/>
                      <w:color w:val="auto"/>
                      <w:szCs w:val="21"/>
                      <w:highlight w:val="none"/>
                      <w:lang w:val="en-US" w:eastAsia="zh-CN"/>
                    </w:rPr>
                    <w:t>19</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43</w:t>
                  </w:r>
                  <w:r>
                    <w:rPr>
                      <w:rFonts w:hint="default" w:ascii="Times New Roman" w:hAnsi="Times New Roman" w:cs="Times New Roman"/>
                      <w:color w:val="auto"/>
                      <w:szCs w:val="21"/>
                      <w:highlight w:val="none"/>
                    </w:rPr>
                    <w:t>.00</w:t>
                  </w:r>
                  <w:r>
                    <w:rPr>
                      <w:rFonts w:hint="eastAsia" w:cs="Times New Roman"/>
                      <w:color w:val="auto"/>
                      <w:szCs w:val="21"/>
                      <w:highlight w:val="none"/>
                      <w:lang w:val="en-US" w:eastAsia="zh-CN"/>
                    </w:rPr>
                    <w:t>0</w:t>
                  </w:r>
                  <w:r>
                    <w:rPr>
                      <w:rFonts w:hint="default" w:ascii="Times New Roman" w:hAnsi="Times New Roman" w:cs="Times New Roman"/>
                      <w:color w:val="auto"/>
                      <w:szCs w:val="21"/>
                      <w:highlight w:val="none"/>
                    </w:rPr>
                    <w:t>″</w:t>
                  </w:r>
                </w:p>
                <w:p w14:paraId="787CDC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cs="Times New Roman"/>
                      <w:color w:val="auto"/>
                      <w:szCs w:val="21"/>
                      <w:highlight w:val="none"/>
                    </w:rPr>
                    <w:t>N30°50′</w:t>
                  </w:r>
                  <w:r>
                    <w:rPr>
                      <w:rFonts w:hint="eastAsia" w:cs="Times New Roman"/>
                      <w:color w:val="auto"/>
                      <w:szCs w:val="21"/>
                      <w:highlight w:val="none"/>
                      <w:lang w:val="en-US" w:eastAsia="zh-CN"/>
                    </w:rPr>
                    <w:t>44</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8</w:t>
                  </w:r>
                  <w:r>
                    <w:rPr>
                      <w:rFonts w:hint="eastAsia" w:cs="Times New Roman"/>
                      <w:color w:val="auto"/>
                      <w:szCs w:val="21"/>
                      <w:highlight w:val="none"/>
                      <w:lang w:val="en-US" w:eastAsia="zh-CN"/>
                    </w:rPr>
                    <w:t>0</w:t>
                  </w:r>
                  <w:r>
                    <w:rPr>
                      <w:rFonts w:hint="default" w:ascii="Times New Roman" w:hAnsi="Times New Roman" w:cs="Times New Roman"/>
                      <w:color w:val="auto"/>
                      <w:szCs w:val="21"/>
                      <w:highlight w:val="none"/>
                    </w:rPr>
                    <w:t>″</w:t>
                  </w:r>
                </w:p>
              </w:tc>
            </w:tr>
            <w:tr w14:paraId="6984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2" w:type="dxa"/>
                  <w:vMerge w:val="continue"/>
                  <w:shd w:val="clear" w:color="auto" w:fill="auto"/>
                  <w:vAlign w:val="center"/>
                </w:tcPr>
                <w:p w14:paraId="2FA940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p>
              </w:tc>
              <w:tc>
                <w:tcPr>
                  <w:tcW w:w="1763" w:type="dxa"/>
                  <w:shd w:val="clear" w:color="auto" w:fill="auto"/>
                  <w:vAlign w:val="center"/>
                </w:tcPr>
                <w:p w14:paraId="481E7F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eastAsia" w:cs="Times New Roman"/>
                      <w:color w:val="auto"/>
                      <w:highlight w:val="none"/>
                      <w:lang w:eastAsia="zh-CN"/>
                    </w:rPr>
                    <w:t>双拱场段</w:t>
                  </w:r>
                </w:p>
              </w:tc>
              <w:tc>
                <w:tcPr>
                  <w:tcW w:w="2112" w:type="dxa"/>
                  <w:shd w:val="clear" w:color="auto" w:fill="auto"/>
                  <w:vAlign w:val="center"/>
                </w:tcPr>
                <w:p w14:paraId="391FB0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E107°2</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48</w:t>
                  </w:r>
                  <w:r>
                    <w:rPr>
                      <w:rFonts w:hint="default" w:ascii="Times New Roman" w:hAnsi="Times New Roman" w:cs="Times New Roman"/>
                      <w:color w:val="auto"/>
                      <w:szCs w:val="21"/>
                      <w:highlight w:val="none"/>
                    </w:rPr>
                    <w:t>.00</w:t>
                  </w:r>
                  <w:r>
                    <w:rPr>
                      <w:rFonts w:hint="eastAsia" w:cs="Times New Roman"/>
                      <w:color w:val="auto"/>
                      <w:szCs w:val="21"/>
                      <w:highlight w:val="none"/>
                      <w:lang w:val="en-US" w:eastAsia="zh-CN"/>
                    </w:rPr>
                    <w:t>0</w:t>
                  </w:r>
                  <w:r>
                    <w:rPr>
                      <w:rFonts w:hint="default" w:ascii="Times New Roman" w:hAnsi="Times New Roman" w:cs="Times New Roman"/>
                      <w:color w:val="auto"/>
                      <w:szCs w:val="21"/>
                      <w:highlight w:val="none"/>
                    </w:rPr>
                    <w:t>″</w:t>
                  </w:r>
                </w:p>
                <w:p w14:paraId="63480D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cs="Times New Roman"/>
                      <w:color w:val="auto"/>
                      <w:szCs w:val="21"/>
                      <w:highlight w:val="none"/>
                    </w:rPr>
                    <w:t>N30°53′</w:t>
                  </w:r>
                  <w:r>
                    <w:rPr>
                      <w:rFonts w:hint="eastAsia" w:cs="Times New Roman"/>
                      <w:color w:val="auto"/>
                      <w:szCs w:val="21"/>
                      <w:highlight w:val="none"/>
                      <w:lang w:val="en-US" w:eastAsia="zh-CN"/>
                    </w:rPr>
                    <w:t>52</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4</w:t>
                  </w:r>
                  <w:r>
                    <w:rPr>
                      <w:rFonts w:hint="eastAsia" w:cs="Times New Roman"/>
                      <w:color w:val="auto"/>
                      <w:szCs w:val="21"/>
                      <w:highlight w:val="none"/>
                      <w:lang w:val="en-US" w:eastAsia="zh-CN"/>
                    </w:rPr>
                    <w:t>0</w:t>
                  </w:r>
                  <w:r>
                    <w:rPr>
                      <w:rFonts w:hint="default" w:ascii="Times New Roman" w:hAnsi="Times New Roman" w:cs="Times New Roman"/>
                      <w:color w:val="auto"/>
                      <w:szCs w:val="21"/>
                      <w:highlight w:val="none"/>
                    </w:rPr>
                    <w:t>″</w:t>
                  </w:r>
                </w:p>
              </w:tc>
              <w:tc>
                <w:tcPr>
                  <w:tcW w:w="2094" w:type="dxa"/>
                  <w:shd w:val="clear" w:color="auto" w:fill="auto"/>
                  <w:vAlign w:val="center"/>
                </w:tcPr>
                <w:p w14:paraId="54B8F7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E107°2</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52</w:t>
                  </w:r>
                  <w:r>
                    <w:rPr>
                      <w:rFonts w:hint="default" w:ascii="Times New Roman" w:hAnsi="Times New Roman" w:cs="Times New Roman"/>
                      <w:color w:val="auto"/>
                      <w:szCs w:val="21"/>
                      <w:highlight w:val="none"/>
                    </w:rPr>
                    <w:t>.57</w:t>
                  </w:r>
                  <w:r>
                    <w:rPr>
                      <w:rFonts w:hint="eastAsia" w:cs="Times New Roman"/>
                      <w:color w:val="auto"/>
                      <w:szCs w:val="21"/>
                      <w:highlight w:val="none"/>
                      <w:lang w:val="en-US" w:eastAsia="zh-CN"/>
                    </w:rPr>
                    <w:t>0</w:t>
                  </w:r>
                  <w:r>
                    <w:rPr>
                      <w:rFonts w:hint="default" w:ascii="Times New Roman" w:hAnsi="Times New Roman" w:cs="Times New Roman"/>
                      <w:color w:val="auto"/>
                      <w:szCs w:val="21"/>
                      <w:highlight w:val="none"/>
                    </w:rPr>
                    <w:t>″</w:t>
                  </w:r>
                </w:p>
                <w:p w14:paraId="67FA99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cs="Times New Roman"/>
                      <w:color w:val="auto"/>
                      <w:szCs w:val="21"/>
                      <w:highlight w:val="none"/>
                    </w:rPr>
                    <w:t>N30°54′</w:t>
                  </w:r>
                  <w:r>
                    <w:rPr>
                      <w:rFonts w:hint="eastAsia" w:cs="Times New Roman"/>
                      <w:color w:val="auto"/>
                      <w:szCs w:val="21"/>
                      <w:highlight w:val="none"/>
                      <w:lang w:val="en-US" w:eastAsia="zh-CN"/>
                    </w:rPr>
                    <w:t>28</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3</w:t>
                  </w:r>
                  <w:r>
                    <w:rPr>
                      <w:rFonts w:hint="eastAsia" w:cs="Times New Roman"/>
                      <w:color w:val="auto"/>
                      <w:szCs w:val="21"/>
                      <w:highlight w:val="none"/>
                      <w:lang w:val="en-US" w:eastAsia="zh-CN"/>
                    </w:rPr>
                    <w:t>0</w:t>
                  </w:r>
                  <w:r>
                    <w:rPr>
                      <w:rFonts w:hint="default" w:ascii="Times New Roman" w:hAnsi="Times New Roman" w:cs="Times New Roman"/>
                      <w:color w:val="auto"/>
                      <w:szCs w:val="21"/>
                      <w:highlight w:val="none"/>
                    </w:rPr>
                    <w:t>″</w:t>
                  </w:r>
                </w:p>
              </w:tc>
            </w:tr>
            <w:tr w14:paraId="5013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2" w:type="dxa"/>
                  <w:vMerge w:val="restart"/>
                  <w:shd w:val="clear" w:color="auto" w:fill="auto"/>
                  <w:vAlign w:val="center"/>
                </w:tcPr>
                <w:p w14:paraId="6B3EE3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eastAsia="宋体" w:cs="Times New Roman"/>
                      <w:snapToGrid w:val="0"/>
                      <w:color w:val="auto"/>
                      <w:sz w:val="24"/>
                      <w:szCs w:val="21"/>
                      <w:highlight w:val="none"/>
                      <w:lang w:val="en-US" w:eastAsia="zh-CN" w:bidi="ar-SA"/>
                    </w:rPr>
                    <w:t>四川省大竹县东柳河清河镇防洪治理工程和东柳河杨家镇防洪治理工程</w:t>
                  </w:r>
                </w:p>
              </w:tc>
              <w:tc>
                <w:tcPr>
                  <w:tcW w:w="1763" w:type="dxa"/>
                  <w:shd w:val="clear" w:color="auto" w:fill="auto"/>
                  <w:vAlign w:val="center"/>
                </w:tcPr>
                <w:p w14:paraId="216056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清河镇段</w:t>
                  </w:r>
                </w:p>
              </w:tc>
              <w:tc>
                <w:tcPr>
                  <w:tcW w:w="2112" w:type="dxa"/>
                  <w:shd w:val="clear" w:color="auto" w:fill="auto"/>
                  <w:vAlign w:val="center"/>
                </w:tcPr>
                <w:p w14:paraId="66F4FF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E107°1</w:t>
                  </w:r>
                  <w:r>
                    <w:rPr>
                      <w:rFonts w:hint="eastAsia" w:ascii="Times New Roman" w:hAnsi="Times New Roman" w:cs="Times New Roman"/>
                      <w:color w:val="auto"/>
                      <w:szCs w:val="21"/>
                      <w:highlight w:val="none"/>
                      <w:lang w:val="en-US" w:eastAsia="zh-CN"/>
                    </w:rPr>
                    <w:t>4</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6.743</w:t>
                  </w:r>
                  <w:r>
                    <w:rPr>
                      <w:rFonts w:hint="default" w:ascii="Times New Roman" w:hAnsi="Times New Roman" w:cs="Times New Roman"/>
                      <w:color w:val="auto"/>
                      <w:szCs w:val="21"/>
                      <w:highlight w:val="none"/>
                    </w:rPr>
                    <w:t>″</w:t>
                  </w:r>
                </w:p>
                <w:p w14:paraId="60D97C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cs="Times New Roman"/>
                      <w:color w:val="auto"/>
                      <w:szCs w:val="21"/>
                      <w:highlight w:val="none"/>
                    </w:rPr>
                    <w:t>N30°</w:t>
                  </w:r>
                  <w:r>
                    <w:rPr>
                      <w:rFonts w:hint="eastAsia" w:ascii="Times New Roman" w:hAnsi="Times New Roman" w:cs="Times New Roman"/>
                      <w:color w:val="auto"/>
                      <w:szCs w:val="21"/>
                      <w:highlight w:val="none"/>
                      <w:lang w:val="en-US" w:eastAsia="zh-CN"/>
                    </w:rPr>
                    <w:t>53</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45</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77</w:t>
                  </w:r>
                  <w:r>
                    <w:rPr>
                      <w:rFonts w:hint="eastAsia" w:cs="Times New Roman"/>
                      <w:color w:val="auto"/>
                      <w:szCs w:val="21"/>
                      <w:highlight w:val="none"/>
                      <w:lang w:val="en-US" w:eastAsia="zh-CN"/>
                    </w:rPr>
                    <w:t>0</w:t>
                  </w:r>
                  <w:r>
                    <w:rPr>
                      <w:rFonts w:hint="default" w:ascii="Times New Roman" w:hAnsi="Times New Roman" w:cs="Times New Roman"/>
                      <w:color w:val="auto"/>
                      <w:szCs w:val="21"/>
                      <w:highlight w:val="none"/>
                    </w:rPr>
                    <w:t>″</w:t>
                  </w:r>
                </w:p>
              </w:tc>
              <w:tc>
                <w:tcPr>
                  <w:tcW w:w="2094" w:type="dxa"/>
                  <w:shd w:val="clear" w:color="auto" w:fill="auto"/>
                  <w:vAlign w:val="center"/>
                </w:tcPr>
                <w:p w14:paraId="65CC01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E107°</w:t>
                  </w:r>
                  <w:r>
                    <w:rPr>
                      <w:rFonts w:hint="eastAsia" w:ascii="Times New Roman" w:hAnsi="Times New Roman" w:cs="Times New Roman"/>
                      <w:color w:val="auto"/>
                      <w:szCs w:val="21"/>
                      <w:highlight w:val="none"/>
                      <w:lang w:val="en-US" w:eastAsia="zh-CN"/>
                    </w:rPr>
                    <w:t>14</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18.64</w:t>
                  </w:r>
                  <w:r>
                    <w:rPr>
                      <w:rFonts w:hint="eastAsia" w:cs="Times New Roman"/>
                      <w:color w:val="auto"/>
                      <w:szCs w:val="21"/>
                      <w:highlight w:val="none"/>
                      <w:lang w:val="en-US" w:eastAsia="zh-CN"/>
                    </w:rPr>
                    <w:t>0</w:t>
                  </w:r>
                  <w:r>
                    <w:rPr>
                      <w:rFonts w:hint="default" w:ascii="Times New Roman" w:hAnsi="Times New Roman" w:cs="Times New Roman"/>
                      <w:color w:val="auto"/>
                      <w:szCs w:val="21"/>
                      <w:highlight w:val="none"/>
                    </w:rPr>
                    <w:t>″</w:t>
                  </w:r>
                </w:p>
                <w:p w14:paraId="28846E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cs="Times New Roman"/>
                      <w:color w:val="auto"/>
                      <w:szCs w:val="21"/>
                      <w:highlight w:val="none"/>
                    </w:rPr>
                    <w:t>N30°5</w:t>
                  </w: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13.484</w:t>
                  </w:r>
                  <w:r>
                    <w:rPr>
                      <w:rFonts w:hint="default" w:ascii="Times New Roman" w:hAnsi="Times New Roman" w:cs="Times New Roman"/>
                      <w:color w:val="auto"/>
                      <w:szCs w:val="21"/>
                      <w:highlight w:val="none"/>
                    </w:rPr>
                    <w:t>″</w:t>
                  </w:r>
                </w:p>
              </w:tc>
            </w:tr>
            <w:tr w14:paraId="62F8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2" w:type="dxa"/>
                  <w:vMerge w:val="continue"/>
                  <w:shd w:val="clear" w:color="auto" w:fill="auto"/>
                  <w:vAlign w:val="center"/>
                </w:tcPr>
                <w:p w14:paraId="58C37E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p>
              </w:tc>
              <w:tc>
                <w:tcPr>
                  <w:tcW w:w="1763" w:type="dxa"/>
                  <w:shd w:val="clear" w:color="auto" w:fill="auto"/>
                  <w:vAlign w:val="center"/>
                </w:tcPr>
                <w:p w14:paraId="3BAC85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杨家镇段</w:t>
                  </w:r>
                </w:p>
              </w:tc>
              <w:tc>
                <w:tcPr>
                  <w:tcW w:w="2112" w:type="dxa"/>
                  <w:shd w:val="clear" w:color="auto" w:fill="auto"/>
                  <w:vAlign w:val="center"/>
                </w:tcPr>
                <w:p w14:paraId="622B8B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E107°1</w:t>
                  </w: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w:t>
                  </w:r>
                  <w:r>
                    <w:rPr>
                      <w:rFonts w:hint="eastAsia" w:ascii="Times New Roman" w:hAnsi="Times New Roman" w:cs="Times New Roman"/>
                      <w:color w:val="auto"/>
                      <w:szCs w:val="21"/>
                      <w:highlight w:val="none"/>
                      <w:lang w:val="en-US" w:eastAsia="zh-CN"/>
                    </w:rPr>
                    <w:t>37.196</w:t>
                  </w:r>
                  <w:r>
                    <w:rPr>
                      <w:rFonts w:hint="default" w:ascii="Times New Roman" w:hAnsi="Times New Roman" w:cs="Times New Roman"/>
                      <w:color w:val="auto"/>
                      <w:szCs w:val="21"/>
                      <w:highlight w:val="none"/>
                    </w:rPr>
                    <w:t>″</w:t>
                  </w:r>
                </w:p>
                <w:p w14:paraId="0C7C05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cs="Times New Roman"/>
                      <w:color w:val="auto"/>
                      <w:szCs w:val="21"/>
                      <w:highlight w:val="none"/>
                    </w:rPr>
                    <w:t>N30°</w:t>
                  </w:r>
                  <w:r>
                    <w:rPr>
                      <w:rFonts w:hint="eastAsia" w:ascii="Times New Roman" w:hAnsi="Times New Roman" w:cs="Times New Roman"/>
                      <w:color w:val="auto"/>
                      <w:szCs w:val="21"/>
                      <w:highlight w:val="none"/>
                      <w:lang w:val="en-US" w:eastAsia="zh-CN"/>
                    </w:rPr>
                    <w:t>50</w:t>
                  </w:r>
                  <w:r>
                    <w:rPr>
                      <w:rFonts w:hint="default" w:ascii="Times New Roman" w:hAnsi="Times New Roman" w:cs="Times New Roman"/>
                      <w:color w:val="auto"/>
                      <w:szCs w:val="21"/>
                      <w:highlight w:val="none"/>
                    </w:rPr>
                    <w:t>′5</w:t>
                  </w:r>
                  <w:r>
                    <w:rPr>
                      <w:rFonts w:hint="eastAsia"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.2</w:t>
                  </w:r>
                  <w:r>
                    <w:rPr>
                      <w:rFonts w:hint="eastAsia" w:ascii="Times New Roman" w:hAnsi="Times New Roman" w:cs="Times New Roman"/>
                      <w:color w:val="auto"/>
                      <w:szCs w:val="21"/>
                      <w:highlight w:val="none"/>
                      <w:lang w:val="en-US" w:eastAsia="zh-CN"/>
                    </w:rPr>
                    <w:t>33</w:t>
                  </w:r>
                  <w:r>
                    <w:rPr>
                      <w:rFonts w:hint="default" w:ascii="Times New Roman" w:hAnsi="Times New Roman" w:cs="Times New Roman"/>
                      <w:color w:val="auto"/>
                      <w:szCs w:val="21"/>
                      <w:highlight w:val="none"/>
                    </w:rPr>
                    <w:t>″</w:t>
                  </w:r>
                </w:p>
              </w:tc>
              <w:tc>
                <w:tcPr>
                  <w:tcW w:w="2094" w:type="dxa"/>
                  <w:shd w:val="clear" w:color="auto" w:fill="auto"/>
                  <w:vAlign w:val="center"/>
                </w:tcPr>
                <w:p w14:paraId="3081AA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E107°</w:t>
                  </w:r>
                  <w:r>
                    <w:rPr>
                      <w:rFonts w:hint="eastAsia" w:cs="Times New Roman"/>
                      <w:color w:val="auto"/>
                      <w:szCs w:val="21"/>
                      <w:highlight w:val="none"/>
                      <w:lang w:val="en-US" w:eastAsia="zh-CN"/>
                    </w:rPr>
                    <w:t>13</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41.740</w:t>
                  </w:r>
                  <w:r>
                    <w:rPr>
                      <w:rFonts w:hint="default" w:ascii="Times New Roman" w:hAnsi="Times New Roman" w:cs="Times New Roman"/>
                      <w:color w:val="auto"/>
                      <w:szCs w:val="21"/>
                      <w:highlight w:val="none"/>
                    </w:rPr>
                    <w:t>″</w:t>
                  </w:r>
                </w:p>
                <w:p w14:paraId="3F7F9D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default" w:ascii="Times New Roman" w:hAnsi="Times New Roman" w:cs="Times New Roman"/>
                      <w:color w:val="auto"/>
                      <w:szCs w:val="21"/>
                      <w:highlight w:val="none"/>
                    </w:rPr>
                    <w:t>N30°5</w:t>
                  </w: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w:t>
                  </w:r>
                  <w:r>
                    <w:rPr>
                      <w:rFonts w:hint="eastAsia" w:cs="Times New Roman"/>
                      <w:color w:val="auto"/>
                      <w:szCs w:val="21"/>
                      <w:highlight w:val="none"/>
                      <w:lang w:val="en-US" w:eastAsia="zh-CN"/>
                    </w:rPr>
                    <w:t>29.930</w:t>
                  </w:r>
                  <w:r>
                    <w:rPr>
                      <w:rFonts w:hint="default" w:ascii="Times New Roman" w:hAnsi="Times New Roman" w:cs="Times New Roman"/>
                      <w:color w:val="auto"/>
                      <w:szCs w:val="21"/>
                      <w:highlight w:val="none"/>
                    </w:rPr>
                    <w:t>″</w:t>
                  </w:r>
                </w:p>
              </w:tc>
            </w:tr>
          </w:tbl>
          <w:p w14:paraId="7C6C5A66">
            <w:pPr>
              <w:pStyle w:val="15"/>
              <w:spacing w:line="240" w:lineRule="auto"/>
              <w:jc w:val="both"/>
              <w:rPr>
                <w:rFonts w:hint="default" w:ascii="Times New Roman" w:hAnsi="Times New Roman" w:cs="Times New Roman"/>
                <w:color w:val="auto"/>
                <w:highlight w:val="none"/>
              </w:rPr>
            </w:pPr>
          </w:p>
        </w:tc>
      </w:tr>
      <w:tr w14:paraId="6AEE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69" w:type="pct"/>
            <w:gridSpan w:val="2"/>
            <w:vMerge w:val="restart"/>
            <w:tcBorders>
              <w:top w:val="single" w:color="auto" w:sz="4" w:space="0"/>
            </w:tcBorders>
            <w:noWrap w:val="0"/>
            <w:vAlign w:val="center"/>
          </w:tcPr>
          <w:p w14:paraId="0E740D37">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w:t>
            </w:r>
          </w:p>
          <w:p w14:paraId="78854F2C">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行业类别</w:t>
            </w:r>
          </w:p>
        </w:tc>
        <w:tc>
          <w:tcPr>
            <w:tcW w:w="881" w:type="pct"/>
            <w:vMerge w:val="restart"/>
            <w:tcBorders>
              <w:top w:val="single" w:color="auto" w:sz="4" w:space="0"/>
            </w:tcBorders>
            <w:noWrap w:val="0"/>
            <w:vAlign w:val="center"/>
          </w:tcPr>
          <w:p w14:paraId="07549B66">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五</w:t>
            </w:r>
            <w:r>
              <w:rPr>
                <w:rFonts w:hint="default" w:ascii="Times New Roman" w:hAnsi="Times New Roman" w:cs="Times New Roman"/>
                <w:color w:val="auto"/>
                <w:sz w:val="24"/>
                <w:szCs w:val="24"/>
                <w:highlight w:val="none"/>
              </w:rPr>
              <w:t>十一、水利（127 防洪除涝工程</w:t>
            </w:r>
            <w:r>
              <w:rPr>
                <w:rFonts w:hint="eastAsia" w:cs="Times New Roman"/>
                <w:color w:val="auto"/>
                <w:sz w:val="24"/>
                <w:szCs w:val="24"/>
                <w:highlight w:val="none"/>
                <w:lang w:eastAsia="zh-CN"/>
              </w:rPr>
              <w:t>、</w:t>
            </w:r>
            <w:r>
              <w:rPr>
                <w:rFonts w:hint="eastAsia" w:cs="Times New Roman"/>
                <w:bCs/>
                <w:color w:val="auto"/>
                <w:sz w:val="24"/>
                <w:szCs w:val="24"/>
                <w:highlight w:val="none"/>
                <w:lang w:val="en-US" w:eastAsia="zh-CN"/>
              </w:rPr>
              <w:t>128 河湖整治（不含农村塘堰、水渠）</w:t>
            </w:r>
            <w:r>
              <w:rPr>
                <w:rFonts w:hint="default" w:ascii="Times New Roman" w:hAnsi="Times New Roman" w:cs="Times New Roman"/>
                <w:color w:val="auto"/>
                <w:sz w:val="24"/>
                <w:szCs w:val="24"/>
                <w:highlight w:val="none"/>
              </w:rPr>
              <w:t>）</w:t>
            </w:r>
          </w:p>
        </w:tc>
        <w:tc>
          <w:tcPr>
            <w:tcW w:w="885" w:type="pct"/>
            <w:vMerge w:val="restart"/>
            <w:tcBorders>
              <w:top w:val="single" w:color="auto" w:sz="4" w:space="0"/>
            </w:tcBorders>
            <w:noWrap w:val="0"/>
            <w:vAlign w:val="center"/>
          </w:tcPr>
          <w:p w14:paraId="72925889">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用地（用海）面积（m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）/长度（km）</w:t>
            </w:r>
          </w:p>
        </w:tc>
        <w:tc>
          <w:tcPr>
            <w:tcW w:w="1060" w:type="pct"/>
            <w:tcBorders>
              <w:top w:val="single" w:color="auto" w:sz="4" w:space="0"/>
              <w:bottom w:val="single" w:color="auto" w:sz="4" w:space="0"/>
            </w:tcBorders>
            <w:shd w:val="clear" w:color="auto" w:fill="auto"/>
            <w:noWrap w:val="0"/>
            <w:vAlign w:val="center"/>
          </w:tcPr>
          <w:p w14:paraId="0ADF6A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eastAsia" w:cs="Times New Roman"/>
                <w:color w:val="auto"/>
                <w:highlight w:val="none"/>
                <w:lang w:eastAsia="zh-CN"/>
              </w:rPr>
              <w:t>四川省大竹县柳城河石河镇二郎、福兴防洪治理工程</w:t>
            </w:r>
          </w:p>
        </w:tc>
        <w:tc>
          <w:tcPr>
            <w:tcW w:w="1103" w:type="pct"/>
            <w:tcBorders>
              <w:top w:val="single" w:color="auto" w:sz="4" w:space="0"/>
              <w:bottom w:val="single" w:color="auto" w:sz="4" w:space="0"/>
            </w:tcBorders>
            <w:shd w:val="clear" w:color="auto" w:fill="auto"/>
            <w:noWrap w:val="0"/>
            <w:vAlign w:val="center"/>
          </w:tcPr>
          <w:p w14:paraId="01734444">
            <w:pPr>
              <w:pStyle w:val="15"/>
              <w:spacing w:line="240" w:lineRule="auto"/>
              <w:rPr>
                <w:rFonts w:hint="default" w:ascii="Times New Roman" w:hAnsi="Times New Roman" w:cs="Times New Roman"/>
                <w:color w:val="auto"/>
                <w:sz w:val="24"/>
                <w:szCs w:val="24"/>
                <w:highlight w:val="none"/>
              </w:rPr>
            </w:pPr>
            <w:r>
              <w:rPr>
                <w:rFonts w:hint="eastAsia"/>
                <w:color w:val="auto"/>
                <w:sz w:val="24"/>
                <w:szCs w:val="24"/>
                <w:highlight w:val="none"/>
              </w:rPr>
              <w:t>治理总长度7.429km</w:t>
            </w:r>
          </w:p>
          <w:p w14:paraId="4878DDC7">
            <w:pPr>
              <w:pStyle w:val="15"/>
              <w:spacing w:line="240" w:lineRule="auto"/>
              <w:ind w:firstLine="0" w:firstLineChars="0"/>
              <w:rPr>
                <w:rFonts w:hint="default" w:ascii="Times New Roman" w:hAnsi="Times New Roman" w:cs="Times New Roman"/>
                <w:color w:val="auto"/>
                <w:highlight w:val="none"/>
                <w:vertAlign w:val="superscript"/>
              </w:rPr>
            </w:pPr>
            <w:r>
              <w:rPr>
                <w:rFonts w:hint="default" w:ascii="Times New Roman" w:hAnsi="Times New Roman" w:cs="Times New Roman"/>
                <w:color w:val="auto"/>
                <w:sz w:val="24"/>
                <w:szCs w:val="24"/>
                <w:highlight w:val="none"/>
              </w:rPr>
              <w:t>永久占地：</w:t>
            </w:r>
            <w:r>
              <w:rPr>
                <w:rFonts w:hint="default" w:ascii="Times New Roman" w:hAnsi="Times New Roman" w:eastAsia="宋体" w:cs="Times New Roman"/>
                <w:color w:val="auto"/>
                <w:highlight w:val="none"/>
                <w:lang w:eastAsia="zh-CN"/>
              </w:rPr>
              <w:t>45246.</w:t>
            </w:r>
            <w:r>
              <w:rPr>
                <w:rFonts w:hint="default" w:ascii="Times New Roman" w:hAnsi="Times New Roman" w:eastAsia="宋体" w:cs="Times New Roman"/>
                <w:color w:val="auto"/>
                <w:highlight w:val="none"/>
                <w:lang w:val="en-US" w:eastAsia="zh-CN"/>
              </w:rPr>
              <w:t>7</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p>
          <w:p w14:paraId="0D8C8E41">
            <w:pPr>
              <w:pStyle w:val="15"/>
              <w:spacing w:line="240" w:lineRule="auto"/>
              <w:ind w:firstLine="0" w:firstLineChars="0"/>
              <w:rPr>
                <w:rFonts w:hint="default" w:ascii="Times New Roman" w:hAnsi="Times New Roman" w:eastAsia="宋体" w:cs="Times New Roman"/>
                <w:snapToGrid w:val="0"/>
                <w:color w:val="auto"/>
                <w:sz w:val="24"/>
                <w:szCs w:val="24"/>
                <w:highlight w:val="none"/>
                <w:vertAlign w:val="superscript"/>
                <w:lang w:val="en-US" w:eastAsia="zh-CN" w:bidi="ar-SA"/>
              </w:rPr>
            </w:pPr>
            <w:r>
              <w:rPr>
                <w:rFonts w:hint="default" w:ascii="Times New Roman" w:hAnsi="Times New Roman" w:cs="Times New Roman"/>
                <w:color w:val="auto"/>
                <w:highlight w:val="none"/>
              </w:rPr>
              <w:t>临时占地：</w:t>
            </w:r>
            <w:r>
              <w:rPr>
                <w:rFonts w:hint="eastAsia" w:cs="Times New Roman"/>
                <w:color w:val="auto"/>
                <w:highlight w:val="none"/>
                <w:lang w:val="en-US" w:eastAsia="zh-CN"/>
              </w:rPr>
              <w:t>6140m</w:t>
            </w:r>
            <w:r>
              <w:rPr>
                <w:rFonts w:hint="default" w:ascii="Times New Roman" w:hAnsi="Times New Roman" w:cs="Times New Roman"/>
                <w:color w:val="auto"/>
                <w:highlight w:val="none"/>
                <w:vertAlign w:val="superscript"/>
              </w:rPr>
              <w:t>2</w:t>
            </w:r>
          </w:p>
        </w:tc>
      </w:tr>
      <w:tr w14:paraId="4E47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69" w:type="pct"/>
            <w:gridSpan w:val="2"/>
            <w:vMerge w:val="continue"/>
            <w:noWrap w:val="0"/>
            <w:vAlign w:val="center"/>
          </w:tcPr>
          <w:p w14:paraId="3264ECA4">
            <w:pPr>
              <w:pStyle w:val="15"/>
              <w:spacing w:line="240" w:lineRule="auto"/>
              <w:rPr>
                <w:color w:val="auto"/>
                <w:highlight w:val="none"/>
              </w:rPr>
            </w:pPr>
          </w:p>
        </w:tc>
        <w:tc>
          <w:tcPr>
            <w:tcW w:w="881" w:type="pct"/>
            <w:vMerge w:val="continue"/>
            <w:noWrap w:val="0"/>
            <w:vAlign w:val="center"/>
          </w:tcPr>
          <w:p w14:paraId="4B114CD3">
            <w:pPr>
              <w:pStyle w:val="15"/>
              <w:spacing w:line="240" w:lineRule="auto"/>
              <w:rPr>
                <w:color w:val="auto"/>
                <w:highlight w:val="none"/>
              </w:rPr>
            </w:pPr>
          </w:p>
        </w:tc>
        <w:tc>
          <w:tcPr>
            <w:tcW w:w="885" w:type="pct"/>
            <w:vMerge w:val="continue"/>
            <w:noWrap w:val="0"/>
            <w:vAlign w:val="center"/>
          </w:tcPr>
          <w:p w14:paraId="5E1432B9">
            <w:pPr>
              <w:pStyle w:val="15"/>
              <w:spacing w:line="240" w:lineRule="auto"/>
              <w:rPr>
                <w:color w:val="auto"/>
                <w:highlight w:val="none"/>
              </w:rPr>
            </w:pPr>
          </w:p>
        </w:tc>
        <w:tc>
          <w:tcPr>
            <w:tcW w:w="1060" w:type="pct"/>
            <w:tcBorders>
              <w:top w:val="single" w:color="auto" w:sz="4" w:space="0"/>
              <w:bottom w:val="single" w:color="auto" w:sz="4" w:space="0"/>
            </w:tcBorders>
            <w:shd w:val="clear" w:color="auto" w:fill="auto"/>
            <w:noWrap w:val="0"/>
            <w:vAlign w:val="center"/>
          </w:tcPr>
          <w:p w14:paraId="1FC2E0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4"/>
                <w:szCs w:val="21"/>
                <w:highlight w:val="none"/>
                <w:lang w:val="en-US" w:eastAsia="zh-CN" w:bidi="ar-SA"/>
              </w:rPr>
            </w:pPr>
            <w:r>
              <w:rPr>
                <w:rFonts w:hint="eastAsia" w:cs="Times New Roman"/>
                <w:color w:val="auto"/>
                <w:highlight w:val="none"/>
                <w:lang w:eastAsia="zh-CN"/>
              </w:rPr>
              <w:t>四川省大竹县柳城河石河镇防洪治理工程</w:t>
            </w:r>
          </w:p>
        </w:tc>
        <w:tc>
          <w:tcPr>
            <w:tcW w:w="1103" w:type="pct"/>
            <w:tcBorders>
              <w:top w:val="single" w:color="auto" w:sz="4" w:space="0"/>
              <w:bottom w:val="single" w:color="auto" w:sz="4" w:space="0"/>
            </w:tcBorders>
            <w:shd w:val="clear" w:color="auto" w:fill="auto"/>
            <w:noWrap w:val="0"/>
            <w:vAlign w:val="center"/>
          </w:tcPr>
          <w:p w14:paraId="104DB514">
            <w:pPr>
              <w:pStyle w:val="15"/>
              <w:spacing w:line="240" w:lineRule="auto"/>
              <w:rPr>
                <w:rFonts w:hint="eastAsia" w:ascii="Times New Roman" w:hAnsi="Times New Roman" w:eastAsia="宋体" w:cs="Times New Roman"/>
                <w:color w:val="auto"/>
                <w:sz w:val="24"/>
                <w:szCs w:val="24"/>
                <w:highlight w:val="none"/>
                <w:lang w:eastAsia="zh-CN"/>
              </w:rPr>
            </w:pPr>
            <w:r>
              <w:rPr>
                <w:rFonts w:hint="eastAsia"/>
                <w:color w:val="auto"/>
                <w:sz w:val="24"/>
                <w:szCs w:val="24"/>
                <w:highlight w:val="none"/>
                <w:lang w:eastAsia="zh-CN"/>
              </w:rPr>
              <w:t>治理总长度4.6km</w:t>
            </w:r>
          </w:p>
          <w:p w14:paraId="660250FC">
            <w:pPr>
              <w:pStyle w:val="15"/>
              <w:spacing w:line="240" w:lineRule="auto"/>
              <w:rPr>
                <w:rFonts w:hint="eastAsia" w:ascii="Times New Roman" w:hAnsi="Times New Roman" w:cs="Times New Roman"/>
                <w:color w:val="auto"/>
                <w:sz w:val="24"/>
                <w:szCs w:val="24"/>
                <w:highlight w:val="none"/>
                <w:vertAlign w:val="baseline"/>
                <w:lang w:eastAsia="zh-CN"/>
              </w:rPr>
            </w:pPr>
            <w:r>
              <w:rPr>
                <w:rFonts w:hint="default" w:ascii="Times New Roman" w:hAnsi="Times New Roman" w:cs="Times New Roman"/>
                <w:color w:val="auto"/>
                <w:sz w:val="24"/>
                <w:szCs w:val="24"/>
                <w:highlight w:val="none"/>
              </w:rPr>
              <w:t>永久占地：</w:t>
            </w:r>
            <w:r>
              <w:rPr>
                <w:rFonts w:hint="eastAsia" w:cs="Times New Roman"/>
                <w:color w:val="auto"/>
                <w:sz w:val="24"/>
                <w:szCs w:val="24"/>
                <w:highlight w:val="none"/>
                <w:lang w:eastAsia="zh-CN"/>
              </w:rPr>
              <w:t>50400m</w:t>
            </w:r>
            <w:r>
              <w:rPr>
                <w:rFonts w:hint="default" w:ascii="Times New Roman" w:hAnsi="Times New Roman" w:cs="Times New Roman"/>
                <w:color w:val="auto"/>
                <w:sz w:val="24"/>
                <w:szCs w:val="24"/>
                <w:highlight w:val="none"/>
                <w:vertAlign w:val="superscript"/>
              </w:rPr>
              <w:t>2</w:t>
            </w:r>
          </w:p>
          <w:p w14:paraId="654611D9">
            <w:pPr>
              <w:pStyle w:val="15"/>
              <w:spacing w:line="240" w:lineRule="auto"/>
              <w:ind w:firstLine="0" w:firstLineChars="0"/>
              <w:rPr>
                <w:rFonts w:hint="default" w:ascii="Times New Roman" w:hAnsi="Times New Roman" w:eastAsia="宋体" w:cs="Times New Roman"/>
                <w:snapToGrid w:val="0"/>
                <w:color w:val="auto"/>
                <w:sz w:val="24"/>
                <w:szCs w:val="24"/>
                <w:highlight w:val="none"/>
                <w:vertAlign w:val="superscript"/>
                <w:lang w:val="en-US" w:eastAsia="zh-CN" w:bidi="ar-SA"/>
              </w:rPr>
            </w:pPr>
            <w:r>
              <w:rPr>
                <w:rFonts w:hint="default" w:ascii="Times New Roman" w:hAnsi="Times New Roman" w:cs="Times New Roman"/>
                <w:color w:val="auto"/>
                <w:sz w:val="24"/>
                <w:szCs w:val="24"/>
                <w:highlight w:val="none"/>
              </w:rPr>
              <w:t>临时占地：</w:t>
            </w:r>
            <w:r>
              <w:rPr>
                <w:rFonts w:hint="eastAsia" w:cs="Times New Roman"/>
                <w:color w:val="auto"/>
                <w:sz w:val="24"/>
                <w:szCs w:val="24"/>
                <w:highlight w:val="none"/>
                <w:lang w:val="en-US" w:eastAsia="zh-CN"/>
              </w:rPr>
              <w:t>13920m</w:t>
            </w:r>
            <w:r>
              <w:rPr>
                <w:rFonts w:hint="default" w:ascii="Times New Roman" w:hAnsi="Times New Roman" w:cs="Times New Roman"/>
                <w:color w:val="auto"/>
                <w:sz w:val="24"/>
                <w:szCs w:val="24"/>
                <w:highlight w:val="none"/>
                <w:vertAlign w:val="superscript"/>
              </w:rPr>
              <w:t>2</w:t>
            </w:r>
          </w:p>
        </w:tc>
      </w:tr>
      <w:tr w14:paraId="1DDA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069" w:type="pct"/>
            <w:gridSpan w:val="2"/>
            <w:vMerge w:val="continue"/>
            <w:tcBorders>
              <w:bottom w:val="single" w:color="auto" w:sz="4" w:space="0"/>
            </w:tcBorders>
            <w:noWrap w:val="0"/>
            <w:vAlign w:val="center"/>
          </w:tcPr>
          <w:p w14:paraId="799FDB93">
            <w:pPr>
              <w:pStyle w:val="15"/>
              <w:spacing w:line="240" w:lineRule="auto"/>
              <w:rPr>
                <w:color w:val="auto"/>
                <w:highlight w:val="none"/>
              </w:rPr>
            </w:pPr>
          </w:p>
        </w:tc>
        <w:tc>
          <w:tcPr>
            <w:tcW w:w="881" w:type="pct"/>
            <w:vMerge w:val="continue"/>
            <w:tcBorders>
              <w:bottom w:val="single" w:color="auto" w:sz="4" w:space="0"/>
            </w:tcBorders>
            <w:noWrap w:val="0"/>
            <w:vAlign w:val="center"/>
          </w:tcPr>
          <w:p w14:paraId="75CD92B7">
            <w:pPr>
              <w:pStyle w:val="15"/>
              <w:spacing w:line="240" w:lineRule="auto"/>
              <w:rPr>
                <w:color w:val="auto"/>
                <w:highlight w:val="none"/>
              </w:rPr>
            </w:pPr>
          </w:p>
        </w:tc>
        <w:tc>
          <w:tcPr>
            <w:tcW w:w="885" w:type="pct"/>
            <w:vMerge w:val="continue"/>
            <w:tcBorders>
              <w:bottom w:val="single" w:color="auto" w:sz="4" w:space="0"/>
            </w:tcBorders>
            <w:noWrap w:val="0"/>
            <w:vAlign w:val="center"/>
          </w:tcPr>
          <w:p w14:paraId="2164F99A">
            <w:pPr>
              <w:pStyle w:val="15"/>
              <w:spacing w:line="240" w:lineRule="auto"/>
              <w:rPr>
                <w:color w:val="auto"/>
                <w:highlight w:val="none"/>
              </w:rPr>
            </w:pPr>
          </w:p>
        </w:tc>
        <w:tc>
          <w:tcPr>
            <w:tcW w:w="1060" w:type="pct"/>
            <w:tcBorders>
              <w:top w:val="single" w:color="auto" w:sz="4" w:space="0"/>
              <w:bottom w:val="single" w:color="auto" w:sz="4" w:space="0"/>
            </w:tcBorders>
            <w:noWrap w:val="0"/>
            <w:vAlign w:val="center"/>
          </w:tcPr>
          <w:p w14:paraId="2EC14455">
            <w:pPr>
              <w:pStyle w:val="15"/>
              <w:spacing w:line="240" w:lineRule="auto"/>
              <w:rPr>
                <w:color w:val="auto"/>
                <w:highlight w:val="none"/>
              </w:rPr>
            </w:pPr>
            <w:r>
              <w:rPr>
                <w:rFonts w:hint="default" w:ascii="Times New Roman" w:hAnsi="Times New Roman" w:eastAsia="宋体" w:cs="Times New Roman"/>
                <w:snapToGrid w:val="0"/>
                <w:color w:val="auto"/>
                <w:sz w:val="24"/>
                <w:szCs w:val="21"/>
                <w:highlight w:val="none"/>
                <w:lang w:val="en-US" w:eastAsia="zh-CN" w:bidi="ar-SA"/>
              </w:rPr>
              <w:t>四川省大竹县东柳河清河镇防洪治理工程和东柳河杨家镇防洪治理工程</w:t>
            </w:r>
          </w:p>
        </w:tc>
        <w:tc>
          <w:tcPr>
            <w:tcW w:w="1103" w:type="pct"/>
            <w:tcBorders>
              <w:top w:val="single" w:color="auto" w:sz="4" w:space="0"/>
              <w:bottom w:val="single" w:color="auto" w:sz="4" w:space="0"/>
            </w:tcBorders>
            <w:noWrap w:val="0"/>
            <w:vAlign w:val="center"/>
          </w:tcPr>
          <w:p w14:paraId="14B5E6E0">
            <w:pPr>
              <w:pStyle w:val="15"/>
              <w:spacing w:line="240" w:lineRule="auto"/>
              <w:rPr>
                <w:rFonts w:hint="eastAsia" w:ascii="Times New Roman" w:hAnsi="Times New Roman" w:eastAsia="宋体" w:cs="Times New Roman"/>
                <w:color w:val="auto"/>
                <w:sz w:val="24"/>
                <w:szCs w:val="24"/>
                <w:highlight w:val="none"/>
                <w:lang w:eastAsia="zh-CN"/>
              </w:rPr>
            </w:pPr>
            <w:r>
              <w:rPr>
                <w:rFonts w:hint="eastAsia"/>
                <w:color w:val="auto"/>
                <w:sz w:val="24"/>
                <w:szCs w:val="24"/>
                <w:highlight w:val="none"/>
                <w:lang w:eastAsia="zh-CN"/>
              </w:rPr>
              <w:t>治理总长度</w:t>
            </w:r>
            <w:r>
              <w:rPr>
                <w:rFonts w:hint="eastAsia"/>
                <w:color w:val="auto"/>
                <w:sz w:val="24"/>
                <w:szCs w:val="24"/>
                <w:highlight w:val="none"/>
                <w:lang w:val="en-US" w:eastAsia="zh-CN"/>
              </w:rPr>
              <w:t>9.258</w:t>
            </w:r>
            <w:r>
              <w:rPr>
                <w:rFonts w:hint="eastAsia"/>
                <w:color w:val="auto"/>
                <w:sz w:val="24"/>
                <w:szCs w:val="24"/>
                <w:highlight w:val="none"/>
                <w:lang w:eastAsia="zh-CN"/>
              </w:rPr>
              <w:t>km</w:t>
            </w:r>
          </w:p>
          <w:p w14:paraId="29DB8716">
            <w:pPr>
              <w:pStyle w:val="15"/>
              <w:spacing w:line="240" w:lineRule="auto"/>
              <w:rPr>
                <w:rFonts w:hint="eastAsia" w:ascii="Times New Roman" w:hAnsi="Times New Roman" w:cs="Times New Roman"/>
                <w:color w:val="auto"/>
                <w:sz w:val="24"/>
                <w:szCs w:val="24"/>
                <w:highlight w:val="none"/>
                <w:vertAlign w:val="baseline"/>
                <w:lang w:eastAsia="zh-CN"/>
              </w:rPr>
            </w:pPr>
            <w:r>
              <w:rPr>
                <w:rFonts w:hint="default" w:ascii="Times New Roman" w:hAnsi="Times New Roman" w:cs="Times New Roman"/>
                <w:color w:val="auto"/>
                <w:sz w:val="24"/>
                <w:szCs w:val="24"/>
                <w:highlight w:val="none"/>
              </w:rPr>
              <w:t>永久占地：</w:t>
            </w:r>
            <w:r>
              <w:rPr>
                <w:rFonts w:hint="eastAsia" w:cs="Times New Roman"/>
                <w:color w:val="auto"/>
                <w:sz w:val="24"/>
                <w:szCs w:val="24"/>
                <w:highlight w:val="none"/>
                <w:lang w:val="en-US" w:eastAsia="zh-CN"/>
              </w:rPr>
              <w:t>89400.447</w:t>
            </w:r>
            <w:r>
              <w:rPr>
                <w:rFonts w:hint="eastAsia"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rPr>
              <w:t>2</w:t>
            </w:r>
          </w:p>
          <w:p w14:paraId="22AC6F4C">
            <w:pPr>
              <w:pStyle w:val="15"/>
              <w:spacing w:line="240" w:lineRule="auto"/>
              <w:rPr>
                <w:rFonts w:hint="default" w:eastAsia="宋体"/>
                <w:color w:val="auto"/>
                <w:highlight w:val="none"/>
                <w:lang w:val="en-US" w:eastAsia="zh-CN"/>
              </w:rPr>
            </w:pPr>
            <w:r>
              <w:rPr>
                <w:rFonts w:hint="default" w:ascii="Times New Roman" w:hAnsi="Times New Roman" w:cs="Times New Roman"/>
                <w:color w:val="auto"/>
                <w:sz w:val="24"/>
                <w:szCs w:val="24"/>
                <w:highlight w:val="none"/>
              </w:rPr>
              <w:t>临时占地：</w:t>
            </w:r>
            <w:r>
              <w:rPr>
                <w:rFonts w:hint="eastAsia" w:ascii="Times New Roman" w:hAnsi="Times New Roman" w:cs="Times New Roman"/>
                <w:color w:val="auto"/>
                <w:sz w:val="24"/>
                <w:szCs w:val="24"/>
                <w:highlight w:val="none"/>
                <w:lang w:val="en-US" w:eastAsia="zh-CN"/>
              </w:rPr>
              <w:t>17900.09</w:t>
            </w:r>
            <w:r>
              <w:rPr>
                <w:rFonts w:hint="eastAsia"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rPr>
              <w:t>2</w:t>
            </w:r>
          </w:p>
        </w:tc>
      </w:tr>
      <w:tr w14:paraId="73AD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pct"/>
            <w:gridSpan w:val="2"/>
            <w:tcBorders>
              <w:top w:val="single" w:color="auto" w:sz="4" w:space="0"/>
              <w:bottom w:val="single" w:color="auto" w:sz="4" w:space="0"/>
            </w:tcBorders>
            <w:noWrap w:val="0"/>
            <w:vAlign w:val="center"/>
          </w:tcPr>
          <w:p w14:paraId="1ADCF841">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建设性质</w:t>
            </w:r>
          </w:p>
        </w:tc>
        <w:tc>
          <w:tcPr>
            <w:tcW w:w="881" w:type="pct"/>
            <w:tcBorders>
              <w:top w:val="single" w:color="auto" w:sz="4" w:space="0"/>
              <w:bottom w:val="single" w:color="auto" w:sz="4" w:space="0"/>
            </w:tcBorders>
            <w:noWrap w:val="0"/>
            <w:vAlign w:val="center"/>
          </w:tcPr>
          <w:p w14:paraId="1A855E30">
            <w:pPr>
              <w:pStyle w:val="15"/>
              <w:spacing w:line="240" w:lineRule="auto"/>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w:char="00FE"/>
            </w:r>
            <w:r>
              <w:rPr>
                <w:rFonts w:hint="default" w:ascii="Times New Roman" w:hAnsi="Times New Roman" w:cs="Times New Roman"/>
                <w:color w:val="auto"/>
                <w:highlight w:val="none"/>
              </w:rPr>
              <w:t>新建（迁建）</w:t>
            </w:r>
          </w:p>
          <w:p w14:paraId="06893FB2">
            <w:pPr>
              <w:pStyle w:val="15"/>
              <w:spacing w:line="240" w:lineRule="auto"/>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w:char="00A8"/>
            </w:r>
            <w:r>
              <w:rPr>
                <w:rFonts w:hint="default" w:ascii="Times New Roman" w:hAnsi="Times New Roman" w:cs="Times New Roman"/>
                <w:color w:val="auto"/>
                <w:highlight w:val="none"/>
              </w:rPr>
              <w:t>改建</w:t>
            </w:r>
          </w:p>
          <w:p w14:paraId="384E2F15">
            <w:pPr>
              <w:pStyle w:val="15"/>
              <w:spacing w:line="240" w:lineRule="auto"/>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w:char="00A8"/>
            </w:r>
            <w:r>
              <w:rPr>
                <w:rFonts w:hint="default" w:ascii="Times New Roman" w:hAnsi="Times New Roman" w:cs="Times New Roman"/>
                <w:color w:val="auto"/>
                <w:highlight w:val="none"/>
              </w:rPr>
              <w:t>扩建</w:t>
            </w:r>
          </w:p>
          <w:p w14:paraId="39644D45">
            <w:pPr>
              <w:pStyle w:val="15"/>
              <w:spacing w:line="240" w:lineRule="auto"/>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w:char="00A8"/>
            </w:r>
            <w:r>
              <w:rPr>
                <w:rFonts w:hint="default" w:ascii="Times New Roman" w:hAnsi="Times New Roman" w:cs="Times New Roman"/>
                <w:color w:val="auto"/>
                <w:highlight w:val="none"/>
              </w:rPr>
              <w:t>技术改造</w:t>
            </w:r>
          </w:p>
        </w:tc>
        <w:tc>
          <w:tcPr>
            <w:tcW w:w="885" w:type="pct"/>
            <w:tcBorders>
              <w:top w:val="single" w:color="auto" w:sz="4" w:space="0"/>
              <w:bottom w:val="single" w:color="auto" w:sz="4" w:space="0"/>
            </w:tcBorders>
            <w:noWrap w:val="0"/>
            <w:vAlign w:val="center"/>
          </w:tcPr>
          <w:p w14:paraId="6E99FC73">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w:t>
            </w:r>
          </w:p>
          <w:p w14:paraId="2F8E1547">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申报情形</w:t>
            </w:r>
          </w:p>
        </w:tc>
        <w:tc>
          <w:tcPr>
            <w:tcW w:w="2164" w:type="pct"/>
            <w:gridSpan w:val="2"/>
            <w:tcBorders>
              <w:top w:val="single" w:color="auto" w:sz="4" w:space="0"/>
              <w:bottom w:val="single" w:color="auto" w:sz="4" w:space="0"/>
            </w:tcBorders>
            <w:noWrap w:val="0"/>
            <w:vAlign w:val="center"/>
          </w:tcPr>
          <w:p w14:paraId="5DE5FB21">
            <w:pPr>
              <w:pStyle w:val="15"/>
              <w:spacing w:line="240" w:lineRule="auto"/>
              <w:jc w:val="left"/>
              <w:rPr>
                <w:rFonts w:hint="default" w:ascii="Times New Roman" w:hAnsi="Times New Roman" w:cs="Times New Roman"/>
                <w:color w:val="auto"/>
                <w:szCs w:val="22"/>
                <w:highlight w:val="none"/>
              </w:rPr>
            </w:pPr>
            <w:r>
              <w:rPr>
                <w:rFonts w:hint="default" w:ascii="Times New Roman" w:hAnsi="Times New Roman" w:cs="Times New Roman"/>
                <w:color w:val="auto"/>
                <w:highlight w:val="none"/>
              </w:rPr>
              <w:sym w:font="Wingdings" w:char="00FE"/>
            </w:r>
            <w:r>
              <w:rPr>
                <w:rFonts w:hint="default" w:ascii="Times New Roman" w:hAnsi="Times New Roman" w:cs="Times New Roman"/>
                <w:color w:val="auto"/>
                <w:szCs w:val="22"/>
                <w:highlight w:val="none"/>
              </w:rPr>
              <w:t>首次申报项目</w:t>
            </w:r>
          </w:p>
          <w:p w14:paraId="022A6876">
            <w:pPr>
              <w:pStyle w:val="15"/>
              <w:spacing w:line="240" w:lineRule="auto"/>
              <w:jc w:val="left"/>
              <w:rPr>
                <w:rFonts w:hint="default" w:ascii="Times New Roman" w:hAnsi="Times New Roman" w:cs="Times New Roman"/>
                <w:color w:val="auto"/>
                <w:szCs w:val="22"/>
                <w:highlight w:val="none"/>
              </w:rPr>
            </w:pPr>
            <w:r>
              <w:rPr>
                <w:rFonts w:hint="default" w:ascii="Times New Roman" w:hAnsi="Times New Roman" w:cs="Times New Roman"/>
                <w:color w:val="auto"/>
                <w:highlight w:val="none"/>
              </w:rPr>
              <w:sym w:font="Wingdings" w:char="00A8"/>
            </w:r>
            <w:r>
              <w:rPr>
                <w:rFonts w:hint="default" w:ascii="Times New Roman" w:hAnsi="Times New Roman" w:cs="Times New Roman"/>
                <w:color w:val="auto"/>
                <w:szCs w:val="22"/>
                <w:highlight w:val="none"/>
              </w:rPr>
              <w:t>不予批准后再次申报项目</w:t>
            </w:r>
          </w:p>
          <w:p w14:paraId="5159200B">
            <w:pPr>
              <w:pStyle w:val="15"/>
              <w:spacing w:line="240" w:lineRule="auto"/>
              <w:jc w:val="left"/>
              <w:rPr>
                <w:rFonts w:hint="default" w:ascii="Times New Roman" w:hAnsi="Times New Roman" w:cs="Times New Roman"/>
                <w:color w:val="auto"/>
                <w:szCs w:val="22"/>
                <w:highlight w:val="none"/>
              </w:rPr>
            </w:pPr>
            <w:r>
              <w:rPr>
                <w:rFonts w:hint="default" w:ascii="Times New Roman" w:hAnsi="Times New Roman" w:cs="Times New Roman"/>
                <w:color w:val="auto"/>
                <w:highlight w:val="none"/>
              </w:rPr>
              <w:sym w:font="Wingdings" w:char="00A8"/>
            </w:r>
            <w:r>
              <w:rPr>
                <w:rFonts w:hint="default" w:ascii="Times New Roman" w:hAnsi="Times New Roman" w:cs="Times New Roman"/>
                <w:color w:val="auto"/>
                <w:szCs w:val="22"/>
                <w:highlight w:val="none"/>
              </w:rPr>
              <w:t>超五年重新审核项目</w:t>
            </w:r>
          </w:p>
          <w:p w14:paraId="7568A760">
            <w:pPr>
              <w:pStyle w:val="15"/>
              <w:spacing w:line="240" w:lineRule="auto"/>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w:char="00A8"/>
            </w:r>
            <w:r>
              <w:rPr>
                <w:rFonts w:hint="default" w:ascii="Times New Roman" w:hAnsi="Times New Roman" w:cs="Times New Roman"/>
                <w:color w:val="auto"/>
                <w:szCs w:val="22"/>
                <w:highlight w:val="none"/>
              </w:rPr>
              <w:t>重大变动重新报批项目</w:t>
            </w:r>
          </w:p>
        </w:tc>
      </w:tr>
      <w:tr w14:paraId="3DE1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69" w:type="pct"/>
            <w:gridSpan w:val="2"/>
            <w:tcBorders>
              <w:top w:val="single" w:color="auto" w:sz="4" w:space="0"/>
              <w:bottom w:val="single" w:color="auto" w:sz="4" w:space="0"/>
            </w:tcBorders>
            <w:noWrap w:val="0"/>
            <w:vAlign w:val="center"/>
          </w:tcPr>
          <w:p w14:paraId="7A571E5F">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项目审批（核准/备案）部门（选填）</w:t>
            </w:r>
          </w:p>
        </w:tc>
        <w:tc>
          <w:tcPr>
            <w:tcW w:w="881" w:type="pct"/>
            <w:tcBorders>
              <w:top w:val="single" w:color="auto" w:sz="4" w:space="0"/>
              <w:bottom w:val="single" w:color="auto" w:sz="4" w:space="0"/>
            </w:tcBorders>
            <w:noWrap w:val="0"/>
            <w:vAlign w:val="center"/>
          </w:tcPr>
          <w:p w14:paraId="670F111D">
            <w:pPr>
              <w:pStyle w:val="15"/>
              <w:spacing w:line="240" w:lineRule="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大竹县水务局</w:t>
            </w:r>
          </w:p>
        </w:tc>
        <w:tc>
          <w:tcPr>
            <w:tcW w:w="885" w:type="pct"/>
            <w:tcBorders>
              <w:top w:val="single" w:color="auto" w:sz="4" w:space="0"/>
              <w:bottom w:val="single" w:color="auto" w:sz="4" w:space="0"/>
            </w:tcBorders>
            <w:noWrap w:val="0"/>
            <w:vAlign w:val="center"/>
          </w:tcPr>
          <w:p w14:paraId="3169EC77">
            <w:pPr>
              <w:pStyle w:val="15"/>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项目审批（核准/备案）文号（选填）</w:t>
            </w:r>
          </w:p>
        </w:tc>
        <w:tc>
          <w:tcPr>
            <w:tcW w:w="2164" w:type="pct"/>
            <w:gridSpan w:val="2"/>
            <w:tcBorders>
              <w:top w:val="single" w:color="auto" w:sz="4" w:space="0"/>
              <w:bottom w:val="single" w:color="auto" w:sz="4" w:space="0"/>
            </w:tcBorders>
            <w:noWrap w:val="0"/>
            <w:vAlign w:val="center"/>
          </w:tcPr>
          <w:p w14:paraId="451274DD">
            <w:pPr>
              <w:pStyle w:val="15"/>
              <w:spacing w:line="240" w:lineRule="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竹水务函〔2021〕1656号、</w:t>
            </w:r>
            <w:r>
              <w:rPr>
                <w:rFonts w:hint="eastAsia" w:ascii="Times New Roman" w:hAnsi="Times New Roman" w:eastAsia="宋体" w:cs="Times New Roman"/>
                <w:color w:val="auto"/>
                <w:highlight w:val="none"/>
                <w:lang w:val="en-US" w:eastAsia="zh-CN"/>
              </w:rPr>
              <w:t>竹水务函〔202</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〕144号</w:t>
            </w:r>
            <w:r>
              <w:rPr>
                <w:rFonts w:hint="eastAsia" w:cs="Times New Roman"/>
                <w:color w:val="auto"/>
                <w:highlight w:val="none"/>
                <w:lang w:val="en-US" w:eastAsia="zh-CN"/>
              </w:rPr>
              <w:t>、竹水务函〔2022〕266号</w:t>
            </w:r>
          </w:p>
        </w:tc>
      </w:tr>
      <w:tr w14:paraId="62AA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9" w:type="pct"/>
            <w:gridSpan w:val="2"/>
            <w:tcBorders>
              <w:top w:val="single" w:color="auto" w:sz="4" w:space="0"/>
              <w:bottom w:val="single" w:color="auto" w:sz="4" w:space="0"/>
            </w:tcBorders>
            <w:noWrap w:val="0"/>
            <w:vAlign w:val="center"/>
          </w:tcPr>
          <w:p w14:paraId="73635F2A">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总投资（万元）</w:t>
            </w:r>
          </w:p>
        </w:tc>
        <w:tc>
          <w:tcPr>
            <w:tcW w:w="881" w:type="pct"/>
            <w:tcBorders>
              <w:top w:val="single" w:color="auto" w:sz="4" w:space="0"/>
              <w:bottom w:val="single" w:color="auto" w:sz="4" w:space="0"/>
            </w:tcBorders>
            <w:noWrap w:val="0"/>
            <w:vAlign w:val="center"/>
          </w:tcPr>
          <w:p w14:paraId="69271EC4">
            <w:pPr>
              <w:pStyle w:val="15"/>
              <w:spacing w:line="240" w:lineRule="auto"/>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13898.12</w:t>
            </w:r>
          </w:p>
        </w:tc>
        <w:tc>
          <w:tcPr>
            <w:tcW w:w="885" w:type="pct"/>
            <w:tcBorders>
              <w:top w:val="single" w:color="auto" w:sz="4" w:space="0"/>
              <w:bottom w:val="single" w:color="auto" w:sz="4" w:space="0"/>
            </w:tcBorders>
            <w:noWrap w:val="0"/>
            <w:vAlign w:val="center"/>
          </w:tcPr>
          <w:p w14:paraId="32CF7805">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环保投资（万元）</w:t>
            </w:r>
          </w:p>
        </w:tc>
        <w:tc>
          <w:tcPr>
            <w:tcW w:w="2164" w:type="pct"/>
            <w:gridSpan w:val="2"/>
            <w:tcBorders>
              <w:top w:val="single" w:color="auto" w:sz="4" w:space="0"/>
              <w:bottom w:val="single" w:color="auto" w:sz="4" w:space="0"/>
            </w:tcBorders>
            <w:noWrap w:val="0"/>
            <w:vAlign w:val="center"/>
          </w:tcPr>
          <w:p w14:paraId="0EB5605C">
            <w:pPr>
              <w:pStyle w:val="15"/>
              <w:spacing w:line="240" w:lineRule="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213.91</w:t>
            </w:r>
          </w:p>
        </w:tc>
      </w:tr>
      <w:tr w14:paraId="5B0A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9" w:type="pct"/>
            <w:gridSpan w:val="2"/>
            <w:tcBorders>
              <w:top w:val="single" w:color="auto" w:sz="4" w:space="0"/>
              <w:bottom w:val="single" w:color="auto" w:sz="4" w:space="0"/>
            </w:tcBorders>
            <w:noWrap w:val="0"/>
            <w:vAlign w:val="center"/>
          </w:tcPr>
          <w:p w14:paraId="5CBFC972">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环保投资占比（%）</w:t>
            </w:r>
          </w:p>
        </w:tc>
        <w:tc>
          <w:tcPr>
            <w:tcW w:w="881" w:type="pct"/>
            <w:tcBorders>
              <w:top w:val="single" w:color="auto" w:sz="4" w:space="0"/>
              <w:bottom w:val="single" w:color="auto" w:sz="4" w:space="0"/>
            </w:tcBorders>
            <w:noWrap w:val="0"/>
            <w:vAlign w:val="center"/>
          </w:tcPr>
          <w:p w14:paraId="540DADD3">
            <w:pPr>
              <w:pStyle w:val="15"/>
              <w:spacing w:line="240" w:lineRule="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1.84</w:t>
            </w:r>
          </w:p>
        </w:tc>
        <w:tc>
          <w:tcPr>
            <w:tcW w:w="885" w:type="pct"/>
            <w:tcBorders>
              <w:top w:val="single" w:color="auto" w:sz="4" w:space="0"/>
              <w:bottom w:val="single" w:color="auto" w:sz="4" w:space="0"/>
            </w:tcBorders>
            <w:noWrap w:val="0"/>
            <w:vAlign w:val="center"/>
          </w:tcPr>
          <w:p w14:paraId="0E20B0C7">
            <w:pPr>
              <w:pStyle w:val="15"/>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施工工期</w:t>
            </w:r>
          </w:p>
        </w:tc>
        <w:tc>
          <w:tcPr>
            <w:tcW w:w="2164" w:type="pct"/>
            <w:gridSpan w:val="2"/>
            <w:tcBorders>
              <w:top w:val="single" w:color="auto" w:sz="4" w:space="0"/>
              <w:bottom w:val="single" w:color="auto" w:sz="4" w:space="0"/>
            </w:tcBorders>
            <w:noWrap w:val="0"/>
            <w:vAlign w:val="center"/>
          </w:tcPr>
          <w:p w14:paraId="0F3DA549">
            <w:pPr>
              <w:pStyle w:val="15"/>
              <w:spacing w:line="240" w:lineRule="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清河镇及杨家镇段：22</w:t>
            </w:r>
            <w:r>
              <w:rPr>
                <w:rFonts w:hint="default" w:ascii="Times New Roman" w:hAnsi="Times New Roman" w:eastAsia="宋体" w:cs="Times New Roman"/>
                <w:color w:val="auto"/>
                <w:highlight w:val="none"/>
              </w:rPr>
              <w:t>个月</w:t>
            </w:r>
            <w:r>
              <w:rPr>
                <w:rFonts w:hint="eastAsia" w:cs="Times New Roman"/>
                <w:color w:val="auto"/>
                <w:highlight w:val="none"/>
                <w:lang w:eastAsia="zh-CN"/>
              </w:rPr>
              <w:t>；石河镇二郎</w:t>
            </w:r>
            <w:r>
              <w:rPr>
                <w:rFonts w:hint="eastAsia" w:cs="Times New Roman"/>
                <w:color w:val="auto"/>
                <w:highlight w:val="none"/>
                <w:lang w:val="en-US" w:eastAsia="zh-CN"/>
              </w:rPr>
              <w:t>及</w:t>
            </w:r>
            <w:r>
              <w:rPr>
                <w:rFonts w:hint="eastAsia" w:cs="Times New Roman"/>
                <w:color w:val="auto"/>
                <w:highlight w:val="none"/>
                <w:lang w:eastAsia="zh-CN"/>
              </w:rPr>
              <w:t>福兴</w:t>
            </w:r>
            <w:r>
              <w:rPr>
                <w:rFonts w:hint="eastAsia" w:cs="Times New Roman"/>
                <w:color w:val="auto"/>
                <w:highlight w:val="none"/>
                <w:lang w:val="en-US" w:eastAsia="zh-CN"/>
              </w:rPr>
              <w:t>段、石河镇及双拱段：16个月</w:t>
            </w:r>
          </w:p>
        </w:tc>
      </w:tr>
      <w:tr w14:paraId="4093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069" w:type="pct"/>
            <w:gridSpan w:val="2"/>
            <w:tcBorders>
              <w:top w:val="single" w:color="auto" w:sz="4" w:space="0"/>
              <w:bottom w:val="single" w:color="auto" w:sz="4" w:space="0"/>
            </w:tcBorders>
            <w:noWrap w:val="0"/>
            <w:vAlign w:val="center"/>
          </w:tcPr>
          <w:p w14:paraId="0D34F07C">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是否开工建设</w:t>
            </w:r>
          </w:p>
        </w:tc>
        <w:tc>
          <w:tcPr>
            <w:tcW w:w="3930" w:type="pct"/>
            <w:gridSpan w:val="4"/>
            <w:tcBorders>
              <w:top w:val="single" w:color="auto" w:sz="4" w:space="0"/>
              <w:bottom w:val="single" w:color="auto" w:sz="4" w:space="0"/>
            </w:tcBorders>
            <w:shd w:val="clear" w:color="auto" w:fill="auto"/>
            <w:noWrap w:val="0"/>
            <w:vAlign w:val="center"/>
          </w:tcPr>
          <w:p w14:paraId="36B48F0A">
            <w:pPr>
              <w:pStyle w:val="15"/>
              <w:spacing w:line="240" w:lineRule="auto"/>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sym w:font="Wingdings 2" w:char="00A3"/>
            </w:r>
            <w:r>
              <w:rPr>
                <w:rFonts w:hint="default" w:ascii="Times New Roman" w:hAnsi="Times New Roman" w:cs="Times New Roman"/>
                <w:color w:val="auto"/>
                <w:highlight w:val="none"/>
              </w:rPr>
              <w:t>否</w:t>
            </w:r>
          </w:p>
          <w:p w14:paraId="2FB0E652">
            <w:pPr>
              <w:pStyle w:val="15"/>
              <w:spacing w:line="240" w:lineRule="auto"/>
              <w:ind w:firstLine="0" w:firstLineChars="0"/>
              <w:jc w:val="left"/>
              <w:rPr>
                <w:rFonts w:hint="default" w:cs="Times New Roman"/>
                <w:color w:val="auto"/>
                <w:highlight w:val="none"/>
                <w:u w:val="single"/>
                <w:lang w:val="en-US" w:eastAsia="zh-CN"/>
              </w:rPr>
            </w:pPr>
            <w:r>
              <w:rPr>
                <w:rFonts w:hint="default" w:ascii="Times New Roman" w:hAnsi="Times New Roman" w:cs="Times New Roman"/>
                <w:color w:val="auto"/>
                <w:highlight w:val="none"/>
              </w:rPr>
              <w:sym w:font="Wingdings 2" w:char="0052"/>
            </w:r>
            <w:r>
              <w:rPr>
                <w:rFonts w:hint="default" w:ascii="Times New Roman" w:hAnsi="Times New Roman" w:cs="Times New Roman"/>
                <w:color w:val="auto"/>
                <w:highlight w:val="none"/>
              </w:rPr>
              <w:t>是：</w:t>
            </w:r>
            <w:r>
              <w:rPr>
                <w:rFonts w:hint="default" w:ascii="Times New Roman" w:hAnsi="Times New Roman" w:cs="Times New Roman"/>
                <w:color w:val="auto"/>
                <w:highlight w:val="none"/>
                <w:u w:val="single"/>
              </w:rPr>
              <w:t>四川省大竹县东柳河清河镇防洪治理工程和东柳河杨家镇防洪治理工程</w:t>
            </w:r>
            <w:r>
              <w:rPr>
                <w:rFonts w:hint="eastAsia" w:cs="Times New Roman"/>
                <w:color w:val="auto"/>
                <w:highlight w:val="none"/>
                <w:u w:val="single"/>
                <w:lang w:val="en-US" w:eastAsia="zh-CN"/>
              </w:rPr>
              <w:t>于2023年3月开工，2025年1月主体工程竣工。目前在准备验收资料。</w:t>
            </w:r>
          </w:p>
          <w:p w14:paraId="4C510047">
            <w:pPr>
              <w:pStyle w:val="15"/>
              <w:spacing w:line="240" w:lineRule="auto"/>
              <w:ind w:firstLine="0" w:firstLineChars="0"/>
              <w:jc w:val="left"/>
              <w:rPr>
                <w:rFonts w:hint="eastAsia"/>
                <w:color w:val="auto"/>
                <w:sz w:val="24"/>
                <w:highlight w:val="none"/>
                <w:u w:val="single"/>
                <w:lang w:val="en-US" w:eastAsia="zh-CN"/>
              </w:rPr>
            </w:pPr>
            <w:r>
              <w:rPr>
                <w:rFonts w:hint="eastAsia" w:cs="Times New Roman"/>
                <w:color w:val="auto"/>
                <w:highlight w:val="none"/>
                <w:u w:val="single"/>
                <w:lang w:eastAsia="zh-CN"/>
              </w:rPr>
              <w:t>四川省大竹县柳城河石河镇二郎、福兴防洪治理工程</w:t>
            </w:r>
            <w:r>
              <w:rPr>
                <w:rFonts w:hint="eastAsia" w:cs="Times New Roman"/>
                <w:color w:val="auto"/>
                <w:highlight w:val="none"/>
                <w:u w:val="single"/>
                <w:lang w:val="en-US" w:eastAsia="zh-CN"/>
              </w:rPr>
              <w:t>中的二郎段已于2024年2月开工建设，福兴段已于2024年4月开工建设</w:t>
            </w:r>
            <w:r>
              <w:rPr>
                <w:rFonts w:hint="eastAsia"/>
                <w:color w:val="auto"/>
                <w:sz w:val="24"/>
                <w:highlight w:val="none"/>
                <w:u w:val="single"/>
                <w:lang w:val="en-US" w:eastAsia="zh-CN"/>
              </w:rPr>
              <w:t>，清淤疏浚工程均已完成，堤防工程部分内容已完成。</w:t>
            </w:r>
          </w:p>
          <w:p w14:paraId="0D2998F8">
            <w:pPr>
              <w:pStyle w:val="15"/>
              <w:spacing w:line="240" w:lineRule="auto"/>
              <w:ind w:firstLine="0" w:firstLineChars="0"/>
              <w:jc w:val="left"/>
              <w:rPr>
                <w:rFonts w:hint="default"/>
                <w:color w:val="auto"/>
                <w:sz w:val="24"/>
                <w:highlight w:val="none"/>
                <w:u w:val="single"/>
                <w:lang w:val="en-US" w:eastAsia="zh-CN"/>
              </w:rPr>
            </w:pPr>
            <w:r>
              <w:rPr>
                <w:rFonts w:hint="eastAsia" w:cs="Times New Roman"/>
                <w:color w:val="auto"/>
                <w:highlight w:val="none"/>
                <w:u w:val="single"/>
                <w:lang w:eastAsia="zh-CN"/>
              </w:rPr>
              <w:t>四川省大竹县柳城河石河镇防洪治理工程</w:t>
            </w:r>
            <w:r>
              <w:rPr>
                <w:rFonts w:hint="eastAsia" w:cs="Times New Roman"/>
                <w:color w:val="auto"/>
                <w:highlight w:val="none"/>
                <w:u w:val="single"/>
                <w:lang w:val="en-US" w:eastAsia="zh-CN"/>
              </w:rPr>
              <w:t>中的石河镇段已于</w:t>
            </w:r>
            <w:r>
              <w:rPr>
                <w:rFonts w:hint="eastAsia"/>
                <w:color w:val="auto"/>
                <w:sz w:val="24"/>
                <w:highlight w:val="none"/>
                <w:u w:val="single"/>
                <w:lang w:eastAsia="zh-CN"/>
              </w:rPr>
              <w:t>2023年11月开工建设</w:t>
            </w:r>
            <w:r>
              <w:rPr>
                <w:rFonts w:hint="eastAsia"/>
                <w:color w:val="auto"/>
                <w:sz w:val="24"/>
                <w:highlight w:val="none"/>
                <w:u w:val="single"/>
                <w:lang w:val="en-US" w:eastAsia="zh-CN"/>
              </w:rPr>
              <w:t>，清淤疏浚工程已完成。</w:t>
            </w:r>
          </w:p>
        </w:tc>
      </w:tr>
      <w:tr w14:paraId="7F58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069" w:type="pct"/>
            <w:gridSpan w:val="2"/>
            <w:tcBorders>
              <w:top w:val="single" w:color="auto" w:sz="4" w:space="0"/>
            </w:tcBorders>
            <w:noWrap w:val="0"/>
            <w:vAlign w:val="center"/>
          </w:tcPr>
          <w:p w14:paraId="2F866FB1">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专项评价</w:t>
            </w:r>
          </w:p>
          <w:p w14:paraId="7E5AF447">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设置情况</w:t>
            </w:r>
          </w:p>
        </w:tc>
        <w:tc>
          <w:tcPr>
            <w:tcW w:w="3930" w:type="pct"/>
            <w:gridSpan w:val="4"/>
            <w:tcBorders>
              <w:top w:val="single" w:color="auto" w:sz="4" w:space="0"/>
              <w:bottom w:val="single" w:color="auto" w:sz="4" w:space="0"/>
            </w:tcBorders>
            <w:noWrap w:val="0"/>
            <w:vAlign w:val="center"/>
          </w:tcPr>
          <w:p w14:paraId="1608A259">
            <w:pPr>
              <w:adjustRightInd w:val="0"/>
              <w:snapToGrid w:val="0"/>
              <w:spacing w:line="360" w:lineRule="auto"/>
              <w:ind w:firstLine="480" w:firstLineChars="200"/>
              <w:rPr>
                <w:color w:val="auto"/>
                <w:sz w:val="24"/>
                <w:highlight w:val="none"/>
              </w:rPr>
            </w:pPr>
            <w:r>
              <w:rPr>
                <w:color w:val="auto"/>
                <w:sz w:val="24"/>
                <w:highlight w:val="none"/>
              </w:rPr>
              <w:t>根据《建设项目环境影响报告表编制技术指南（生态影响类）（试行）》表1专项评价设置原则表，本项目不需设置专项评价，分析如下：</w:t>
            </w:r>
          </w:p>
          <w:p w14:paraId="713D34A1">
            <w:pPr>
              <w:adjustRightInd w:val="0"/>
              <w:snapToGrid w:val="0"/>
              <w:jc w:val="center"/>
              <w:rPr>
                <w:b/>
                <w:bCs/>
                <w:color w:val="auto"/>
                <w:sz w:val="24"/>
                <w:szCs w:val="32"/>
                <w:highlight w:val="none"/>
              </w:rPr>
            </w:pPr>
            <w:r>
              <w:rPr>
                <w:b/>
                <w:bCs/>
                <w:color w:val="auto"/>
                <w:sz w:val="24"/>
                <w:szCs w:val="32"/>
                <w:highlight w:val="none"/>
              </w:rPr>
              <w:t>表1-</w:t>
            </w:r>
            <w:r>
              <w:rPr>
                <w:rFonts w:hint="eastAsia"/>
                <w:b/>
                <w:bCs/>
                <w:color w:val="auto"/>
                <w:sz w:val="24"/>
                <w:szCs w:val="32"/>
                <w:highlight w:val="none"/>
                <w:lang w:val="en-US" w:eastAsia="zh-CN"/>
              </w:rPr>
              <w:t xml:space="preserve">1  </w:t>
            </w:r>
            <w:r>
              <w:rPr>
                <w:b/>
                <w:bCs/>
                <w:color w:val="auto"/>
                <w:sz w:val="24"/>
                <w:szCs w:val="32"/>
                <w:highlight w:val="none"/>
              </w:rPr>
              <w:t>专项评价设置情况分析表</w:t>
            </w:r>
          </w:p>
          <w:tbl>
            <w:tblPr>
              <w:tblStyle w:val="11"/>
              <w:tblW w:w="4963"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3446"/>
              <w:gridCol w:w="2654"/>
              <w:gridCol w:w="367"/>
            </w:tblGrid>
            <w:tr w14:paraId="0BFB53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1065" w:type="dxa"/>
                  <w:noWrap w:val="0"/>
                  <w:vAlign w:val="center"/>
                </w:tcPr>
                <w:p w14:paraId="01C1E5FE">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b/>
                      <w:bCs w:val="0"/>
                      <w:color w:val="auto"/>
                      <w:sz w:val="21"/>
                      <w:szCs w:val="21"/>
                      <w:highlight w:val="none"/>
                    </w:rPr>
                  </w:pPr>
                  <w:r>
                    <w:rPr>
                      <w:rFonts w:cs="Times New Roman"/>
                      <w:b/>
                      <w:bCs w:val="0"/>
                      <w:color w:val="auto"/>
                      <w:sz w:val="21"/>
                      <w:szCs w:val="21"/>
                      <w:highlight w:val="none"/>
                    </w:rPr>
                    <w:t>专项评价的类别</w:t>
                  </w:r>
                </w:p>
              </w:tc>
              <w:tc>
                <w:tcPr>
                  <w:tcW w:w="3377" w:type="dxa"/>
                  <w:noWrap w:val="0"/>
                  <w:vAlign w:val="center"/>
                </w:tcPr>
                <w:p w14:paraId="6E395BCE">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b/>
                      <w:bCs w:val="0"/>
                      <w:color w:val="auto"/>
                      <w:sz w:val="21"/>
                      <w:szCs w:val="21"/>
                      <w:highlight w:val="none"/>
                    </w:rPr>
                  </w:pPr>
                  <w:r>
                    <w:rPr>
                      <w:rFonts w:cs="Times New Roman"/>
                      <w:b/>
                      <w:bCs w:val="0"/>
                      <w:color w:val="auto"/>
                      <w:sz w:val="21"/>
                      <w:szCs w:val="21"/>
                      <w:highlight w:val="none"/>
                    </w:rPr>
                    <w:t>设置原则</w:t>
                  </w:r>
                </w:p>
              </w:tc>
              <w:tc>
                <w:tcPr>
                  <w:tcW w:w="2601" w:type="dxa"/>
                  <w:noWrap w:val="0"/>
                  <w:vAlign w:val="center"/>
                </w:tcPr>
                <w:p w14:paraId="5704C31E">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b/>
                      <w:bCs w:val="0"/>
                      <w:color w:val="auto"/>
                      <w:sz w:val="21"/>
                      <w:szCs w:val="21"/>
                      <w:highlight w:val="none"/>
                    </w:rPr>
                  </w:pPr>
                  <w:r>
                    <w:rPr>
                      <w:rFonts w:cs="Times New Roman"/>
                      <w:b/>
                      <w:bCs w:val="0"/>
                      <w:color w:val="auto"/>
                      <w:sz w:val="21"/>
                      <w:szCs w:val="21"/>
                      <w:highlight w:val="none"/>
                    </w:rPr>
                    <w:t>本项目情况</w:t>
                  </w:r>
                </w:p>
              </w:tc>
              <w:tc>
                <w:tcPr>
                  <w:tcW w:w="360" w:type="dxa"/>
                  <w:noWrap w:val="0"/>
                  <w:vAlign w:val="center"/>
                </w:tcPr>
                <w:p w14:paraId="1355D145">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b/>
                      <w:bCs w:val="0"/>
                      <w:color w:val="auto"/>
                      <w:sz w:val="21"/>
                      <w:szCs w:val="21"/>
                      <w:highlight w:val="none"/>
                    </w:rPr>
                  </w:pPr>
                  <w:r>
                    <w:rPr>
                      <w:rFonts w:cs="Times New Roman"/>
                      <w:b/>
                      <w:bCs w:val="0"/>
                      <w:color w:val="auto"/>
                      <w:sz w:val="21"/>
                      <w:szCs w:val="21"/>
                      <w:highlight w:val="none"/>
                    </w:rPr>
                    <w:t>是否设置</w:t>
                  </w:r>
                </w:p>
              </w:tc>
            </w:tr>
            <w:tr w14:paraId="7A53D5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5CD845F7">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color w:val="auto"/>
                      <w:sz w:val="21"/>
                      <w:szCs w:val="21"/>
                      <w:highlight w:val="none"/>
                    </w:rPr>
                  </w:pPr>
                  <w:r>
                    <w:rPr>
                      <w:rFonts w:cs="Times New Roman"/>
                      <w:color w:val="auto"/>
                      <w:sz w:val="21"/>
                      <w:szCs w:val="21"/>
                      <w:highlight w:val="none"/>
                    </w:rPr>
                    <w:t>地表水</w:t>
                  </w:r>
                </w:p>
              </w:tc>
              <w:tc>
                <w:tcPr>
                  <w:tcW w:w="3377" w:type="dxa"/>
                  <w:noWrap w:val="0"/>
                  <w:vAlign w:val="top"/>
                </w:tcPr>
                <w:p w14:paraId="0A3FCBC9">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cs="Times New Roman"/>
                      <w:color w:val="auto"/>
                      <w:sz w:val="21"/>
                      <w:szCs w:val="21"/>
                      <w:highlight w:val="none"/>
                    </w:rPr>
                  </w:pPr>
                  <w:r>
                    <w:rPr>
                      <w:rFonts w:cs="Times New Roman"/>
                      <w:color w:val="auto"/>
                      <w:sz w:val="21"/>
                      <w:szCs w:val="21"/>
                      <w:highlight w:val="none"/>
                    </w:rPr>
                    <w:t>水力发电：引水式发电、涉及调峰发电的项目；人工湖、人工湿地；全部；</w:t>
                  </w:r>
                </w:p>
                <w:p w14:paraId="74E4821E">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cs="Times New Roman"/>
                      <w:color w:val="auto"/>
                      <w:sz w:val="21"/>
                      <w:szCs w:val="21"/>
                      <w:highlight w:val="none"/>
                    </w:rPr>
                  </w:pPr>
                  <w:r>
                    <w:rPr>
                      <w:rFonts w:cs="Times New Roman"/>
                      <w:color w:val="auto"/>
                      <w:sz w:val="21"/>
                      <w:szCs w:val="21"/>
                      <w:highlight w:val="none"/>
                    </w:rPr>
                    <w:t>水库：全部；</w:t>
                  </w:r>
                </w:p>
                <w:p w14:paraId="699545FC">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cs="Times New Roman"/>
                      <w:color w:val="auto"/>
                      <w:sz w:val="21"/>
                      <w:szCs w:val="21"/>
                      <w:highlight w:val="none"/>
                    </w:rPr>
                  </w:pPr>
                  <w:r>
                    <w:rPr>
                      <w:rFonts w:cs="Times New Roman"/>
                      <w:color w:val="auto"/>
                      <w:sz w:val="21"/>
                      <w:szCs w:val="21"/>
                      <w:highlight w:val="none"/>
                    </w:rPr>
                    <w:t>引水工程：全部（配套的管线工程等除外）；</w:t>
                  </w:r>
                </w:p>
                <w:p w14:paraId="606F17BA">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cs="Times New Roman"/>
                      <w:color w:val="auto"/>
                      <w:sz w:val="21"/>
                      <w:szCs w:val="21"/>
                      <w:highlight w:val="none"/>
                    </w:rPr>
                  </w:pPr>
                  <w:r>
                    <w:rPr>
                      <w:rFonts w:cs="Times New Roman"/>
                      <w:color w:val="auto"/>
                      <w:sz w:val="21"/>
                      <w:szCs w:val="21"/>
                      <w:highlight w:val="none"/>
                    </w:rPr>
                    <w:t>防洪除涝工程：包含水库的项目；</w:t>
                  </w:r>
                </w:p>
                <w:p w14:paraId="1C193079">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cs="Times New Roman"/>
                      <w:color w:val="auto"/>
                      <w:sz w:val="21"/>
                      <w:szCs w:val="21"/>
                      <w:highlight w:val="none"/>
                    </w:rPr>
                  </w:pPr>
                  <w:r>
                    <w:rPr>
                      <w:rFonts w:cs="Times New Roman"/>
                      <w:color w:val="auto"/>
                      <w:sz w:val="21"/>
                      <w:szCs w:val="21"/>
                      <w:highlight w:val="none"/>
                    </w:rPr>
                    <w:t>河湖整治：涉及清淤且底泥存在重金属污染的项目；</w:t>
                  </w:r>
                </w:p>
              </w:tc>
              <w:tc>
                <w:tcPr>
                  <w:tcW w:w="2601" w:type="dxa"/>
                  <w:noWrap w:val="0"/>
                  <w:vAlign w:val="center"/>
                </w:tcPr>
                <w:p w14:paraId="3AD07B71">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本项目为</w:t>
                  </w:r>
                  <w:r>
                    <w:rPr>
                      <w:rFonts w:hint="eastAsia" w:cs="Times New Roman"/>
                      <w:color w:val="auto"/>
                      <w:sz w:val="21"/>
                      <w:szCs w:val="21"/>
                      <w:highlight w:val="none"/>
                      <w:lang w:eastAsia="zh-CN"/>
                    </w:rPr>
                    <w:t>防洪治理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河湖整治</w:t>
                  </w:r>
                  <w:r>
                    <w:rPr>
                      <w:rFonts w:hint="eastAsia" w:cs="Times New Roman"/>
                      <w:color w:val="auto"/>
                      <w:sz w:val="21"/>
                      <w:szCs w:val="21"/>
                      <w:highlight w:val="none"/>
                      <w:lang w:eastAsia="zh-CN"/>
                    </w:rPr>
                    <w:t>工程</w:t>
                  </w:r>
                  <w:r>
                    <w:rPr>
                      <w:rFonts w:hint="default" w:ascii="Times New Roman" w:hAnsi="Times New Roman" w:cs="Times New Roman"/>
                      <w:color w:val="auto"/>
                      <w:sz w:val="21"/>
                      <w:szCs w:val="21"/>
                      <w:highlight w:val="none"/>
                    </w:rPr>
                    <w:t>，涉及清淤。根据监测结果可知，本项目底泥不存在重金属污染。因此，本项目不设置地表水专项评价</w:t>
                  </w:r>
                  <w:r>
                    <w:rPr>
                      <w:rFonts w:hint="eastAsia" w:ascii="Times New Roman" w:hAnsi="Times New Roman" w:cs="Times New Roman"/>
                      <w:color w:val="auto"/>
                      <w:sz w:val="21"/>
                      <w:szCs w:val="21"/>
                      <w:highlight w:val="none"/>
                      <w:lang w:eastAsia="zh-CN"/>
                    </w:rPr>
                    <w:t>。</w:t>
                  </w:r>
                </w:p>
              </w:tc>
              <w:tc>
                <w:tcPr>
                  <w:tcW w:w="360" w:type="dxa"/>
                  <w:noWrap w:val="0"/>
                  <w:vAlign w:val="center"/>
                </w:tcPr>
                <w:p w14:paraId="714B3D31">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color w:val="auto"/>
                      <w:sz w:val="21"/>
                      <w:szCs w:val="21"/>
                      <w:highlight w:val="none"/>
                    </w:rPr>
                  </w:pPr>
                  <w:r>
                    <w:rPr>
                      <w:rFonts w:cs="Times New Roman"/>
                      <w:color w:val="auto"/>
                      <w:sz w:val="21"/>
                      <w:szCs w:val="21"/>
                      <w:highlight w:val="none"/>
                    </w:rPr>
                    <w:t>否</w:t>
                  </w:r>
                </w:p>
              </w:tc>
            </w:tr>
            <w:tr w14:paraId="252015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273AD3E3">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color w:val="auto"/>
                      <w:sz w:val="21"/>
                      <w:szCs w:val="21"/>
                      <w:highlight w:val="none"/>
                    </w:rPr>
                  </w:pPr>
                  <w:r>
                    <w:rPr>
                      <w:rFonts w:cs="Times New Roman"/>
                      <w:color w:val="auto"/>
                      <w:sz w:val="21"/>
                      <w:szCs w:val="21"/>
                      <w:highlight w:val="none"/>
                    </w:rPr>
                    <w:t>地下水</w:t>
                  </w:r>
                </w:p>
              </w:tc>
              <w:tc>
                <w:tcPr>
                  <w:tcW w:w="3377" w:type="dxa"/>
                  <w:noWrap w:val="0"/>
                  <w:vAlign w:val="top"/>
                </w:tcPr>
                <w:p w14:paraId="0FAD2AC2">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cs="Times New Roman"/>
                      <w:color w:val="auto"/>
                      <w:sz w:val="21"/>
                      <w:szCs w:val="21"/>
                      <w:highlight w:val="none"/>
                    </w:rPr>
                  </w:pPr>
                  <w:r>
                    <w:rPr>
                      <w:rFonts w:cs="Times New Roman"/>
                      <w:color w:val="auto"/>
                      <w:sz w:val="21"/>
                      <w:szCs w:val="21"/>
                      <w:highlight w:val="none"/>
                    </w:rPr>
                    <w:t>陆地石油和天然气开采：全部；</w:t>
                  </w:r>
                </w:p>
                <w:p w14:paraId="4C41C912">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cs="Times New Roman"/>
                      <w:color w:val="auto"/>
                      <w:sz w:val="21"/>
                      <w:szCs w:val="21"/>
                      <w:highlight w:val="none"/>
                    </w:rPr>
                  </w:pPr>
                  <w:r>
                    <w:rPr>
                      <w:rFonts w:cs="Times New Roman"/>
                      <w:color w:val="auto"/>
                      <w:sz w:val="21"/>
                      <w:szCs w:val="21"/>
                      <w:highlight w:val="none"/>
                    </w:rPr>
                    <w:t>地下水（含矿泉水）开采：全部；</w:t>
                  </w:r>
                </w:p>
                <w:p w14:paraId="7BE64426">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cs="Times New Roman"/>
                      <w:color w:val="auto"/>
                      <w:sz w:val="21"/>
                      <w:szCs w:val="21"/>
                      <w:highlight w:val="none"/>
                    </w:rPr>
                  </w:pPr>
                  <w:r>
                    <w:rPr>
                      <w:rFonts w:cs="Times New Roman"/>
                      <w:color w:val="auto"/>
                      <w:sz w:val="21"/>
                      <w:szCs w:val="21"/>
                      <w:highlight w:val="none"/>
                    </w:rPr>
                    <w:t>水利、水电、交通等：含穿越</w:t>
                  </w:r>
                  <w:r>
                    <w:rPr>
                      <w:rFonts w:hint="eastAsia" w:ascii="Times New Roman" w:hAnsi="Times New Roman" w:eastAsia="宋体" w:cs="Times New Roman"/>
                      <w:color w:val="auto"/>
                      <w:kern w:val="2"/>
                      <w:sz w:val="21"/>
                      <w:szCs w:val="21"/>
                      <w:highlight w:val="none"/>
                      <w:lang w:val="en-US" w:eastAsia="zh-CN" w:bidi="ar"/>
                    </w:rPr>
                    <w:t>可溶岩</w:t>
                  </w:r>
                  <w:r>
                    <w:rPr>
                      <w:rFonts w:cs="Times New Roman"/>
                      <w:color w:val="auto"/>
                      <w:sz w:val="21"/>
                      <w:szCs w:val="21"/>
                      <w:highlight w:val="none"/>
                    </w:rPr>
                    <w:t>地层隧道的项目</w:t>
                  </w:r>
                </w:p>
              </w:tc>
              <w:tc>
                <w:tcPr>
                  <w:tcW w:w="2601" w:type="dxa"/>
                  <w:noWrap w:val="0"/>
                  <w:vAlign w:val="center"/>
                </w:tcPr>
                <w:p w14:paraId="6B396A2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cs="Times New Roman"/>
                      <w:color w:val="auto"/>
                      <w:sz w:val="21"/>
                      <w:szCs w:val="21"/>
                      <w:highlight w:val="none"/>
                    </w:rPr>
                  </w:pPr>
                  <w:r>
                    <w:rPr>
                      <w:rFonts w:hint="default" w:ascii="Times New Roman" w:hAnsi="Times New Roman" w:cs="Times New Roman"/>
                      <w:color w:val="auto"/>
                      <w:sz w:val="21"/>
                      <w:szCs w:val="21"/>
                      <w:highlight w:val="none"/>
                    </w:rPr>
                    <w:t>本项目为</w:t>
                  </w:r>
                  <w:r>
                    <w:rPr>
                      <w:rFonts w:hint="eastAsia" w:cs="Times New Roman"/>
                      <w:color w:val="auto"/>
                      <w:sz w:val="21"/>
                      <w:szCs w:val="21"/>
                      <w:highlight w:val="none"/>
                      <w:lang w:eastAsia="zh-CN"/>
                    </w:rPr>
                    <w:t>防洪治理工程</w:t>
                  </w:r>
                  <w:r>
                    <w:rPr>
                      <w:rFonts w:hint="default" w:ascii="Times New Roman" w:hAnsi="Times New Roman" w:cs="Times New Roman"/>
                      <w:color w:val="auto"/>
                      <w:sz w:val="21"/>
                      <w:szCs w:val="21"/>
                      <w:highlight w:val="none"/>
                    </w:rPr>
                    <w:t>，不涉及陆地石油和天然气开采、地下水（含矿泉水）开采等。因此，本次评价不设置地下水专项评价。</w:t>
                  </w:r>
                </w:p>
              </w:tc>
              <w:tc>
                <w:tcPr>
                  <w:tcW w:w="360" w:type="dxa"/>
                  <w:noWrap w:val="0"/>
                  <w:vAlign w:val="center"/>
                </w:tcPr>
                <w:p w14:paraId="0F093875">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color w:val="auto"/>
                      <w:sz w:val="21"/>
                      <w:szCs w:val="21"/>
                      <w:highlight w:val="none"/>
                    </w:rPr>
                  </w:pPr>
                  <w:r>
                    <w:rPr>
                      <w:rFonts w:cs="Times New Roman"/>
                      <w:color w:val="auto"/>
                      <w:sz w:val="21"/>
                      <w:szCs w:val="21"/>
                      <w:highlight w:val="none"/>
                    </w:rPr>
                    <w:t>否</w:t>
                  </w:r>
                </w:p>
              </w:tc>
            </w:tr>
            <w:tr w14:paraId="46CE5E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78C8658D">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color w:val="auto"/>
                      <w:sz w:val="21"/>
                      <w:szCs w:val="21"/>
                      <w:highlight w:val="none"/>
                    </w:rPr>
                  </w:pPr>
                  <w:r>
                    <w:rPr>
                      <w:rFonts w:cs="Times New Roman"/>
                      <w:color w:val="auto"/>
                      <w:sz w:val="21"/>
                      <w:szCs w:val="21"/>
                      <w:highlight w:val="none"/>
                    </w:rPr>
                    <w:t>生态</w:t>
                  </w:r>
                </w:p>
              </w:tc>
              <w:tc>
                <w:tcPr>
                  <w:tcW w:w="3377" w:type="dxa"/>
                  <w:noWrap w:val="0"/>
                  <w:vAlign w:val="top"/>
                </w:tcPr>
                <w:p w14:paraId="315DC0E3">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cs="Times New Roman"/>
                      <w:color w:val="auto"/>
                      <w:sz w:val="21"/>
                      <w:szCs w:val="21"/>
                      <w:highlight w:val="none"/>
                    </w:rPr>
                  </w:pPr>
                  <w:r>
                    <w:rPr>
                      <w:rFonts w:cs="Times New Roman"/>
                      <w:color w:val="auto"/>
                      <w:sz w:val="21"/>
                      <w:szCs w:val="21"/>
                      <w:highlight w:val="none"/>
                    </w:rPr>
                    <w:t>涉及环境敏感区（不包括饮用水源保护区，以居住、医疗卫生、文化教育、科研、行政办公为主要功能的区域，以及文物保护单位）的项目</w:t>
                  </w:r>
                </w:p>
              </w:tc>
              <w:tc>
                <w:tcPr>
                  <w:tcW w:w="2601" w:type="dxa"/>
                  <w:noWrap w:val="0"/>
                  <w:vAlign w:val="center"/>
                </w:tcPr>
                <w:p w14:paraId="2B7FDAC4">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color w:val="auto"/>
                      <w:sz w:val="21"/>
                      <w:szCs w:val="21"/>
                      <w:highlight w:val="none"/>
                    </w:rPr>
                  </w:pPr>
                  <w:r>
                    <w:rPr>
                      <w:rFonts w:cs="Times New Roman"/>
                      <w:color w:val="auto"/>
                      <w:sz w:val="21"/>
                      <w:szCs w:val="21"/>
                      <w:highlight w:val="none"/>
                    </w:rPr>
                    <w:t>不涉及环境敏感区</w:t>
                  </w:r>
                </w:p>
              </w:tc>
              <w:tc>
                <w:tcPr>
                  <w:tcW w:w="360" w:type="dxa"/>
                  <w:noWrap w:val="0"/>
                  <w:vAlign w:val="center"/>
                </w:tcPr>
                <w:p w14:paraId="1C104DD9">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color w:val="auto"/>
                      <w:sz w:val="21"/>
                      <w:szCs w:val="21"/>
                      <w:highlight w:val="none"/>
                    </w:rPr>
                  </w:pPr>
                  <w:r>
                    <w:rPr>
                      <w:rFonts w:cs="Times New Roman"/>
                      <w:color w:val="auto"/>
                      <w:sz w:val="21"/>
                      <w:szCs w:val="21"/>
                      <w:highlight w:val="none"/>
                    </w:rPr>
                    <w:t>否</w:t>
                  </w:r>
                </w:p>
              </w:tc>
            </w:tr>
            <w:tr w14:paraId="275202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1065" w:type="dxa"/>
                  <w:noWrap w:val="0"/>
                  <w:vAlign w:val="center"/>
                </w:tcPr>
                <w:p w14:paraId="156D07A8">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color w:val="auto"/>
                      <w:sz w:val="21"/>
                      <w:szCs w:val="21"/>
                      <w:highlight w:val="none"/>
                    </w:rPr>
                  </w:pPr>
                  <w:r>
                    <w:rPr>
                      <w:rFonts w:cs="Times New Roman"/>
                      <w:color w:val="auto"/>
                      <w:sz w:val="21"/>
                      <w:szCs w:val="21"/>
                      <w:highlight w:val="none"/>
                    </w:rPr>
                    <w:t>大气</w:t>
                  </w:r>
                </w:p>
              </w:tc>
              <w:tc>
                <w:tcPr>
                  <w:tcW w:w="3377" w:type="dxa"/>
                  <w:noWrap w:val="0"/>
                  <w:vAlign w:val="top"/>
                </w:tcPr>
                <w:p w14:paraId="220EC08A">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cs="Times New Roman"/>
                      <w:color w:val="auto"/>
                      <w:sz w:val="21"/>
                      <w:szCs w:val="21"/>
                      <w:highlight w:val="none"/>
                    </w:rPr>
                  </w:pPr>
                  <w:r>
                    <w:rPr>
                      <w:rFonts w:cs="Times New Roman"/>
                      <w:color w:val="auto"/>
                      <w:sz w:val="21"/>
                      <w:szCs w:val="21"/>
                      <w:highlight w:val="none"/>
                    </w:rPr>
                    <w:t>油气、液体化工码头：全部；</w:t>
                  </w:r>
                </w:p>
                <w:p w14:paraId="63E8388B">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cs="Times New Roman"/>
                      <w:color w:val="auto"/>
                      <w:sz w:val="21"/>
                      <w:szCs w:val="21"/>
                      <w:highlight w:val="none"/>
                    </w:rPr>
                  </w:pPr>
                  <w:r>
                    <w:rPr>
                      <w:rFonts w:cs="Times New Roman"/>
                      <w:color w:val="auto"/>
                      <w:sz w:val="21"/>
                      <w:szCs w:val="21"/>
                      <w:highlight w:val="none"/>
                    </w:rPr>
                    <w:t>干散货（含煤炭、矿石）、件杂、多用途、通用码头：涉及粉尘、挥发性有机物排放的项目</w:t>
                  </w:r>
                </w:p>
              </w:tc>
              <w:tc>
                <w:tcPr>
                  <w:tcW w:w="2601" w:type="dxa"/>
                  <w:noWrap w:val="0"/>
                  <w:vAlign w:val="center"/>
                </w:tcPr>
                <w:p w14:paraId="278B28A8">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color w:val="auto"/>
                      <w:sz w:val="21"/>
                      <w:szCs w:val="21"/>
                      <w:highlight w:val="none"/>
                    </w:rPr>
                  </w:pPr>
                  <w:r>
                    <w:rPr>
                      <w:rFonts w:cs="Times New Roman"/>
                      <w:color w:val="auto"/>
                      <w:sz w:val="21"/>
                      <w:szCs w:val="21"/>
                      <w:highlight w:val="none"/>
                    </w:rPr>
                    <w:t>不涉及</w:t>
                  </w:r>
                </w:p>
              </w:tc>
              <w:tc>
                <w:tcPr>
                  <w:tcW w:w="360" w:type="dxa"/>
                  <w:noWrap w:val="0"/>
                  <w:vAlign w:val="center"/>
                </w:tcPr>
                <w:p w14:paraId="2871CC33">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color w:val="auto"/>
                      <w:sz w:val="21"/>
                      <w:szCs w:val="21"/>
                      <w:highlight w:val="none"/>
                    </w:rPr>
                  </w:pPr>
                  <w:r>
                    <w:rPr>
                      <w:rFonts w:cs="Times New Roman"/>
                      <w:color w:val="auto"/>
                      <w:sz w:val="21"/>
                      <w:szCs w:val="21"/>
                      <w:highlight w:val="none"/>
                    </w:rPr>
                    <w:t>否</w:t>
                  </w:r>
                </w:p>
              </w:tc>
            </w:tr>
            <w:tr w14:paraId="620A33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219C67F7">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color w:val="auto"/>
                      <w:sz w:val="21"/>
                      <w:szCs w:val="21"/>
                      <w:highlight w:val="none"/>
                    </w:rPr>
                  </w:pPr>
                  <w:r>
                    <w:rPr>
                      <w:rFonts w:cs="Times New Roman"/>
                      <w:color w:val="auto"/>
                      <w:sz w:val="21"/>
                      <w:szCs w:val="21"/>
                      <w:highlight w:val="none"/>
                    </w:rPr>
                    <w:t>噪声</w:t>
                  </w:r>
                </w:p>
              </w:tc>
              <w:tc>
                <w:tcPr>
                  <w:tcW w:w="3377" w:type="dxa"/>
                  <w:noWrap w:val="0"/>
                  <w:vAlign w:val="top"/>
                </w:tcPr>
                <w:p w14:paraId="68D09EBE">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cs="Times New Roman"/>
                      <w:color w:val="auto"/>
                      <w:sz w:val="21"/>
                      <w:szCs w:val="21"/>
                      <w:highlight w:val="none"/>
                    </w:rPr>
                  </w:pPr>
                  <w:r>
                    <w:rPr>
                      <w:rFonts w:cs="Times New Roman"/>
                      <w:color w:val="auto"/>
                      <w:sz w:val="21"/>
                      <w:szCs w:val="21"/>
                      <w:highlight w:val="none"/>
                    </w:rPr>
                    <w:t>公路、铁路、机场等交通运输业涉及环境敏感区（以居住、医疗卫生、文化教育、科研、行政办公为主要功能的区域）的项目</w:t>
                  </w:r>
                </w:p>
                <w:p w14:paraId="06A498BD">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cs="Times New Roman"/>
                      <w:color w:val="auto"/>
                      <w:sz w:val="21"/>
                      <w:szCs w:val="21"/>
                      <w:highlight w:val="none"/>
                    </w:rPr>
                  </w:pPr>
                  <w:r>
                    <w:rPr>
                      <w:rFonts w:cs="Times New Roman"/>
                      <w:color w:val="auto"/>
                      <w:sz w:val="21"/>
                      <w:szCs w:val="21"/>
                      <w:highlight w:val="none"/>
                    </w:rPr>
                    <w:t>城市道路（不含维护、不含支路、人行天桥、人行地道）：全部</w:t>
                  </w:r>
                </w:p>
              </w:tc>
              <w:tc>
                <w:tcPr>
                  <w:tcW w:w="2601" w:type="dxa"/>
                  <w:noWrap w:val="0"/>
                  <w:vAlign w:val="center"/>
                </w:tcPr>
                <w:p w14:paraId="225B2FE8">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color w:val="auto"/>
                      <w:sz w:val="21"/>
                      <w:szCs w:val="21"/>
                      <w:highlight w:val="none"/>
                    </w:rPr>
                  </w:pPr>
                  <w:r>
                    <w:rPr>
                      <w:rFonts w:cs="Times New Roman"/>
                      <w:color w:val="auto"/>
                      <w:sz w:val="21"/>
                      <w:szCs w:val="21"/>
                      <w:highlight w:val="none"/>
                    </w:rPr>
                    <w:t>不涉及</w:t>
                  </w:r>
                </w:p>
              </w:tc>
              <w:tc>
                <w:tcPr>
                  <w:tcW w:w="360" w:type="dxa"/>
                  <w:noWrap w:val="0"/>
                  <w:vAlign w:val="center"/>
                </w:tcPr>
                <w:p w14:paraId="6F840326">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color w:val="auto"/>
                      <w:sz w:val="21"/>
                      <w:szCs w:val="21"/>
                      <w:highlight w:val="none"/>
                    </w:rPr>
                  </w:pPr>
                  <w:r>
                    <w:rPr>
                      <w:rFonts w:cs="Times New Roman"/>
                      <w:color w:val="auto"/>
                      <w:sz w:val="21"/>
                      <w:szCs w:val="21"/>
                      <w:highlight w:val="none"/>
                    </w:rPr>
                    <w:t>否</w:t>
                  </w:r>
                </w:p>
              </w:tc>
            </w:tr>
            <w:tr w14:paraId="19FDF2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5" w:type="dxa"/>
                  <w:noWrap w:val="0"/>
                  <w:vAlign w:val="center"/>
                </w:tcPr>
                <w:p w14:paraId="0A9628DF">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color w:val="auto"/>
                      <w:sz w:val="21"/>
                      <w:szCs w:val="21"/>
                      <w:highlight w:val="none"/>
                    </w:rPr>
                  </w:pPr>
                  <w:r>
                    <w:rPr>
                      <w:rFonts w:cs="Times New Roman"/>
                      <w:color w:val="auto"/>
                      <w:sz w:val="21"/>
                      <w:szCs w:val="21"/>
                      <w:highlight w:val="none"/>
                    </w:rPr>
                    <w:t>环境风险</w:t>
                  </w:r>
                </w:p>
              </w:tc>
              <w:tc>
                <w:tcPr>
                  <w:tcW w:w="3377" w:type="dxa"/>
                  <w:noWrap w:val="0"/>
                  <w:vAlign w:val="top"/>
                </w:tcPr>
                <w:p w14:paraId="6155F992">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cs="Times New Roman"/>
                      <w:color w:val="auto"/>
                      <w:sz w:val="21"/>
                      <w:szCs w:val="21"/>
                      <w:highlight w:val="none"/>
                    </w:rPr>
                  </w:pPr>
                  <w:r>
                    <w:rPr>
                      <w:rFonts w:cs="Times New Roman"/>
                      <w:color w:val="auto"/>
                      <w:sz w:val="21"/>
                      <w:szCs w:val="21"/>
                      <w:highlight w:val="none"/>
                    </w:rPr>
                    <w:t>石油和天然气开采：全部；</w:t>
                  </w:r>
                </w:p>
                <w:p w14:paraId="31C8D980">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cs="Times New Roman"/>
                      <w:color w:val="auto"/>
                      <w:sz w:val="21"/>
                      <w:szCs w:val="21"/>
                      <w:highlight w:val="none"/>
                    </w:rPr>
                  </w:pPr>
                  <w:r>
                    <w:rPr>
                      <w:rFonts w:cs="Times New Roman"/>
                      <w:color w:val="auto"/>
                      <w:sz w:val="21"/>
                      <w:szCs w:val="21"/>
                      <w:highlight w:val="none"/>
                    </w:rPr>
                    <w:t>油气、液体化工码头：全部；</w:t>
                  </w:r>
                </w:p>
                <w:p w14:paraId="74933BB7">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cs="Times New Roman"/>
                      <w:color w:val="auto"/>
                      <w:sz w:val="21"/>
                      <w:szCs w:val="21"/>
                      <w:highlight w:val="none"/>
                    </w:rPr>
                  </w:pPr>
                  <w:r>
                    <w:rPr>
                      <w:rFonts w:cs="Times New Roman"/>
                      <w:color w:val="auto"/>
                      <w:sz w:val="21"/>
                      <w:szCs w:val="21"/>
                      <w:highlight w:val="none"/>
                    </w:rPr>
                    <w:t>原油、成品油、天然气管线（不含城镇天然气管线、企业厂区内管线），危险化学品输送管线（不含企业厂区内管线）：全部</w:t>
                  </w:r>
                </w:p>
              </w:tc>
              <w:tc>
                <w:tcPr>
                  <w:tcW w:w="2601" w:type="dxa"/>
                  <w:noWrap w:val="0"/>
                  <w:vAlign w:val="center"/>
                </w:tcPr>
                <w:p w14:paraId="2B0B7052">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color w:val="auto"/>
                      <w:sz w:val="21"/>
                      <w:szCs w:val="21"/>
                      <w:highlight w:val="none"/>
                    </w:rPr>
                  </w:pPr>
                  <w:r>
                    <w:rPr>
                      <w:rFonts w:cs="Times New Roman"/>
                      <w:color w:val="auto"/>
                      <w:sz w:val="21"/>
                      <w:szCs w:val="21"/>
                      <w:highlight w:val="none"/>
                    </w:rPr>
                    <w:t>不涉及</w:t>
                  </w:r>
                </w:p>
              </w:tc>
              <w:tc>
                <w:tcPr>
                  <w:tcW w:w="360" w:type="dxa"/>
                  <w:noWrap w:val="0"/>
                  <w:vAlign w:val="center"/>
                </w:tcPr>
                <w:p w14:paraId="0158DC8E">
                  <w:pPr>
                    <w:pStyle w:val="16"/>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cs="Times New Roman"/>
                      <w:color w:val="auto"/>
                      <w:sz w:val="21"/>
                      <w:szCs w:val="21"/>
                      <w:highlight w:val="none"/>
                    </w:rPr>
                  </w:pPr>
                  <w:r>
                    <w:rPr>
                      <w:rFonts w:cs="Times New Roman"/>
                      <w:color w:val="auto"/>
                      <w:sz w:val="21"/>
                      <w:szCs w:val="21"/>
                      <w:highlight w:val="none"/>
                    </w:rPr>
                    <w:t>否</w:t>
                  </w:r>
                </w:p>
              </w:tc>
            </w:tr>
          </w:tbl>
          <w:p w14:paraId="22FFC95A">
            <w:pPr>
              <w:ind w:firstLine="480"/>
              <w:rPr>
                <w:rFonts w:hint="default" w:ascii="Times New Roman" w:hAnsi="Times New Roman" w:cs="Times New Roman"/>
                <w:color w:val="auto"/>
                <w:highlight w:val="none"/>
              </w:rPr>
            </w:pPr>
          </w:p>
        </w:tc>
      </w:tr>
      <w:tr w14:paraId="00CE2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69" w:type="pct"/>
            <w:gridSpan w:val="2"/>
            <w:noWrap w:val="0"/>
            <w:vAlign w:val="center"/>
          </w:tcPr>
          <w:p w14:paraId="49389C12">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规划情况</w:t>
            </w:r>
          </w:p>
        </w:tc>
        <w:tc>
          <w:tcPr>
            <w:tcW w:w="3930" w:type="pct"/>
            <w:gridSpan w:val="4"/>
            <w:tcBorders>
              <w:top w:val="single" w:color="auto" w:sz="4" w:space="0"/>
              <w:bottom w:val="single" w:color="auto" w:sz="4" w:space="0"/>
            </w:tcBorders>
            <w:shd w:val="clear" w:color="auto" w:fill="auto"/>
            <w:noWrap w:val="0"/>
            <w:vAlign w:val="center"/>
          </w:tcPr>
          <w:p w14:paraId="0B6E69F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val="0"/>
                <w:bCs w:val="0"/>
                <w:snapToGrid w:val="0"/>
                <w:color w:val="auto"/>
                <w:kern w:val="2"/>
                <w:sz w:val="21"/>
                <w:szCs w:val="24"/>
                <w:highlight w:val="none"/>
                <w:lang w:val="en-US" w:eastAsia="zh-CN" w:bidi="ar-SA"/>
              </w:rPr>
            </w:pPr>
            <w:r>
              <w:rPr>
                <w:rFonts w:hint="eastAsia" w:ascii="Times New Roman" w:hAnsi="Times New Roman" w:eastAsia="宋体" w:cs="Times New Roman"/>
                <w:b w:val="0"/>
                <w:bCs w:val="0"/>
                <w:color w:val="auto"/>
                <w:sz w:val="24"/>
                <w:highlight w:val="none"/>
                <w:lang w:val="en-US" w:eastAsia="zh-CN"/>
              </w:rPr>
              <w:t>《达州市“十四五”水安全保障规划》，审批机关：达州市人民政府。</w:t>
            </w:r>
          </w:p>
        </w:tc>
      </w:tr>
      <w:tr w14:paraId="5097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1069" w:type="pct"/>
            <w:gridSpan w:val="2"/>
            <w:noWrap w:val="0"/>
            <w:vAlign w:val="center"/>
          </w:tcPr>
          <w:p w14:paraId="3BAE2054">
            <w:pPr>
              <w:pStyle w:val="15"/>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规划环境影响评价情况</w:t>
            </w:r>
          </w:p>
        </w:tc>
        <w:tc>
          <w:tcPr>
            <w:tcW w:w="3930" w:type="pct"/>
            <w:gridSpan w:val="4"/>
            <w:tcBorders>
              <w:top w:val="single" w:color="auto" w:sz="4" w:space="0"/>
              <w:bottom w:val="single" w:color="auto" w:sz="4" w:space="0"/>
            </w:tcBorders>
            <w:noWrap w:val="0"/>
            <w:vAlign w:val="center"/>
          </w:tcPr>
          <w:p w14:paraId="73F03919">
            <w:pPr>
              <w:snapToGrid w:val="0"/>
              <w:spacing w:line="460" w:lineRule="exact"/>
              <w:ind w:firstLine="0" w:firstLine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无</w:t>
            </w:r>
          </w:p>
        </w:tc>
      </w:tr>
      <w:tr w14:paraId="4446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1069" w:type="pct"/>
            <w:gridSpan w:val="2"/>
            <w:shd w:val="clear" w:color="auto" w:fill="auto"/>
            <w:noWrap w:val="0"/>
            <w:vAlign w:val="center"/>
          </w:tcPr>
          <w:p w14:paraId="49561868">
            <w:pPr>
              <w:pStyle w:val="15"/>
              <w:ind w:firstLine="0" w:firstLineChars="0"/>
              <w:rPr>
                <w:rFonts w:hint="default" w:ascii="Times New Roman" w:hAnsi="Times New Roman" w:eastAsia="宋体" w:cs="Times New Roman"/>
                <w:snapToGrid w:val="0"/>
                <w:color w:val="auto"/>
                <w:kern w:val="2"/>
                <w:sz w:val="24"/>
                <w:szCs w:val="24"/>
                <w:highlight w:val="none"/>
                <w:lang w:val="en-US" w:eastAsia="zh-CN" w:bidi="ar-SA"/>
              </w:rPr>
            </w:pPr>
            <w:r>
              <w:rPr>
                <w:rFonts w:hint="eastAsia"/>
                <w:color w:val="auto"/>
                <w:highlight w:val="none"/>
              </w:rPr>
              <w:t>规划及规划环境影响评价符合性分析</w:t>
            </w:r>
          </w:p>
        </w:tc>
        <w:tc>
          <w:tcPr>
            <w:tcW w:w="3930" w:type="pct"/>
            <w:gridSpan w:val="4"/>
            <w:tcBorders>
              <w:top w:val="single" w:color="auto" w:sz="4" w:space="0"/>
              <w:bottom w:val="single" w:color="auto" w:sz="4" w:space="0"/>
            </w:tcBorders>
            <w:noWrap w:val="0"/>
            <w:vAlign w:val="center"/>
          </w:tcPr>
          <w:p w14:paraId="7FF58A7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1.1 《达州市“十四五”水安全保障规划》的符合性分析</w:t>
            </w:r>
          </w:p>
          <w:p w14:paraId="5D815D8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eastAsia="宋体"/>
                <w:color w:val="auto"/>
                <w:szCs w:val="21"/>
                <w:highlight w:val="none"/>
                <w:lang w:eastAsia="zh-CN"/>
              </w:rPr>
            </w:pPr>
            <w:r>
              <w:rPr>
                <w:rFonts w:hint="eastAsia" w:ascii="Times New Roman" w:hAnsi="Times New Roman" w:eastAsia="宋体" w:cs="Times New Roman"/>
                <w:b w:val="0"/>
                <w:bCs w:val="0"/>
                <w:color w:val="auto"/>
                <w:sz w:val="24"/>
                <w:highlight w:val="none"/>
                <w:lang w:val="en-US" w:eastAsia="zh-CN"/>
              </w:rPr>
              <w:t>根据《达州市“十四五”水安全保障规划》可知，“第</w:t>
            </w:r>
            <w:r>
              <w:rPr>
                <w:rFonts w:hint="eastAsia" w:cs="Times New Roman"/>
                <w:b w:val="0"/>
                <w:bCs w:val="0"/>
                <w:color w:val="auto"/>
                <w:sz w:val="24"/>
                <w:highlight w:val="none"/>
                <w:lang w:val="en-US" w:eastAsia="zh-CN"/>
              </w:rPr>
              <w:t>四</w:t>
            </w:r>
            <w:r>
              <w:rPr>
                <w:rFonts w:hint="eastAsia" w:ascii="Times New Roman" w:hAnsi="Times New Roman" w:eastAsia="宋体" w:cs="Times New Roman"/>
                <w:b w:val="0"/>
                <w:bCs w:val="0"/>
                <w:color w:val="auto"/>
                <w:sz w:val="24"/>
                <w:highlight w:val="none"/>
                <w:lang w:val="en-US" w:eastAsia="zh-CN"/>
              </w:rPr>
              <w:t xml:space="preserve">章 </w:t>
            </w:r>
            <w:r>
              <w:rPr>
                <w:rFonts w:hint="eastAsia" w:cs="Times New Roman"/>
                <w:b w:val="0"/>
                <w:bCs w:val="0"/>
                <w:color w:val="auto"/>
                <w:sz w:val="24"/>
                <w:highlight w:val="none"/>
                <w:lang w:val="en-US" w:eastAsia="zh-CN"/>
              </w:rPr>
              <w:t>发展目标</w:t>
            </w:r>
            <w:r>
              <w:rPr>
                <w:rFonts w:hint="eastAsia" w:ascii="Times New Roman" w:hAnsi="Times New Roman" w:eastAsia="宋体" w:cs="Times New Roman"/>
                <w:b w:val="0"/>
                <w:bCs w:val="0"/>
                <w:color w:val="auto"/>
                <w:sz w:val="24"/>
                <w:highlight w:val="none"/>
                <w:lang w:val="en-US" w:eastAsia="zh-CN"/>
              </w:rPr>
              <w:t>”中的</w:t>
            </w:r>
            <w:r>
              <w:rPr>
                <w:rFonts w:hint="eastAsia" w:cs="Times New Roman"/>
                <w:b w:val="0"/>
                <w:bCs w:val="0"/>
                <w:color w:val="auto"/>
                <w:sz w:val="24"/>
                <w:highlight w:val="none"/>
                <w:lang w:val="en-US" w:eastAsia="zh-CN"/>
              </w:rPr>
              <w:t>“</w:t>
            </w:r>
            <w:r>
              <w:rPr>
                <w:rFonts w:hint="eastAsia" w:ascii="Times New Roman" w:hAnsi="Times New Roman" w:eastAsia="宋体" w:cs="Times New Roman"/>
                <w:b w:val="0"/>
                <w:bCs w:val="0"/>
                <w:color w:val="auto"/>
                <w:sz w:val="24"/>
                <w:highlight w:val="none"/>
                <w:lang w:val="en-US" w:eastAsia="zh-CN"/>
              </w:rPr>
              <w:t>第</w:t>
            </w:r>
            <w:r>
              <w:rPr>
                <w:rFonts w:hint="eastAsia" w:cs="Times New Roman"/>
                <w:b w:val="0"/>
                <w:bCs w:val="0"/>
                <w:color w:val="auto"/>
                <w:sz w:val="24"/>
                <w:highlight w:val="none"/>
                <w:lang w:val="en-US" w:eastAsia="zh-CN"/>
              </w:rPr>
              <w:t>三</w:t>
            </w:r>
            <w:r>
              <w:rPr>
                <w:rFonts w:hint="eastAsia" w:ascii="Times New Roman" w:hAnsi="Times New Roman" w:eastAsia="宋体" w:cs="Times New Roman"/>
                <w:b w:val="0"/>
                <w:bCs w:val="0"/>
                <w:color w:val="auto"/>
                <w:sz w:val="24"/>
                <w:highlight w:val="none"/>
                <w:lang w:val="en-US" w:eastAsia="zh-CN"/>
              </w:rPr>
              <w:t xml:space="preserve">节 </w:t>
            </w:r>
            <w:r>
              <w:rPr>
                <w:rFonts w:hint="eastAsia" w:cs="Times New Roman"/>
                <w:b w:val="0"/>
                <w:bCs w:val="0"/>
                <w:color w:val="auto"/>
                <w:sz w:val="24"/>
                <w:highlight w:val="none"/>
                <w:lang w:val="en-US" w:eastAsia="zh-CN"/>
              </w:rPr>
              <w:t>规划发</w:t>
            </w:r>
            <w:r>
              <w:rPr>
                <w:rFonts w:hint="eastAsia" w:ascii="Times New Roman" w:hAnsi="Times New Roman" w:cs="Times New Roman"/>
                <w:color w:val="auto"/>
                <w:szCs w:val="21"/>
                <w:highlight w:val="none"/>
                <w:lang w:val="en-US" w:eastAsia="zh-CN"/>
              </w:rPr>
              <w:t>展目标”中的“水旱灾害防御：</w:t>
            </w:r>
            <w:r>
              <w:rPr>
                <w:rFonts w:hint="eastAsia" w:ascii="Times New Roman" w:hAnsi="Times New Roman" w:cs="Times New Roman"/>
                <w:color w:val="auto"/>
                <w:szCs w:val="21"/>
                <w:highlight w:val="none"/>
              </w:rPr>
              <w:t>强化水旱灾害防御工程与非工程</w:t>
            </w:r>
            <w:r>
              <w:rPr>
                <w:rFonts w:hint="eastAsia"/>
                <w:color w:val="auto"/>
                <w:szCs w:val="21"/>
                <w:highlight w:val="none"/>
              </w:rPr>
              <w:t>措施建设，推进主要支流、中小河流防洪治理和山洪灾害防治，重点城镇、重要河段基本达到国家规定的防洪标准，5级及以上堤防达标率提高到88%。全面消除现有及新出险的病险水库安全隐患。加强水旱灾害预警预报能力建设，摸清水旱灾害风险底数，强化应急抢险能力，有效防范水旱灾害。</w:t>
            </w:r>
            <w:r>
              <w:rPr>
                <w:rFonts w:hint="eastAsia"/>
                <w:color w:val="auto"/>
                <w:szCs w:val="21"/>
                <w:highlight w:val="none"/>
                <w:lang w:eastAsia="zh-CN"/>
              </w:rPr>
              <w:t>”</w:t>
            </w:r>
          </w:p>
          <w:p w14:paraId="3EF04D6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eastAsia="宋体"/>
                <w:color w:val="auto"/>
                <w:szCs w:val="21"/>
                <w:highlight w:val="none"/>
                <w:lang w:eastAsia="zh-CN"/>
              </w:rPr>
            </w:pPr>
            <w:r>
              <w:rPr>
                <w:rFonts w:hint="eastAsia"/>
                <w:color w:val="auto"/>
                <w:szCs w:val="21"/>
                <w:highlight w:val="none"/>
                <w:u w:val="none"/>
              </w:rPr>
              <w:t>本项目新建堤防、护岸或堤防基础加固</w:t>
            </w:r>
            <w:r>
              <w:rPr>
                <w:rFonts w:hint="eastAsia"/>
                <w:color w:val="auto"/>
                <w:szCs w:val="21"/>
                <w:highlight w:val="none"/>
                <w:u w:val="none"/>
                <w:lang w:eastAsia="zh-CN"/>
              </w:rPr>
              <w:t>，</w:t>
            </w:r>
            <w:r>
              <w:rPr>
                <w:rFonts w:hint="eastAsia"/>
                <w:color w:val="auto"/>
                <w:szCs w:val="21"/>
                <w:highlight w:val="none"/>
                <w:u w:val="none"/>
                <w:lang w:val="en-US" w:eastAsia="zh-CN"/>
              </w:rPr>
              <w:t>并对</w:t>
            </w:r>
            <w:r>
              <w:rPr>
                <w:rFonts w:hint="eastAsia"/>
                <w:color w:val="auto"/>
                <w:szCs w:val="21"/>
                <w:highlight w:val="none"/>
                <w:u w:val="none"/>
              </w:rPr>
              <w:t>河道疏浚进行综合治理，</w:t>
            </w:r>
            <w:r>
              <w:rPr>
                <w:rFonts w:hint="eastAsia"/>
                <w:color w:val="auto"/>
                <w:szCs w:val="21"/>
                <w:highlight w:val="none"/>
                <w:u w:val="none"/>
                <w:lang w:val="en-US" w:eastAsia="zh-CN"/>
              </w:rPr>
              <w:t>柳城河二郎段、福兴段和</w:t>
            </w:r>
            <w:r>
              <w:rPr>
                <w:rFonts w:hint="default" w:ascii="Times New Roman" w:hAnsi="Times New Roman" w:cs="Times New Roman"/>
                <w:color w:val="auto"/>
                <w:highlight w:val="none"/>
                <w:u w:val="none"/>
              </w:rPr>
              <w:t>东柳河清河镇</w:t>
            </w:r>
            <w:r>
              <w:rPr>
                <w:rFonts w:hint="eastAsia" w:cs="Times New Roman"/>
                <w:color w:val="auto"/>
                <w:highlight w:val="none"/>
                <w:u w:val="none"/>
                <w:lang w:val="en-US" w:eastAsia="zh-CN"/>
              </w:rPr>
              <w:t>及</w:t>
            </w:r>
            <w:r>
              <w:rPr>
                <w:rFonts w:hint="default" w:ascii="Times New Roman" w:hAnsi="Times New Roman" w:cs="Times New Roman"/>
                <w:color w:val="auto"/>
                <w:highlight w:val="none"/>
                <w:u w:val="none"/>
              </w:rPr>
              <w:t>杨家镇</w:t>
            </w:r>
            <w:r>
              <w:rPr>
                <w:rFonts w:hint="eastAsia" w:cs="Times New Roman"/>
                <w:color w:val="auto"/>
                <w:highlight w:val="none"/>
                <w:u w:val="none"/>
                <w:lang w:val="en-US" w:eastAsia="zh-CN"/>
              </w:rPr>
              <w:t>段</w:t>
            </w:r>
            <w:r>
              <w:rPr>
                <w:rFonts w:hint="eastAsia"/>
                <w:color w:val="auto"/>
                <w:szCs w:val="21"/>
                <w:highlight w:val="none"/>
                <w:u w:val="none"/>
              </w:rPr>
              <w:t>设计防洪标准</w:t>
            </w:r>
            <w:r>
              <w:rPr>
                <w:rFonts w:hint="eastAsia"/>
                <w:color w:val="auto"/>
                <w:szCs w:val="21"/>
                <w:highlight w:val="none"/>
                <w:u w:val="none"/>
                <w:lang w:val="en-US" w:eastAsia="zh-CN"/>
              </w:rPr>
              <w:t>均</w:t>
            </w:r>
            <w:r>
              <w:rPr>
                <w:rFonts w:hint="eastAsia"/>
                <w:color w:val="auto"/>
                <w:szCs w:val="21"/>
                <w:highlight w:val="none"/>
                <w:u w:val="none"/>
              </w:rPr>
              <w:t>为1</w:t>
            </w:r>
            <w:r>
              <w:rPr>
                <w:color w:val="auto"/>
                <w:szCs w:val="21"/>
                <w:highlight w:val="none"/>
                <w:u w:val="none"/>
              </w:rPr>
              <w:t>0</w:t>
            </w:r>
            <w:r>
              <w:rPr>
                <w:rFonts w:hint="eastAsia"/>
                <w:color w:val="auto"/>
                <w:szCs w:val="21"/>
                <w:highlight w:val="none"/>
                <w:u w:val="none"/>
              </w:rPr>
              <w:t>年一遇，</w:t>
            </w:r>
            <w:r>
              <w:rPr>
                <w:rFonts w:hint="eastAsia"/>
                <w:color w:val="auto"/>
                <w:szCs w:val="21"/>
                <w:highlight w:val="none"/>
                <w:u w:val="none"/>
                <w:lang w:val="en-US" w:eastAsia="zh-CN"/>
              </w:rPr>
              <w:t>柳城河石河镇段、双拱场段</w:t>
            </w:r>
            <w:r>
              <w:rPr>
                <w:rFonts w:hint="eastAsia"/>
                <w:color w:val="auto"/>
                <w:szCs w:val="21"/>
                <w:highlight w:val="none"/>
                <w:u w:val="none"/>
              </w:rPr>
              <w:t>设计防洪标准为</w:t>
            </w:r>
            <w:r>
              <w:rPr>
                <w:rFonts w:hint="eastAsia"/>
                <w:color w:val="auto"/>
                <w:szCs w:val="21"/>
                <w:highlight w:val="none"/>
                <w:u w:val="none"/>
                <w:lang w:val="en-US" w:eastAsia="zh-CN"/>
              </w:rPr>
              <w:t>5</w:t>
            </w:r>
            <w:r>
              <w:rPr>
                <w:rFonts w:hint="eastAsia"/>
                <w:color w:val="auto"/>
                <w:szCs w:val="21"/>
                <w:highlight w:val="none"/>
                <w:u w:val="none"/>
              </w:rPr>
              <w:t>年一遇，建成后可有效防范水旱灾害。</w:t>
            </w:r>
          </w:p>
        </w:tc>
      </w:tr>
      <w:tr w14:paraId="761C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1" w:type="pct"/>
            <w:tcBorders>
              <w:bottom w:val="single" w:color="auto" w:sz="4" w:space="0"/>
            </w:tcBorders>
            <w:noWrap w:val="0"/>
            <w:vAlign w:val="center"/>
          </w:tcPr>
          <w:p w14:paraId="0D73AB94">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其他符合性分析</w:t>
            </w:r>
          </w:p>
        </w:tc>
        <w:tc>
          <w:tcPr>
            <w:tcW w:w="4748" w:type="pct"/>
            <w:gridSpan w:val="5"/>
            <w:tcBorders>
              <w:top w:val="single" w:color="auto" w:sz="4" w:space="0"/>
              <w:bottom w:val="single" w:color="auto" w:sz="4" w:space="0"/>
            </w:tcBorders>
            <w:noWrap w:val="0"/>
            <w:vAlign w:val="center"/>
          </w:tcPr>
          <w:p w14:paraId="5F22B411">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w:t>
            </w:r>
            <w:r>
              <w:rPr>
                <w:rFonts w:hint="eastAsia" w:cs="Times New Roman"/>
                <w:b/>
                <w:bCs/>
                <w:color w:val="auto"/>
                <w:highlight w:val="none"/>
                <w:lang w:val="en-US" w:eastAsia="zh-CN"/>
              </w:rPr>
              <w:t>2</w:t>
            </w:r>
            <w:r>
              <w:rPr>
                <w:rFonts w:hint="default" w:ascii="Times New Roman" w:hAnsi="Times New Roman" w:cs="Times New Roman"/>
                <w:b/>
                <w:bCs/>
                <w:color w:val="auto"/>
                <w:highlight w:val="none"/>
              </w:rPr>
              <w:t xml:space="preserve"> 与</w:t>
            </w:r>
            <w:r>
              <w:rPr>
                <w:rFonts w:hint="eastAsia" w:cs="Times New Roman"/>
                <w:b/>
                <w:bCs/>
                <w:color w:val="auto"/>
                <w:highlight w:val="none"/>
                <w:lang w:eastAsia="zh-CN"/>
              </w:rPr>
              <w:t>《</w:t>
            </w:r>
            <w:r>
              <w:rPr>
                <w:rFonts w:hint="default" w:ascii="Times New Roman" w:hAnsi="Times New Roman" w:cs="Times New Roman"/>
                <w:b/>
                <w:bCs/>
                <w:color w:val="auto"/>
                <w:highlight w:val="none"/>
              </w:rPr>
              <w:t>产业结构调整指导目录（2024年本）》符合性分析</w:t>
            </w:r>
          </w:p>
          <w:p w14:paraId="3E45F20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根据《产业结构调整指导目录（2024年本）》可知，本项目属于</w:t>
            </w:r>
            <w:r>
              <w:rPr>
                <w:rFonts w:hint="default" w:ascii="Times New Roman" w:hAnsi="Times New Roman" w:cs="Times New Roman"/>
                <w:color w:val="auto"/>
                <w:szCs w:val="24"/>
                <w:highlight w:val="none"/>
              </w:rPr>
              <w:t>“第一类鼓励类”中“二、水利：3.防洪提升工程：</w:t>
            </w:r>
            <w:r>
              <w:rPr>
                <w:rFonts w:hint="default" w:ascii="Times New Roman" w:hAnsi="Times New Roman" w:cs="Times New Roman"/>
                <w:color w:val="auto"/>
                <w:highlight w:val="none"/>
              </w:rPr>
              <w:t>江河湖海堤防建设及</w:t>
            </w:r>
            <w:r>
              <w:rPr>
                <w:rFonts w:hint="eastAsia" w:cs="Times New Roman"/>
                <w:color w:val="auto"/>
                <w:highlight w:val="none"/>
                <w:lang w:eastAsia="zh-CN"/>
              </w:rPr>
              <w:t>防洪治理工程</w:t>
            </w:r>
            <w:r>
              <w:rPr>
                <w:rFonts w:hint="default" w:ascii="Times New Roman" w:hAnsi="Times New Roman" w:cs="Times New Roman"/>
                <w:color w:val="auto"/>
                <w:highlight w:val="none"/>
              </w:rPr>
              <w:t>、江河湖库清淤疏浚工程”，为鼓励类。因此，本项目符合国家产业结构调整政策。</w:t>
            </w:r>
          </w:p>
          <w:p w14:paraId="23A840BF">
            <w:pPr>
              <w:ind w:firstLine="480"/>
              <w:rPr>
                <w:rFonts w:hint="eastAsia" w:cs="Times New Roman"/>
                <w:color w:val="auto"/>
                <w:highlight w:val="none"/>
                <w:lang w:eastAsia="zh-CN"/>
              </w:rPr>
            </w:pPr>
            <w:r>
              <w:rPr>
                <w:rFonts w:hint="eastAsia" w:cs="Times New Roman"/>
                <w:color w:val="auto"/>
                <w:highlight w:val="none"/>
                <w:lang w:eastAsia="zh-CN"/>
              </w:rPr>
              <w:t>202</w:t>
            </w:r>
            <w:r>
              <w:rPr>
                <w:rFonts w:hint="eastAsia" w:cs="Times New Roman"/>
                <w:color w:val="auto"/>
                <w:highlight w:val="none"/>
                <w:lang w:val="en-US" w:eastAsia="zh-CN"/>
              </w:rPr>
              <w:t>1</w:t>
            </w:r>
            <w:r>
              <w:rPr>
                <w:rFonts w:hint="eastAsia" w:cs="Times New Roman"/>
                <w:color w:val="auto"/>
                <w:highlight w:val="none"/>
                <w:lang w:eastAsia="zh-CN"/>
              </w:rPr>
              <w:t>年12月</w:t>
            </w:r>
            <w:r>
              <w:rPr>
                <w:rFonts w:hint="eastAsia" w:cs="Times New Roman"/>
                <w:color w:val="auto"/>
                <w:highlight w:val="none"/>
                <w:lang w:val="en-US" w:eastAsia="zh-CN"/>
              </w:rPr>
              <w:t>7</w:t>
            </w:r>
            <w:r>
              <w:rPr>
                <w:rFonts w:hint="eastAsia" w:cs="Times New Roman"/>
                <w:color w:val="auto"/>
                <w:highlight w:val="none"/>
                <w:lang w:eastAsia="zh-CN"/>
              </w:rPr>
              <w:t>日，大竹县水务局以竹水务函〔2021〕</w:t>
            </w:r>
            <w:r>
              <w:rPr>
                <w:rFonts w:hint="eastAsia" w:cs="Times New Roman"/>
                <w:color w:val="auto"/>
                <w:highlight w:val="none"/>
                <w:lang w:val="en-US" w:eastAsia="zh-CN"/>
              </w:rPr>
              <w:t>165号</w:t>
            </w:r>
            <w:r>
              <w:rPr>
                <w:rFonts w:hint="default" w:ascii="Times New Roman" w:hAnsi="Times New Roman" w:cs="Times New Roman"/>
                <w:color w:val="auto"/>
                <w:highlight w:val="none"/>
              </w:rPr>
              <w:t>《关于四川省大竹县东柳河清河镇防洪治理工程和东柳河杨家镇防洪治理工程</w:t>
            </w:r>
            <w:r>
              <w:rPr>
                <w:rFonts w:hint="eastAsia" w:cs="Times New Roman"/>
                <w:color w:val="auto"/>
                <w:highlight w:val="none"/>
                <w:lang w:val="en-US" w:eastAsia="zh-CN"/>
              </w:rPr>
              <w:t>初步设计报告</w:t>
            </w:r>
            <w:r>
              <w:rPr>
                <w:rFonts w:hint="default" w:ascii="Times New Roman" w:hAnsi="Times New Roman" w:cs="Times New Roman"/>
                <w:color w:val="auto"/>
                <w:highlight w:val="none"/>
              </w:rPr>
              <w:t>的批复》对四川省大竹县东柳河清河镇防洪治理工程和东柳河杨家镇防洪治理工程的初步设计文件予以批复</w:t>
            </w:r>
            <w:r>
              <w:rPr>
                <w:rFonts w:hint="eastAsia" w:cs="Times New Roman"/>
                <w:color w:val="auto"/>
                <w:highlight w:val="none"/>
                <w:lang w:eastAsia="zh-CN"/>
              </w:rPr>
              <w:t>。</w:t>
            </w:r>
          </w:p>
          <w:p w14:paraId="264B458C">
            <w:pPr>
              <w:ind w:firstLine="480"/>
              <w:rPr>
                <w:rFonts w:hint="default" w:ascii="Times New Roman" w:hAnsi="Times New Roman" w:cs="Times New Roman"/>
                <w:color w:val="auto"/>
                <w:highlight w:val="none"/>
              </w:rPr>
            </w:pPr>
            <w:r>
              <w:rPr>
                <w:rFonts w:hint="eastAsia" w:cs="Times New Roman"/>
                <w:color w:val="auto"/>
                <w:highlight w:val="none"/>
                <w:lang w:eastAsia="zh-CN"/>
              </w:rPr>
              <w:t>2022年12月31日，大竹县水务局以竹水务函〔202</w:t>
            </w:r>
            <w:r>
              <w:rPr>
                <w:rFonts w:hint="eastAsia" w:cs="Times New Roman"/>
                <w:color w:val="auto"/>
                <w:highlight w:val="none"/>
                <w:lang w:val="en-US" w:eastAsia="zh-CN"/>
              </w:rPr>
              <w:t>2</w:t>
            </w:r>
            <w:r>
              <w:rPr>
                <w:rFonts w:hint="eastAsia" w:cs="Times New Roman"/>
                <w:color w:val="auto"/>
                <w:highlight w:val="none"/>
                <w:lang w:eastAsia="zh-CN"/>
              </w:rPr>
              <w:t>〕</w:t>
            </w:r>
            <w:r>
              <w:rPr>
                <w:rFonts w:hint="eastAsia" w:cs="Times New Roman"/>
                <w:color w:val="auto"/>
                <w:highlight w:val="none"/>
                <w:lang w:val="en-US" w:eastAsia="zh-CN"/>
              </w:rPr>
              <w:t>266号</w:t>
            </w:r>
            <w:r>
              <w:rPr>
                <w:rFonts w:hint="default" w:ascii="Times New Roman" w:hAnsi="Times New Roman" w:cs="Times New Roman"/>
                <w:color w:val="auto"/>
                <w:highlight w:val="none"/>
              </w:rPr>
              <w:t>《关于</w:t>
            </w:r>
            <w:r>
              <w:rPr>
                <w:rFonts w:hint="eastAsia" w:cs="Times New Roman"/>
                <w:color w:val="auto"/>
                <w:highlight w:val="none"/>
                <w:lang w:eastAsia="zh-CN"/>
              </w:rPr>
              <w:t>四川省大竹县柳城河石河镇防洪治理工程</w:t>
            </w:r>
            <w:r>
              <w:rPr>
                <w:rFonts w:hint="eastAsia" w:cs="Times New Roman"/>
                <w:color w:val="auto"/>
                <w:highlight w:val="none"/>
                <w:lang w:val="en-US" w:eastAsia="zh-CN"/>
              </w:rPr>
              <w:t>初步设计报告</w:t>
            </w:r>
            <w:r>
              <w:rPr>
                <w:rFonts w:hint="default" w:ascii="Times New Roman" w:hAnsi="Times New Roman" w:cs="Times New Roman"/>
                <w:color w:val="auto"/>
                <w:highlight w:val="none"/>
              </w:rPr>
              <w:t>的批复》对</w:t>
            </w:r>
            <w:r>
              <w:rPr>
                <w:rFonts w:hint="eastAsia" w:cs="Times New Roman"/>
                <w:color w:val="auto"/>
                <w:highlight w:val="none"/>
                <w:lang w:eastAsia="zh-CN"/>
              </w:rPr>
              <w:t>四川省大竹县柳城河石河镇防洪治理工程</w:t>
            </w:r>
            <w:r>
              <w:rPr>
                <w:rFonts w:hint="default" w:ascii="Times New Roman" w:hAnsi="Times New Roman" w:cs="Times New Roman"/>
                <w:color w:val="auto"/>
                <w:highlight w:val="none"/>
              </w:rPr>
              <w:t>的初步设计文件予以批复。</w:t>
            </w:r>
          </w:p>
          <w:p w14:paraId="2476EAE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202</w:t>
            </w:r>
            <w:r>
              <w:rPr>
                <w:rFonts w:hint="eastAsia" w:cs="Times New Roman"/>
                <w:color w:val="auto"/>
                <w:highlight w:val="none"/>
                <w:lang w:val="en-US" w:eastAsia="zh-CN"/>
              </w:rPr>
              <w:t>3</w:t>
            </w:r>
            <w:r>
              <w:rPr>
                <w:rFonts w:hint="default" w:ascii="Times New Roman" w:hAnsi="Times New Roman" w:cs="Times New Roman"/>
                <w:color w:val="auto"/>
                <w:highlight w:val="none"/>
                <w:u w:val="none"/>
              </w:rPr>
              <w:t>年</w:t>
            </w:r>
            <w:r>
              <w:rPr>
                <w:rFonts w:hint="eastAsia" w:cs="Times New Roman"/>
                <w:color w:val="auto"/>
                <w:highlight w:val="none"/>
                <w:u w:val="none"/>
                <w:lang w:val="en-US" w:eastAsia="zh-CN"/>
              </w:rPr>
              <w:t>6</w:t>
            </w:r>
            <w:r>
              <w:rPr>
                <w:rFonts w:hint="default" w:ascii="Times New Roman" w:hAnsi="Times New Roman" w:cs="Times New Roman"/>
                <w:color w:val="auto"/>
                <w:highlight w:val="none"/>
                <w:u w:val="none"/>
              </w:rPr>
              <w:t>月</w:t>
            </w:r>
            <w:r>
              <w:rPr>
                <w:rFonts w:hint="eastAsia" w:cs="Times New Roman"/>
                <w:color w:val="auto"/>
                <w:highlight w:val="none"/>
                <w:u w:val="none"/>
                <w:lang w:val="en-US" w:eastAsia="zh-CN"/>
              </w:rPr>
              <w:t>29日</w:t>
            </w:r>
            <w:r>
              <w:rPr>
                <w:rFonts w:hint="default" w:ascii="Times New Roman" w:hAnsi="Times New Roman" w:cs="Times New Roman"/>
                <w:color w:val="auto"/>
                <w:highlight w:val="none"/>
                <w:u w:val="none"/>
              </w:rPr>
              <w:t>，</w:t>
            </w:r>
            <w:r>
              <w:rPr>
                <w:rFonts w:hint="eastAsia" w:cs="Times New Roman"/>
                <w:color w:val="auto"/>
                <w:highlight w:val="none"/>
                <w:u w:val="none"/>
                <w:lang w:val="en-US" w:eastAsia="zh-CN"/>
              </w:rPr>
              <w:t>大</w:t>
            </w:r>
            <w:r>
              <w:rPr>
                <w:rFonts w:hint="eastAsia" w:cs="Times New Roman"/>
                <w:color w:val="auto"/>
                <w:highlight w:val="none"/>
                <w:lang w:val="en-US" w:eastAsia="zh-CN"/>
              </w:rPr>
              <w:t>竹县水务局</w:t>
            </w:r>
            <w:r>
              <w:rPr>
                <w:rFonts w:hint="default" w:ascii="Times New Roman" w:hAnsi="Times New Roman" w:cs="Times New Roman"/>
                <w:color w:val="auto"/>
                <w:highlight w:val="none"/>
              </w:rPr>
              <w:t>以</w:t>
            </w:r>
            <w:r>
              <w:rPr>
                <w:rFonts w:hint="eastAsia" w:ascii="Times New Roman" w:hAnsi="Times New Roman" w:eastAsia="宋体" w:cs="Times New Roman"/>
                <w:color w:val="auto"/>
                <w:highlight w:val="none"/>
                <w:lang w:val="en-US" w:eastAsia="zh-CN"/>
              </w:rPr>
              <w:t>竹水务函〔202</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〕144号</w:t>
            </w:r>
            <w:r>
              <w:rPr>
                <w:rFonts w:hint="default" w:ascii="Times New Roman" w:hAnsi="Times New Roman" w:cs="Times New Roman"/>
                <w:color w:val="auto"/>
                <w:highlight w:val="none"/>
              </w:rPr>
              <w:t>《关于</w:t>
            </w:r>
            <w:r>
              <w:rPr>
                <w:rFonts w:hint="eastAsia" w:cs="Times New Roman"/>
                <w:color w:val="auto"/>
                <w:highlight w:val="none"/>
                <w:lang w:eastAsia="zh-CN"/>
              </w:rPr>
              <w:t>四川省大竹县柳城河石河镇二郎、福兴防洪治理工程</w:t>
            </w:r>
            <w:r>
              <w:rPr>
                <w:rFonts w:hint="eastAsia" w:cs="Times New Roman"/>
                <w:color w:val="auto"/>
                <w:highlight w:val="none"/>
                <w:lang w:val="en-US" w:eastAsia="zh-CN"/>
              </w:rPr>
              <w:t>初步设计报告</w:t>
            </w:r>
            <w:r>
              <w:rPr>
                <w:rFonts w:hint="default" w:ascii="Times New Roman" w:hAnsi="Times New Roman" w:cs="Times New Roman"/>
                <w:color w:val="auto"/>
                <w:highlight w:val="none"/>
              </w:rPr>
              <w:t>的批复》对</w:t>
            </w:r>
            <w:r>
              <w:rPr>
                <w:rFonts w:hint="eastAsia" w:cs="Times New Roman"/>
                <w:color w:val="auto"/>
                <w:highlight w:val="none"/>
                <w:lang w:eastAsia="zh-CN"/>
              </w:rPr>
              <w:t>四川省大竹县柳城河石河镇二郎、福兴防洪治理工程</w:t>
            </w:r>
            <w:r>
              <w:rPr>
                <w:rFonts w:hint="default" w:ascii="Times New Roman" w:hAnsi="Times New Roman" w:cs="Times New Roman"/>
                <w:color w:val="auto"/>
                <w:highlight w:val="none"/>
              </w:rPr>
              <w:t>的初步设计文件予以批复</w:t>
            </w:r>
            <w:r>
              <w:rPr>
                <w:rFonts w:hint="eastAsia" w:cs="Times New Roman"/>
                <w:color w:val="auto"/>
                <w:highlight w:val="none"/>
                <w:lang w:eastAsia="zh-CN"/>
              </w:rPr>
              <w:t>，</w:t>
            </w:r>
            <w:r>
              <w:rPr>
                <w:rFonts w:hint="default" w:ascii="Times New Roman" w:hAnsi="Times New Roman" w:cs="Times New Roman"/>
                <w:color w:val="auto"/>
                <w:highlight w:val="none"/>
              </w:rPr>
              <w:t>详见附件1。</w:t>
            </w:r>
          </w:p>
          <w:p w14:paraId="3A435DB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综上，本项目符合相关法律法规和政策规定，符合国家及地方现行产业政策。</w:t>
            </w:r>
          </w:p>
          <w:p w14:paraId="44687F68">
            <w:pPr>
              <w:ind w:firstLine="0" w:firstLineChars="0"/>
              <w:rPr>
                <w:rFonts w:hint="default" w:cs="Times New Roman"/>
                <w:b/>
                <w:bCs/>
                <w:color w:val="auto"/>
                <w:highlight w:val="none"/>
                <w:lang w:eastAsia="zh-CN"/>
              </w:rPr>
            </w:pPr>
            <w:r>
              <w:rPr>
                <w:rFonts w:hint="default" w:cs="Times New Roman"/>
                <w:b/>
                <w:bCs/>
                <w:color w:val="auto"/>
                <w:highlight w:val="none"/>
                <w:lang w:eastAsia="zh-CN"/>
              </w:rPr>
              <w:t>1.</w:t>
            </w:r>
            <w:r>
              <w:rPr>
                <w:rFonts w:hint="eastAsia" w:cs="Times New Roman"/>
                <w:b/>
                <w:bCs/>
                <w:color w:val="auto"/>
                <w:highlight w:val="none"/>
                <w:lang w:val="en-US" w:eastAsia="zh-CN"/>
              </w:rPr>
              <w:t>3</w:t>
            </w:r>
            <w:r>
              <w:rPr>
                <w:rFonts w:hint="default" w:cs="Times New Roman"/>
                <w:b/>
                <w:bCs/>
                <w:color w:val="auto"/>
                <w:highlight w:val="none"/>
                <w:lang w:eastAsia="zh-CN"/>
              </w:rPr>
              <w:t xml:space="preserve"> “三线一单”符合性分析</w:t>
            </w:r>
          </w:p>
          <w:p w14:paraId="6ACF0E7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rPr>
            </w:pPr>
            <w:r>
              <w:rPr>
                <w:color w:val="auto"/>
                <w:sz w:val="24"/>
                <w:highlight w:val="none"/>
              </w:rPr>
              <w:t>2021年12月27日，</w:t>
            </w:r>
            <w:r>
              <w:rPr>
                <w:rFonts w:hint="eastAsia"/>
                <w:color w:val="auto"/>
                <w:sz w:val="24"/>
                <w:highlight w:val="none"/>
                <w:lang w:val="en-US" w:eastAsia="zh-CN"/>
              </w:rPr>
              <w:t>四</w:t>
            </w:r>
            <w:r>
              <w:rPr>
                <w:rFonts w:hint="default" w:ascii="Times New Roman" w:hAnsi="Times New Roman" w:cs="Times New Roman"/>
                <w:color w:val="auto"/>
                <w:highlight w:val="none"/>
              </w:rPr>
              <w:t>川省生态环境厅办公室发布的《产业园区规划环评“三线一单”符合性分析技术要点(试行)》和《项目环评“三线一单”符合性分析技术要点(试行)》的通知（</w:t>
            </w:r>
            <w:r>
              <w:rPr>
                <w:color w:val="auto"/>
                <w:sz w:val="24"/>
                <w:highlight w:val="none"/>
              </w:rPr>
              <w:t>川环办函〔2021〕469号</w:t>
            </w:r>
            <w:r>
              <w:rPr>
                <w:rFonts w:hint="default" w:ascii="Times New Roman" w:hAnsi="Times New Roman" w:cs="Times New Roman"/>
                <w:color w:val="auto"/>
                <w:highlight w:val="none"/>
              </w:rPr>
              <w:t>）可知，若建设项目位于产业园区外，需进行空间符合性分析以及管控要求符合性分析。</w:t>
            </w:r>
          </w:p>
          <w:p w14:paraId="55A7FC9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本项目属于防洪治理工程，位于产业园区之外</w:t>
            </w:r>
            <w:r>
              <w:rPr>
                <w:rFonts w:hint="eastAsia" w:cs="Times New Roman"/>
                <w:color w:val="auto"/>
                <w:highlight w:val="none"/>
                <w:lang w:eastAsia="zh-CN"/>
              </w:rPr>
              <w:t>。</w:t>
            </w:r>
            <w:r>
              <w:rPr>
                <w:rFonts w:hint="default" w:ascii="Times New Roman" w:hAnsi="Times New Roman" w:cs="Times New Roman"/>
                <w:color w:val="auto"/>
                <w:highlight w:val="none"/>
              </w:rPr>
              <w:t>因此，需要进行空间符合性分析以及管控要求符合性分析。</w:t>
            </w:r>
          </w:p>
          <w:p w14:paraId="7A559C2C">
            <w:pPr>
              <w:widowControl/>
              <w:ind w:firstLine="480"/>
              <w:jc w:val="both"/>
              <w:rPr>
                <w:rFonts w:hint="default" w:ascii="Times New Roman" w:hAnsi="Times New Roman" w:cs="Times New Roman"/>
                <w:color w:val="auto"/>
                <w:highlight w:val="none"/>
              </w:rPr>
            </w:pPr>
            <w:r>
              <w:rPr>
                <w:color w:val="auto"/>
                <w:sz w:val="24"/>
                <w:highlight w:val="none"/>
              </w:rPr>
              <w:t>本次评价结合</w:t>
            </w:r>
            <w:r>
              <w:rPr>
                <w:rFonts w:hint="eastAsia"/>
                <w:color w:val="auto"/>
                <w:sz w:val="24"/>
                <w:highlight w:val="none"/>
                <w:lang w:eastAsia="zh-CN"/>
              </w:rPr>
              <w:t>四川省“生态环境分区管控”符合性分析系统</w:t>
            </w:r>
            <w:r>
              <w:rPr>
                <w:color w:val="auto"/>
                <w:sz w:val="24"/>
                <w:highlight w:val="none"/>
              </w:rPr>
              <w:t>、《</w:t>
            </w:r>
            <w:r>
              <w:rPr>
                <w:rFonts w:hint="eastAsia"/>
                <w:color w:val="auto"/>
                <w:sz w:val="24"/>
                <w:highlight w:val="none"/>
              </w:rPr>
              <w:t>达州市以人民</w:t>
            </w:r>
            <w:r>
              <w:rPr>
                <w:color w:val="auto"/>
                <w:sz w:val="24"/>
                <w:highlight w:val="none"/>
              </w:rPr>
              <w:t>政府办公室关于加强生态环境分区管控的通知》（达市府</w:t>
            </w:r>
            <w:r>
              <w:rPr>
                <w:rFonts w:hint="eastAsia"/>
                <w:color w:val="auto"/>
                <w:sz w:val="24"/>
                <w:highlight w:val="none"/>
              </w:rPr>
              <w:t>办</w:t>
            </w:r>
            <w:r>
              <w:rPr>
                <w:color w:val="auto"/>
                <w:sz w:val="24"/>
                <w:highlight w:val="none"/>
              </w:rPr>
              <w:t>函〔2024〕31号），按川环办函〔2021〕469号要求对本项目“三线一单”符合性</w:t>
            </w:r>
            <w:r>
              <w:rPr>
                <w:rFonts w:hint="eastAsia"/>
                <w:color w:val="auto"/>
                <w:sz w:val="24"/>
                <w:highlight w:val="none"/>
                <w:lang w:val="en-US" w:eastAsia="zh-CN"/>
              </w:rPr>
              <w:t>进行分析</w:t>
            </w:r>
            <w:r>
              <w:rPr>
                <w:rFonts w:hint="default" w:ascii="Times New Roman" w:hAnsi="Times New Roman" w:cs="Times New Roman"/>
                <w:color w:val="auto"/>
                <w:highlight w:val="none"/>
              </w:rPr>
              <w:t>。</w:t>
            </w:r>
          </w:p>
          <w:p w14:paraId="3EBA9A88">
            <w:pPr>
              <w:widowControl/>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本次评价结合四川省“</w:t>
            </w:r>
            <w:r>
              <w:rPr>
                <w:rFonts w:hint="default" w:ascii="Times New Roman" w:hAnsi="Times New Roman" w:cs="Times New Roman"/>
                <w:color w:val="auto"/>
                <w:szCs w:val="24"/>
                <w:highlight w:val="none"/>
              </w:rPr>
              <w:t>生态环境分区管控符合性分析</w:t>
            </w:r>
            <w:r>
              <w:rPr>
                <w:rFonts w:hint="default" w:ascii="Times New Roman" w:hAnsi="Times New Roman" w:cs="Times New Roman"/>
                <w:color w:val="auto"/>
                <w:highlight w:val="none"/>
              </w:rPr>
              <w:t>”系统、《达州市人民政府办公室关于加强生态环境分区管控的通知》(达市府办函〔202</w:t>
            </w:r>
            <w:r>
              <w:rPr>
                <w:rFonts w:hint="eastAsia" w:cs="Times New Roman"/>
                <w:color w:val="auto"/>
                <w:highlight w:val="none"/>
                <w:lang w:val="en-US" w:eastAsia="zh-CN"/>
              </w:rPr>
              <w:t>4</w:t>
            </w:r>
            <w:r>
              <w:rPr>
                <w:rFonts w:hint="default" w:ascii="Times New Roman" w:hAnsi="Times New Roman" w:cs="Times New Roman"/>
                <w:color w:val="auto"/>
                <w:highlight w:val="none"/>
              </w:rPr>
              <w:t>〕31号)，对本项目“三线一单”符合性分析如下。</w:t>
            </w:r>
          </w:p>
          <w:p w14:paraId="4CA624AE">
            <w:pPr>
              <w:ind w:firstLine="482"/>
              <w:rPr>
                <w:rFonts w:hint="default" w:ascii="Times New Roman" w:hAnsi="Times New Roman" w:cs="Times New Roman"/>
                <w:color w:val="auto"/>
                <w:highlight w:val="none"/>
              </w:rPr>
            </w:pPr>
            <w:r>
              <w:rPr>
                <w:rFonts w:hint="default" w:ascii="Times New Roman" w:hAnsi="Times New Roman" w:cs="Times New Roman"/>
                <w:b/>
                <w:color w:val="auto"/>
                <w:highlight w:val="none"/>
              </w:rPr>
              <w:t>（1）项目与环境管控单元位置关系</w:t>
            </w:r>
          </w:p>
          <w:p w14:paraId="23BF3E5F">
            <w:pPr>
              <w:ind w:firstLine="480"/>
              <w:rPr>
                <w:rStyle w:val="14"/>
                <w:rFonts w:hint="default" w:ascii="Times New Roman" w:hAnsi="Times New Roman" w:eastAsia="宋体" w:cs="Times New Roman"/>
                <w:color w:val="auto"/>
                <w:szCs w:val="24"/>
                <w:highlight w:val="none"/>
              </w:rPr>
            </w:pPr>
            <w:r>
              <w:rPr>
                <w:rFonts w:hint="default" w:ascii="Times New Roman" w:hAnsi="Times New Roman" w:cs="Times New Roman"/>
                <w:color w:val="auto"/>
                <w:szCs w:val="24"/>
                <w:highlight w:val="none"/>
              </w:rPr>
              <w:t>根据四川省政务服务网“生态环境分区管控符合性分析”查询网站（网址：</w:t>
            </w:r>
            <w:r>
              <w:rPr>
                <w:rFonts w:hint="default" w:ascii="Times New Roman" w:hAnsi="Times New Roman" w:cs="Times New Roman"/>
                <w:color w:val="auto"/>
                <w:szCs w:val="24"/>
                <w:highlight w:val="none"/>
              </w:rPr>
              <w:fldChar w:fldCharType="begin"/>
            </w:r>
            <w:r>
              <w:rPr>
                <w:rFonts w:hint="default" w:ascii="Times New Roman" w:hAnsi="Times New Roman" w:cs="Times New Roman"/>
                <w:color w:val="auto"/>
                <w:szCs w:val="24"/>
                <w:highlight w:val="none"/>
              </w:rPr>
              <w:instrText xml:space="preserve"> HYPERLINK "https://tftb.sczwfw.gov.cn:8085/hos-server/pub/jmas/jmasbucket/jmopen_files/webapp/html5/sxydctfx/index.html?areaCode=510000000000）查询。本项目涉及到的环境管控单元4个，分别为" </w:instrText>
            </w:r>
            <w:r>
              <w:rPr>
                <w:rFonts w:hint="default" w:ascii="Times New Roman" w:hAnsi="Times New Roman" w:cs="Times New Roman"/>
                <w:color w:val="auto"/>
                <w:szCs w:val="24"/>
                <w:highlight w:val="none"/>
              </w:rPr>
              <w:fldChar w:fldCharType="separate"/>
            </w:r>
            <w:r>
              <w:rPr>
                <w:rStyle w:val="14"/>
                <w:rFonts w:hint="default" w:ascii="Times New Roman" w:hAnsi="Times New Roman" w:eastAsia="宋体" w:cs="Times New Roman"/>
                <w:color w:val="auto"/>
                <w:szCs w:val="24"/>
                <w:highlight w:val="none"/>
              </w:rPr>
              <w:t>https://www.sczwfw.gov.cn/tftb/jmopenpub/jmopen_files/webapp/html5/sxydctfx/index.html?areaCode=510000000000）查询。本项目涉及到的环境管控单元</w:t>
            </w:r>
            <w:r>
              <w:rPr>
                <w:rStyle w:val="14"/>
                <w:rFonts w:hint="eastAsia" w:ascii="Times New Roman" w:hAnsi="Times New Roman" w:eastAsia="宋体" w:cs="Times New Roman"/>
                <w:color w:val="auto"/>
                <w:szCs w:val="24"/>
                <w:highlight w:val="none"/>
                <w:lang w:val="en-US" w:eastAsia="zh-CN"/>
              </w:rPr>
              <w:t>共</w:t>
            </w:r>
            <w:r>
              <w:rPr>
                <w:rStyle w:val="14"/>
                <w:rFonts w:hint="eastAsia" w:cs="Times New Roman"/>
                <w:color w:val="auto"/>
                <w:szCs w:val="24"/>
                <w:highlight w:val="none"/>
                <w:lang w:val="en-US" w:eastAsia="zh-CN"/>
              </w:rPr>
              <w:t>4</w:t>
            </w:r>
            <w:r>
              <w:rPr>
                <w:rStyle w:val="14"/>
                <w:rFonts w:hint="default" w:ascii="Times New Roman" w:hAnsi="Times New Roman" w:eastAsia="宋体" w:cs="Times New Roman"/>
                <w:color w:val="auto"/>
                <w:szCs w:val="24"/>
                <w:highlight w:val="none"/>
              </w:rPr>
              <w:t>个，分别为</w:t>
            </w:r>
            <w:r>
              <w:rPr>
                <w:rFonts w:hint="default" w:ascii="Times New Roman" w:hAnsi="Times New Roman" w:cs="Times New Roman"/>
                <w:color w:val="auto"/>
                <w:szCs w:val="24"/>
                <w:highlight w:val="none"/>
              </w:rPr>
              <w:fldChar w:fldCharType="end"/>
            </w:r>
            <w:r>
              <w:rPr>
                <w:rFonts w:hint="eastAsia" w:cs="Times New Roman"/>
                <w:color w:val="auto"/>
                <w:kern w:val="2"/>
                <w:szCs w:val="24"/>
                <w:highlight w:val="none"/>
                <w:lang w:eastAsia="zh-CN"/>
              </w:rPr>
              <w:t>东柳河-大竹县-墩子河-控制单元</w:t>
            </w:r>
            <w:r>
              <w:rPr>
                <w:rFonts w:hint="default" w:ascii="Times New Roman" w:hAnsi="Times New Roman" w:cs="Times New Roman"/>
                <w:color w:val="auto"/>
                <w:szCs w:val="24"/>
                <w:highlight w:val="none"/>
              </w:rPr>
              <w:t>（编码：</w:t>
            </w:r>
            <w:r>
              <w:rPr>
                <w:rFonts w:hint="eastAsia" w:cs="Times New Roman"/>
                <w:color w:val="auto"/>
                <w:kern w:val="2"/>
                <w:szCs w:val="24"/>
                <w:highlight w:val="none"/>
                <w:lang w:eastAsia="zh-CN"/>
              </w:rPr>
              <w:t>YS5117242230001</w:t>
            </w:r>
            <w:r>
              <w:rPr>
                <w:rFonts w:hint="default" w:ascii="Times New Roman" w:hAnsi="Times New Roman" w:cs="Times New Roman"/>
                <w:color w:val="auto"/>
                <w:szCs w:val="24"/>
                <w:highlight w:val="none"/>
              </w:rPr>
              <w:t>）、大竹县大气环境</w:t>
            </w:r>
            <w:r>
              <w:rPr>
                <w:rFonts w:hint="default" w:ascii="Times New Roman" w:hAnsi="Times New Roman" w:cs="Times New Roman"/>
                <w:color w:val="auto"/>
                <w:szCs w:val="24"/>
                <w:highlight w:val="none"/>
                <w:lang w:val="en-US" w:eastAsia="zh-CN"/>
              </w:rPr>
              <w:t>弱扩散重点管控区</w:t>
            </w:r>
            <w:r>
              <w:rPr>
                <w:rFonts w:hint="default" w:ascii="Times New Roman" w:hAnsi="Times New Roman" w:cs="Times New Roman"/>
                <w:color w:val="auto"/>
                <w:szCs w:val="24"/>
                <w:highlight w:val="none"/>
              </w:rPr>
              <w:t>（编码：YS5117242330001）</w:t>
            </w:r>
            <w:r>
              <w:rPr>
                <w:rFonts w:hint="eastAsia" w:cs="Times New Roman"/>
                <w:color w:val="auto"/>
                <w:szCs w:val="24"/>
                <w:highlight w:val="none"/>
                <w:lang w:val="en-US" w:eastAsia="zh-CN"/>
              </w:rPr>
              <w:t>、</w:t>
            </w:r>
            <w:r>
              <w:rPr>
                <w:rFonts w:hint="eastAsia" w:cs="Times New Roman"/>
                <w:color w:val="auto"/>
                <w:kern w:val="2"/>
                <w:szCs w:val="24"/>
                <w:highlight w:val="none"/>
                <w:lang w:eastAsia="zh-CN"/>
              </w:rPr>
              <w:t>大竹县大气环境布局敏感重点管控区</w:t>
            </w:r>
            <w:r>
              <w:rPr>
                <w:rFonts w:hint="default" w:ascii="Times New Roman" w:hAnsi="Times New Roman" w:cs="Times New Roman"/>
                <w:color w:val="auto"/>
                <w:szCs w:val="24"/>
                <w:highlight w:val="none"/>
              </w:rPr>
              <w:t>（编码：</w:t>
            </w:r>
            <w:r>
              <w:rPr>
                <w:rFonts w:hint="eastAsia" w:cs="Times New Roman"/>
                <w:color w:val="auto"/>
                <w:kern w:val="2"/>
                <w:szCs w:val="24"/>
                <w:highlight w:val="none"/>
                <w:lang w:eastAsia="zh-CN"/>
              </w:rPr>
              <w:t>YS51</w:t>
            </w:r>
            <w:r>
              <w:rPr>
                <w:rStyle w:val="14"/>
                <w:rFonts w:hint="eastAsia" w:ascii="Times New Roman" w:hAnsi="Times New Roman" w:eastAsia="宋体" w:cs="Times New Roman"/>
                <w:color w:val="auto"/>
                <w:szCs w:val="24"/>
                <w:highlight w:val="none"/>
                <w:lang w:eastAsia="zh-CN"/>
              </w:rPr>
              <w:t>17242320001</w:t>
            </w:r>
            <w:r>
              <w:rPr>
                <w:rStyle w:val="14"/>
                <w:rFonts w:hint="default" w:ascii="Times New Roman" w:hAnsi="Times New Roman" w:eastAsia="宋体" w:cs="Times New Roman"/>
                <w:color w:val="auto"/>
                <w:szCs w:val="24"/>
                <w:highlight w:val="none"/>
              </w:rPr>
              <w:t>）、</w:t>
            </w:r>
            <w:r>
              <w:rPr>
                <w:rStyle w:val="14"/>
                <w:rFonts w:hint="eastAsia" w:ascii="Times New Roman" w:hAnsi="Times New Roman" w:eastAsia="宋体" w:cs="Times New Roman"/>
                <w:color w:val="auto"/>
                <w:szCs w:val="24"/>
                <w:highlight w:val="none"/>
                <w:lang w:eastAsia="zh-CN"/>
              </w:rPr>
              <w:t>大竹县要素重点管控</w:t>
            </w:r>
            <w:r>
              <w:rPr>
                <w:rStyle w:val="14"/>
                <w:rFonts w:hint="default" w:ascii="Times New Roman" w:hAnsi="Times New Roman" w:eastAsia="宋体" w:cs="Times New Roman"/>
                <w:color w:val="auto"/>
                <w:szCs w:val="24"/>
                <w:highlight w:val="none"/>
                <w:lang w:eastAsia="zh-CN"/>
              </w:rPr>
              <w:t>单元</w:t>
            </w:r>
            <w:r>
              <w:rPr>
                <w:rStyle w:val="14"/>
                <w:rFonts w:hint="default" w:ascii="Times New Roman" w:hAnsi="Times New Roman" w:eastAsia="宋体" w:cs="Times New Roman"/>
                <w:color w:val="auto"/>
                <w:szCs w:val="24"/>
                <w:highlight w:val="none"/>
              </w:rPr>
              <w:t>（编码：</w:t>
            </w:r>
            <w:r>
              <w:rPr>
                <w:rStyle w:val="14"/>
                <w:rFonts w:hint="default" w:ascii="Times New Roman" w:hAnsi="Times New Roman" w:eastAsia="宋体" w:cs="Times New Roman"/>
                <w:color w:val="auto"/>
                <w:szCs w:val="24"/>
                <w:highlight w:val="none"/>
                <w:lang w:eastAsia="zh-CN"/>
              </w:rPr>
              <w:t>ZH51172420003</w:t>
            </w:r>
            <w:r>
              <w:rPr>
                <w:rStyle w:val="14"/>
                <w:rFonts w:hint="default" w:ascii="Times New Roman" w:hAnsi="Times New Roman" w:eastAsia="宋体" w:cs="Times New Roman"/>
                <w:color w:val="auto"/>
                <w:szCs w:val="24"/>
                <w:highlight w:val="none"/>
              </w:rPr>
              <w:t>）。</w:t>
            </w:r>
          </w:p>
          <w:p w14:paraId="31BBFBC4">
            <w:pPr>
              <w:ind w:firstLine="480"/>
              <w:rPr>
                <w:rStyle w:val="14"/>
                <w:rFonts w:hint="default" w:ascii="Times New Roman" w:hAnsi="Times New Roman" w:eastAsia="宋体" w:cs="Times New Roman"/>
                <w:color w:val="auto"/>
                <w:szCs w:val="24"/>
                <w:highlight w:val="none"/>
                <w:lang w:val="en-US"/>
              </w:rPr>
            </w:pPr>
            <w:r>
              <w:rPr>
                <w:rStyle w:val="14"/>
                <w:rFonts w:hint="default" w:ascii="Times New Roman" w:hAnsi="Times New Roman" w:eastAsia="宋体" w:cs="Times New Roman"/>
                <w:color w:val="auto"/>
                <w:szCs w:val="24"/>
                <w:highlight w:val="none"/>
                <w:lang w:val="en-US" w:eastAsia="zh-CN"/>
              </w:rPr>
              <w:t>本</w:t>
            </w:r>
            <w:r>
              <w:rPr>
                <w:rStyle w:val="14"/>
                <w:rFonts w:hint="default" w:ascii="Times New Roman" w:hAnsi="Times New Roman" w:eastAsia="宋体" w:cs="Times New Roman"/>
                <w:color w:val="auto"/>
                <w:szCs w:val="24"/>
                <w:highlight w:val="none"/>
              </w:rPr>
              <w:t>项目</w:t>
            </w:r>
            <w:r>
              <w:rPr>
                <w:rStyle w:val="14"/>
                <w:rFonts w:hint="default" w:ascii="Times New Roman" w:hAnsi="Times New Roman" w:eastAsia="宋体" w:cs="Times New Roman"/>
                <w:color w:val="auto"/>
                <w:szCs w:val="24"/>
                <w:highlight w:val="none"/>
                <w:lang w:val="en-US" w:eastAsia="zh-CN"/>
              </w:rPr>
              <w:t>各工程河段</w:t>
            </w:r>
            <w:r>
              <w:rPr>
                <w:rStyle w:val="14"/>
                <w:rFonts w:hint="eastAsia" w:ascii="Times New Roman" w:hAnsi="Times New Roman" w:eastAsia="宋体" w:cs="Times New Roman"/>
                <w:color w:val="auto"/>
                <w:szCs w:val="24"/>
                <w:highlight w:val="none"/>
                <w:lang w:val="en-US" w:eastAsia="zh-CN"/>
              </w:rPr>
              <w:t>涉及的管控单元，及</w:t>
            </w:r>
            <w:r>
              <w:rPr>
                <w:rStyle w:val="14"/>
                <w:rFonts w:hint="default" w:ascii="Times New Roman" w:hAnsi="Times New Roman" w:eastAsia="宋体" w:cs="Times New Roman"/>
                <w:color w:val="auto"/>
                <w:szCs w:val="24"/>
                <w:highlight w:val="none"/>
              </w:rPr>
              <w:t>与环境综合管控单元的位置关系图</w:t>
            </w:r>
            <w:r>
              <w:rPr>
                <w:rStyle w:val="14"/>
                <w:rFonts w:hint="default" w:ascii="Times New Roman" w:hAnsi="Times New Roman" w:eastAsia="宋体" w:cs="Times New Roman"/>
                <w:color w:val="auto"/>
                <w:szCs w:val="24"/>
                <w:highlight w:val="none"/>
                <w:lang w:val="en-US" w:eastAsia="zh-CN"/>
              </w:rPr>
              <w:t>详见附图1</w:t>
            </w:r>
            <w:r>
              <w:rPr>
                <w:rStyle w:val="14"/>
                <w:rFonts w:hint="default" w:ascii="Times New Roman" w:hAnsi="Times New Roman" w:cs="Times New Roman"/>
                <w:color w:val="auto"/>
                <w:szCs w:val="24"/>
                <w:highlight w:val="none"/>
                <w:lang w:val="en-US" w:eastAsia="zh-CN"/>
              </w:rPr>
              <w:t>2</w:t>
            </w:r>
            <w:r>
              <w:rPr>
                <w:rStyle w:val="14"/>
                <w:rFonts w:hint="default" w:ascii="Times New Roman" w:hAnsi="Times New Roman" w:eastAsia="宋体" w:cs="Times New Roman"/>
                <w:color w:val="auto"/>
                <w:szCs w:val="24"/>
                <w:highlight w:val="none"/>
                <w:lang w:val="en-US" w:eastAsia="zh-CN"/>
              </w:rPr>
              <w:t>。</w:t>
            </w:r>
          </w:p>
          <w:p w14:paraId="3F76DDA5">
            <w:pPr>
              <w:adjustRightInd w:val="0"/>
              <w:snapToGrid w:val="0"/>
              <w:ind w:firstLine="482"/>
              <w:rPr>
                <w:rFonts w:hint="default" w:ascii="Times New Roman" w:hAnsi="Times New Roman" w:cs="Times New Roman"/>
                <w:b/>
                <w:color w:val="auto"/>
                <w:highlight w:val="none"/>
              </w:rPr>
            </w:pPr>
            <w:r>
              <w:rPr>
                <w:rFonts w:hint="default" w:ascii="Times New Roman" w:hAnsi="Times New Roman" w:cs="Times New Roman"/>
                <w:b/>
                <w:color w:val="auto"/>
                <w:highlight w:val="none"/>
              </w:rPr>
              <w:t>（2）符合性分析</w:t>
            </w:r>
          </w:p>
          <w:p w14:paraId="046FE98B">
            <w:pPr>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根据《达州市人民政府办公室关于加强生态环境分区管控的通知》(达市府办函〔202</w:t>
            </w:r>
            <w:r>
              <w:rPr>
                <w:rFonts w:hint="eastAsia" w:cs="Times New Roman"/>
                <w:color w:val="auto"/>
                <w:highlight w:val="none"/>
                <w:lang w:val="en-US" w:eastAsia="zh-CN"/>
              </w:rPr>
              <w:t>4</w:t>
            </w:r>
            <w:r>
              <w:rPr>
                <w:rFonts w:hint="default" w:ascii="Times New Roman" w:hAnsi="Times New Roman" w:cs="Times New Roman"/>
                <w:color w:val="auto"/>
                <w:highlight w:val="none"/>
              </w:rPr>
              <w:t>〕31号)，本项目与达州市、</w:t>
            </w:r>
            <w:r>
              <w:rPr>
                <w:rFonts w:hint="eastAsia" w:cs="Times New Roman"/>
                <w:color w:val="auto"/>
                <w:highlight w:val="none"/>
                <w:lang w:eastAsia="zh-CN"/>
              </w:rPr>
              <w:t>大竹县</w:t>
            </w:r>
            <w:r>
              <w:rPr>
                <w:rFonts w:hint="default" w:ascii="Times New Roman" w:hAnsi="Times New Roman" w:cs="Times New Roman"/>
                <w:color w:val="auto"/>
                <w:highlight w:val="none"/>
              </w:rPr>
              <w:t>总体生态管控要求的符合性分析见表1.</w:t>
            </w:r>
            <w:r>
              <w:rPr>
                <w:rFonts w:hint="eastAsia" w:cs="Times New Roman"/>
                <w:color w:val="auto"/>
                <w:highlight w:val="none"/>
                <w:lang w:val="en-US" w:eastAsia="zh-CN"/>
              </w:rPr>
              <w:t>3</w:t>
            </w:r>
            <w:r>
              <w:rPr>
                <w:rFonts w:hint="default" w:ascii="Times New Roman" w:hAnsi="Times New Roman" w:cs="Times New Roman"/>
                <w:color w:val="auto"/>
                <w:highlight w:val="none"/>
              </w:rPr>
              <w:t>-1。</w:t>
            </w:r>
          </w:p>
          <w:p w14:paraId="4E410099">
            <w:pPr>
              <w:pStyle w:val="4"/>
              <w:spacing w:after="0" w:line="240" w:lineRule="auto"/>
              <w:ind w:firstLine="482"/>
              <w:jc w:val="center"/>
              <w:rPr>
                <w:rFonts w:hint="default" w:ascii="Times New Roman" w:hAnsi="Times New Roman" w:cs="Times New Roman"/>
                <w:b/>
                <w:color w:val="auto"/>
                <w:szCs w:val="24"/>
                <w:highlight w:val="none"/>
              </w:rPr>
            </w:pPr>
            <w:r>
              <w:rPr>
                <w:rFonts w:hint="default" w:ascii="Times New Roman" w:hAnsi="Times New Roman" w:cs="Times New Roman"/>
                <w:b/>
                <w:color w:val="auto"/>
                <w:szCs w:val="24"/>
                <w:highlight w:val="none"/>
              </w:rPr>
              <w:t>表1.</w:t>
            </w:r>
            <w:r>
              <w:rPr>
                <w:rFonts w:hint="eastAsia" w:cs="Times New Roman"/>
                <w:b/>
                <w:color w:val="auto"/>
                <w:szCs w:val="24"/>
                <w:highlight w:val="none"/>
                <w:lang w:val="en-US" w:eastAsia="zh-CN"/>
              </w:rPr>
              <w:t>3</w:t>
            </w:r>
            <w:r>
              <w:rPr>
                <w:rFonts w:hint="default" w:ascii="Times New Roman" w:hAnsi="Times New Roman" w:cs="Times New Roman"/>
                <w:b/>
                <w:color w:val="auto"/>
                <w:szCs w:val="24"/>
                <w:highlight w:val="none"/>
              </w:rPr>
              <w:t>-1  项目与</w:t>
            </w:r>
            <w:r>
              <w:rPr>
                <w:rFonts w:hint="default" w:ascii="Times New Roman" w:hAnsi="Times New Roman" w:cs="Times New Roman"/>
                <w:b/>
                <w:color w:val="auto"/>
                <w:highlight w:val="none"/>
              </w:rPr>
              <w:t>达州市、</w:t>
            </w:r>
            <w:r>
              <w:rPr>
                <w:rFonts w:hint="eastAsia" w:cs="Times New Roman"/>
                <w:b/>
                <w:color w:val="auto"/>
                <w:highlight w:val="none"/>
                <w:lang w:eastAsia="zh-CN"/>
              </w:rPr>
              <w:t>大竹县</w:t>
            </w:r>
            <w:r>
              <w:rPr>
                <w:rFonts w:hint="default" w:ascii="Times New Roman" w:hAnsi="Times New Roman" w:cs="Times New Roman"/>
                <w:b/>
                <w:color w:val="auto"/>
                <w:highlight w:val="none"/>
              </w:rPr>
              <w:t>总体生态</w:t>
            </w:r>
            <w:r>
              <w:rPr>
                <w:rFonts w:hint="default" w:ascii="Times New Roman" w:hAnsi="Times New Roman" w:cs="Times New Roman"/>
                <w:b/>
                <w:color w:val="auto"/>
                <w:szCs w:val="24"/>
                <w:highlight w:val="none"/>
              </w:rPr>
              <w:t>管控要求的符合性分析表</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5175"/>
              <w:gridCol w:w="1888"/>
              <w:gridCol w:w="964"/>
            </w:tblGrid>
            <w:tr w14:paraId="3319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0" w:type="pct"/>
                  <w:noWrap w:val="0"/>
                  <w:vAlign w:val="center"/>
                </w:tcPr>
                <w:p w14:paraId="6EDECEAC">
                  <w:pPr>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行政区划</w:t>
                  </w:r>
                </w:p>
              </w:tc>
              <w:tc>
                <w:tcPr>
                  <w:tcW w:w="2803" w:type="pct"/>
                  <w:noWrap w:val="0"/>
                  <w:vAlign w:val="center"/>
                </w:tcPr>
                <w:p w14:paraId="2FD90291">
                  <w:pPr>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管控要求</w:t>
                  </w:r>
                </w:p>
              </w:tc>
              <w:tc>
                <w:tcPr>
                  <w:tcW w:w="1023" w:type="pct"/>
                  <w:noWrap w:val="0"/>
                  <w:vAlign w:val="center"/>
                </w:tcPr>
                <w:p w14:paraId="777C1CBE">
                  <w:pPr>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项目相关情况</w:t>
                  </w:r>
                </w:p>
              </w:tc>
              <w:tc>
                <w:tcPr>
                  <w:tcW w:w="522" w:type="pct"/>
                  <w:noWrap w:val="0"/>
                  <w:vAlign w:val="center"/>
                </w:tcPr>
                <w:p w14:paraId="31741980">
                  <w:pPr>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符合性分析</w:t>
                  </w:r>
                </w:p>
              </w:tc>
            </w:tr>
            <w:tr w14:paraId="17A8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0" w:type="pct"/>
                  <w:noWrap w:val="0"/>
                  <w:vAlign w:val="center"/>
                </w:tcPr>
                <w:p w14:paraId="26CFFC5D">
                  <w:pPr>
                    <w:widowControl/>
                    <w:spacing w:line="240" w:lineRule="auto"/>
                    <w:ind w:firstLine="0" w:firstLineChars="0"/>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达州市</w:t>
                  </w:r>
                </w:p>
              </w:tc>
              <w:tc>
                <w:tcPr>
                  <w:tcW w:w="2803" w:type="pct"/>
                  <w:noWrap w:val="0"/>
                  <w:vAlign w:val="center"/>
                </w:tcPr>
                <w:p w14:paraId="1E234AB3">
                  <w:pPr>
                    <w:widowControl/>
                    <w:spacing w:line="240" w:lineRule="auto"/>
                    <w:ind w:firstLine="0" w:firstLineChars="0"/>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1.长江干支流岸线1千米范围内，不得新建、扩建化工园区和化工项目。</w:t>
                  </w:r>
                </w:p>
                <w:p w14:paraId="14F3970B">
                  <w:pPr>
                    <w:widowControl/>
                    <w:spacing w:line="240" w:lineRule="auto"/>
                    <w:ind w:firstLine="0" w:firstLineChars="0"/>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2.严控产业转移环境准入。</w:t>
                  </w:r>
                </w:p>
                <w:p w14:paraId="03FBD11B">
                  <w:pPr>
                    <w:widowControl/>
                    <w:spacing w:line="240" w:lineRule="auto"/>
                    <w:ind w:firstLine="0" w:firstLineChars="0"/>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3.引进项目应符合园区规划环评和区域产业准入清单要求。</w:t>
                  </w:r>
                </w:p>
                <w:p w14:paraId="75A926A4">
                  <w:pPr>
                    <w:widowControl/>
                    <w:spacing w:line="240" w:lineRule="auto"/>
                    <w:ind w:firstLine="0" w:firstLineChars="0"/>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4.造纸等产业污染治理和环境管理应达到国内先进水平。优化制浆造纸产业布局，提升行业清洁生产水平，推动制浆造纸工业向节能、环保、绿色方向发展。</w:t>
                  </w:r>
                </w:p>
                <w:p w14:paraId="3037F488">
                  <w:pPr>
                    <w:widowControl/>
                    <w:spacing w:line="240" w:lineRule="auto"/>
                    <w:ind w:firstLine="0" w:firstLineChars="0"/>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5.深化成都平原、川南、川东北地区大气污染联防联控工作机制，加强川渝地区联防联控。强化重污染天气区域应急联动机制，深化区域重污染天气联合应对。</w:t>
                  </w:r>
                </w:p>
                <w:p w14:paraId="4BAF70E2">
                  <w:pPr>
                    <w:widowControl/>
                    <w:spacing w:line="240" w:lineRule="auto"/>
                    <w:ind w:firstLine="0" w:firstLineChars="0"/>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6.钢铁行业项目新建应参考达州市“三线一单”生态环境分区管控中钢铁行业资源环境绩效准入门槛；达钢等高污染企业限期退城入园；普光气田开发污染防治和环境管理等方面要达国内先进水平。</w:t>
                  </w:r>
                </w:p>
              </w:tc>
              <w:tc>
                <w:tcPr>
                  <w:tcW w:w="1023" w:type="pct"/>
                  <w:noWrap w:val="0"/>
                  <w:vAlign w:val="center"/>
                </w:tcPr>
                <w:p w14:paraId="4FEC82B3">
                  <w:pPr>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本项目属于防洪</w:t>
                  </w:r>
                  <w:r>
                    <w:rPr>
                      <w:rFonts w:hint="eastAsia" w:cs="Times New Roman"/>
                      <w:color w:val="auto"/>
                      <w:sz w:val="21"/>
                      <w:szCs w:val="21"/>
                      <w:highlight w:val="none"/>
                      <w:lang w:val="en-US" w:eastAsia="zh-CN"/>
                    </w:rPr>
                    <w:t>除涝</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河湖整治</w:t>
                  </w:r>
                  <w:r>
                    <w:rPr>
                      <w:rFonts w:hint="default" w:ascii="Times New Roman" w:hAnsi="Times New Roman" w:cs="Times New Roman"/>
                      <w:color w:val="auto"/>
                      <w:sz w:val="21"/>
                      <w:szCs w:val="21"/>
                      <w:highlight w:val="none"/>
                    </w:rPr>
                    <w:t>工程，不属于化工、造纸、钢铁项目。</w:t>
                  </w:r>
                </w:p>
              </w:tc>
              <w:tc>
                <w:tcPr>
                  <w:tcW w:w="522" w:type="pct"/>
                  <w:noWrap w:val="0"/>
                  <w:vAlign w:val="center"/>
                </w:tcPr>
                <w:p w14:paraId="1AE75B44">
                  <w:pPr>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C23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02" w:type="dxa"/>
                  <w:noWrap w:val="0"/>
                  <w:vAlign w:val="center"/>
                </w:tcPr>
                <w:p w14:paraId="761E7332">
                  <w:pPr>
                    <w:widowControl/>
                    <w:spacing w:line="240" w:lineRule="auto"/>
                    <w:ind w:firstLine="0" w:firstLineChars="0"/>
                    <w:jc w:val="center"/>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大竹县</w:t>
                  </w:r>
                </w:p>
              </w:tc>
              <w:tc>
                <w:tcPr>
                  <w:tcW w:w="5175" w:type="dxa"/>
                  <w:noWrap w:val="0"/>
                  <w:vAlign w:val="center"/>
                </w:tcPr>
                <w:p w14:paraId="0073F688">
                  <w:pPr>
                    <w:widowControl/>
                    <w:spacing w:line="240" w:lineRule="auto"/>
                    <w:ind w:firstLine="0" w:firstLineChars="0"/>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1.优化中心城区产业布局，引进项目应符合园区规划环评和区域产业准入清单要求。</w:t>
                  </w:r>
                </w:p>
                <w:p w14:paraId="08247DFD">
                  <w:pPr>
                    <w:widowControl/>
                    <w:spacing w:line="240" w:lineRule="auto"/>
                    <w:ind w:firstLine="0" w:firstLineChars="0"/>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2.加强污水处理等基础设施建设。</w:t>
                  </w:r>
                </w:p>
                <w:p w14:paraId="043D7AB0">
                  <w:pPr>
                    <w:widowControl/>
                    <w:spacing w:line="240" w:lineRule="auto"/>
                    <w:ind w:firstLine="0" w:firstLineChars="0"/>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3.完善城镇生活污水源头减量，严格管控农业面源污染，加强规模以上畜禽养殖污染治理，鼓励工业企业开展尾水回收利用。</w:t>
                  </w:r>
                </w:p>
                <w:p w14:paraId="32679D9B">
                  <w:pPr>
                    <w:widowControl/>
                    <w:spacing w:line="240" w:lineRule="auto"/>
                    <w:ind w:firstLine="0" w:firstLineChars="0"/>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lang w:bidi="ar"/>
                    </w:rPr>
                    <w:t>4.推进东柳河、铜钵河、黄滩河、东河等水污染防治、水生态修复、水安全保障、湿地资源保护等流域综合治理。加强矿山矿企的环境治理和生态修复，大力查处非法开采和破坏矿山地质环境行为。</w:t>
                  </w:r>
                </w:p>
              </w:tc>
              <w:tc>
                <w:tcPr>
                  <w:tcW w:w="1888" w:type="dxa"/>
                  <w:noWrap w:val="0"/>
                  <w:vAlign w:val="center"/>
                </w:tcPr>
                <w:p w14:paraId="71415522">
                  <w:pPr>
                    <w:snapToGrid w:val="0"/>
                    <w:spacing w:line="240" w:lineRule="auto"/>
                    <w:ind w:firstLine="0" w:firstLineChars="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项目涉及环境管控单元类型</w:t>
                  </w:r>
                  <w:r>
                    <w:rPr>
                      <w:rFonts w:hint="eastAsia" w:cs="Times New Roman"/>
                      <w:color w:val="auto"/>
                      <w:sz w:val="21"/>
                      <w:szCs w:val="21"/>
                      <w:highlight w:val="none"/>
                      <w:lang w:eastAsia="zh-CN"/>
                    </w:rPr>
                    <w:t>为重点管控单元</w:t>
                  </w:r>
                  <w:r>
                    <w:rPr>
                      <w:rFonts w:hint="eastAsia" w:ascii="Times New Roman" w:hAnsi="Times New Roman" w:cs="Times New Roman"/>
                      <w:color w:val="auto"/>
                      <w:sz w:val="21"/>
                      <w:szCs w:val="21"/>
                      <w:highlight w:val="none"/>
                    </w:rPr>
                    <w:t>，具体管控单元的符合性分析见表</w:t>
                  </w:r>
                  <w:r>
                    <w:rPr>
                      <w:rFonts w:hint="eastAsia" w:cs="Times New Roman"/>
                      <w:color w:val="auto"/>
                      <w:sz w:val="21"/>
                      <w:szCs w:val="21"/>
                      <w:highlight w:val="none"/>
                      <w:lang w:val="en-US" w:eastAsia="zh-CN"/>
                    </w:rPr>
                    <w:t>1.3-2</w:t>
                  </w:r>
                  <w:r>
                    <w:rPr>
                      <w:rFonts w:hint="eastAsia" w:ascii="Times New Roman" w:hAnsi="Times New Roman" w:cs="Times New Roman"/>
                      <w:color w:val="auto"/>
                      <w:sz w:val="21"/>
                      <w:szCs w:val="21"/>
                      <w:highlight w:val="none"/>
                    </w:rPr>
                    <w:t>；项目属于防洪除涝</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河湖整治</w:t>
                  </w:r>
                  <w:r>
                    <w:rPr>
                      <w:rFonts w:hint="eastAsia" w:ascii="Times New Roman" w:hAnsi="Times New Roman" w:cs="Times New Roman"/>
                      <w:color w:val="auto"/>
                      <w:sz w:val="21"/>
                      <w:szCs w:val="21"/>
                      <w:highlight w:val="none"/>
                    </w:rPr>
                    <w:t>工程，为生态影响类项目，不属于园区污染类项目，不涉及畜禽养殖、矿山矿企。项目施工期做好废水污染防治，不会对区域地表水产生影响。</w:t>
                  </w:r>
                </w:p>
              </w:tc>
              <w:tc>
                <w:tcPr>
                  <w:tcW w:w="522" w:type="pct"/>
                  <w:noWrap w:val="0"/>
                  <w:vAlign w:val="center"/>
                </w:tcPr>
                <w:p w14:paraId="6D00F31D">
                  <w:pPr>
                    <w:snapToGrid w:val="0"/>
                    <w:spacing w:line="24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符合</w:t>
                  </w:r>
                </w:p>
              </w:tc>
            </w:tr>
          </w:tbl>
          <w:p w14:paraId="1A9F00E1">
            <w:pPr>
              <w:pStyle w:val="4"/>
              <w:widowControl/>
              <w:snapToGrid w:val="0"/>
              <w:spacing w:after="0"/>
              <w:ind w:firstLine="480"/>
              <w:rPr>
                <w:rFonts w:hint="default" w:ascii="Times New Roman" w:hAnsi="Times New Roman" w:cs="Times New Roman"/>
                <w:b/>
                <w:color w:val="auto"/>
                <w:szCs w:val="24"/>
                <w:highlight w:val="none"/>
              </w:rPr>
            </w:pPr>
            <w:r>
              <w:rPr>
                <w:rFonts w:hint="default" w:ascii="Times New Roman" w:hAnsi="Times New Roman" w:cs="Times New Roman"/>
                <w:color w:val="auto"/>
                <w:highlight w:val="none"/>
              </w:rPr>
              <w:t>由上表可知，项目符合达州市、</w:t>
            </w:r>
            <w:r>
              <w:rPr>
                <w:rFonts w:hint="eastAsia" w:cs="Times New Roman"/>
                <w:color w:val="auto"/>
                <w:highlight w:val="none"/>
                <w:lang w:eastAsia="zh-CN"/>
              </w:rPr>
              <w:t>大竹县</w:t>
            </w:r>
            <w:r>
              <w:rPr>
                <w:rFonts w:hint="default" w:ascii="Times New Roman" w:hAnsi="Times New Roman" w:cs="Times New Roman"/>
                <w:color w:val="auto"/>
                <w:highlight w:val="none"/>
              </w:rPr>
              <w:t>的管控要求。</w:t>
            </w:r>
          </w:p>
          <w:p w14:paraId="11AE64D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项目环境管控单元符合性分析如下表：</w:t>
            </w:r>
          </w:p>
          <w:p w14:paraId="2D6796BF">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表1.</w:t>
            </w:r>
            <w:r>
              <w:rPr>
                <w:rFonts w:hint="eastAsia" w:cs="Times New Roman"/>
                <w:b/>
                <w:bCs/>
                <w:color w:val="auto"/>
                <w:highlight w:val="none"/>
                <w:lang w:val="en-US" w:eastAsia="zh-CN"/>
              </w:rPr>
              <w:t>3-2</w:t>
            </w:r>
            <w:r>
              <w:rPr>
                <w:rFonts w:hint="default" w:ascii="Times New Roman" w:hAnsi="Times New Roman" w:cs="Times New Roman"/>
                <w:b/>
                <w:bCs/>
                <w:color w:val="auto"/>
                <w:highlight w:val="none"/>
              </w:rPr>
              <w:t xml:space="preserve"> 环境管控单元符合性分析一览表</w:t>
            </w:r>
          </w:p>
          <w:tbl>
            <w:tblPr>
              <w:tblStyle w:val="11"/>
              <w:tblW w:w="9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35"/>
              <w:gridCol w:w="3407"/>
              <w:gridCol w:w="587"/>
              <w:gridCol w:w="2096"/>
              <w:gridCol w:w="1062"/>
              <w:gridCol w:w="631"/>
            </w:tblGrid>
            <w:tr w14:paraId="3062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noWrap w:val="0"/>
                  <w:vAlign w:val="center"/>
                </w:tcPr>
                <w:p w14:paraId="0D657B5A">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环境管控单元编码</w:t>
                  </w:r>
                </w:p>
              </w:tc>
              <w:tc>
                <w:tcPr>
                  <w:tcW w:w="735" w:type="dxa"/>
                  <w:noWrap w:val="0"/>
                  <w:vAlign w:val="center"/>
                </w:tcPr>
                <w:p w14:paraId="3037C196">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环境管控单元名称</w:t>
                  </w:r>
                </w:p>
              </w:tc>
              <w:tc>
                <w:tcPr>
                  <w:tcW w:w="3407" w:type="dxa"/>
                  <w:noWrap w:val="0"/>
                  <w:vAlign w:val="center"/>
                </w:tcPr>
                <w:p w14:paraId="529BECED">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达州市普适性清单</w:t>
                  </w:r>
                </w:p>
              </w:tc>
              <w:tc>
                <w:tcPr>
                  <w:tcW w:w="587" w:type="dxa"/>
                  <w:noWrap w:val="0"/>
                  <w:vAlign w:val="center"/>
                </w:tcPr>
                <w:p w14:paraId="4A32BC66">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管控类别</w:t>
                  </w:r>
                </w:p>
              </w:tc>
              <w:tc>
                <w:tcPr>
                  <w:tcW w:w="2096" w:type="dxa"/>
                  <w:noWrap w:val="0"/>
                  <w:vAlign w:val="center"/>
                </w:tcPr>
                <w:p w14:paraId="2F0EB7AB">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单元特性管控要求</w:t>
                  </w:r>
                </w:p>
              </w:tc>
              <w:tc>
                <w:tcPr>
                  <w:tcW w:w="1062" w:type="dxa"/>
                  <w:noWrap w:val="0"/>
                  <w:vAlign w:val="center"/>
                </w:tcPr>
                <w:p w14:paraId="75664762">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本项目情况</w:t>
                  </w:r>
                </w:p>
              </w:tc>
              <w:tc>
                <w:tcPr>
                  <w:tcW w:w="631" w:type="dxa"/>
                  <w:noWrap w:val="0"/>
                  <w:vAlign w:val="center"/>
                </w:tcPr>
                <w:p w14:paraId="3D431E80">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00EC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Merge w:val="restart"/>
                  <w:noWrap w:val="0"/>
                  <w:vAlign w:val="center"/>
                </w:tcPr>
                <w:p w14:paraId="75884709">
                  <w:pPr>
                    <w:pStyle w:val="17"/>
                    <w:widowControl/>
                    <w:spacing w:line="240" w:lineRule="auto"/>
                    <w:ind w:firstLine="0" w:firstLineChars="0"/>
                    <w:jc w:val="left"/>
                    <w:rPr>
                      <w:rFonts w:hint="eastAsia" w:ascii="Times New Roman" w:hAnsi="Times New Roman" w:eastAsia="宋体" w:cs="Times New Roman"/>
                      <w:color w:val="auto"/>
                      <w:sz w:val="21"/>
                      <w:highlight w:val="none"/>
                      <w:lang w:eastAsia="zh-CN"/>
                    </w:rPr>
                  </w:pPr>
                  <w:r>
                    <w:rPr>
                      <w:rFonts w:hint="eastAsia" w:eastAsia="宋体" w:cs="Times New Roman"/>
                      <w:color w:val="auto"/>
                      <w:sz w:val="21"/>
                      <w:highlight w:val="none"/>
                      <w:lang w:eastAsia="zh-CN"/>
                    </w:rPr>
                    <w:t>YS5117242230001</w:t>
                  </w:r>
                </w:p>
              </w:tc>
              <w:tc>
                <w:tcPr>
                  <w:tcW w:w="735" w:type="dxa"/>
                  <w:vMerge w:val="restart"/>
                  <w:noWrap w:val="0"/>
                  <w:vAlign w:val="center"/>
                </w:tcPr>
                <w:p w14:paraId="07CF9DD2">
                  <w:pPr>
                    <w:pStyle w:val="17"/>
                    <w:widowControl/>
                    <w:spacing w:line="240" w:lineRule="auto"/>
                    <w:ind w:firstLine="0" w:firstLineChars="0"/>
                    <w:jc w:val="left"/>
                    <w:rPr>
                      <w:rFonts w:hint="eastAsia" w:ascii="Times New Roman" w:hAnsi="Times New Roman" w:eastAsia="宋体" w:cs="Times New Roman"/>
                      <w:color w:val="auto"/>
                      <w:sz w:val="21"/>
                      <w:highlight w:val="none"/>
                      <w:lang w:eastAsia="zh-CN"/>
                    </w:rPr>
                  </w:pPr>
                  <w:r>
                    <w:rPr>
                      <w:rFonts w:hint="eastAsia" w:eastAsia="宋体" w:cs="Times New Roman"/>
                      <w:color w:val="auto"/>
                      <w:sz w:val="21"/>
                      <w:highlight w:val="none"/>
                      <w:lang w:eastAsia="zh-CN"/>
                    </w:rPr>
                    <w:t>东柳河-大竹县-墩子河-控制单元</w:t>
                  </w:r>
                </w:p>
              </w:tc>
              <w:tc>
                <w:tcPr>
                  <w:tcW w:w="3407" w:type="dxa"/>
                  <w:vMerge w:val="restart"/>
                  <w:noWrap w:val="0"/>
                  <w:vAlign w:val="top"/>
                </w:tcPr>
                <w:p w14:paraId="55C08CFB">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空间布局约束：</w:t>
                  </w:r>
                </w:p>
                <w:p w14:paraId="44653D1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禁止开发建设活动的要求</w:t>
                  </w:r>
                </w:p>
                <w:p w14:paraId="7EA6692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暂无</w:t>
                  </w:r>
                </w:p>
                <w:p w14:paraId="217C10C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限制开发建设活动的要求</w:t>
                  </w:r>
                </w:p>
                <w:p w14:paraId="6E6BC1A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暂无</w:t>
                  </w:r>
                </w:p>
                <w:p w14:paraId="2AF4ED2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6FADCD59">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暂无</w:t>
                  </w:r>
                </w:p>
                <w:p w14:paraId="402D9A4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其他空间布局约束要求</w:t>
                  </w:r>
                </w:p>
                <w:p w14:paraId="7E5B8BA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暂无</w:t>
                  </w:r>
                </w:p>
                <w:p w14:paraId="71028486">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污染物排放管控：</w:t>
                  </w:r>
                </w:p>
                <w:p w14:paraId="408B5834">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允许排放量要求</w:t>
                  </w:r>
                </w:p>
                <w:p w14:paraId="710F0B5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暂无</w:t>
                  </w:r>
                </w:p>
                <w:p w14:paraId="359E7A0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现有源提标升级改造</w:t>
                  </w:r>
                </w:p>
                <w:p w14:paraId="7DAB4EB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暂无</w:t>
                  </w:r>
                </w:p>
                <w:p w14:paraId="44EFA9B8">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其他污染物排放管控要求</w:t>
                  </w:r>
                </w:p>
                <w:p w14:paraId="5667DF3B">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暂无</w:t>
                  </w:r>
                </w:p>
                <w:p w14:paraId="5D93845E">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环境风险防控：</w:t>
                  </w:r>
                </w:p>
                <w:p w14:paraId="2DE7E80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联防联控要求</w:t>
                  </w:r>
                </w:p>
                <w:p w14:paraId="7315996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暂无</w:t>
                  </w:r>
                </w:p>
                <w:p w14:paraId="1599B08B">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其他环境风险防控要求</w:t>
                  </w:r>
                </w:p>
                <w:p w14:paraId="3F9E46CF">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暂无</w:t>
                  </w:r>
                </w:p>
                <w:p w14:paraId="3C7A19D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资源开发利用效率要求：</w:t>
                  </w:r>
                </w:p>
                <w:p w14:paraId="5EBD78D9">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水资源利用总量要求</w:t>
                  </w:r>
                </w:p>
                <w:p w14:paraId="02EF7D28">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暂无</w:t>
                  </w:r>
                </w:p>
                <w:p w14:paraId="5E56DA93">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地下水开采要求</w:t>
                  </w:r>
                </w:p>
                <w:p w14:paraId="3CDDEEF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暂无</w:t>
                  </w:r>
                </w:p>
                <w:p w14:paraId="0D77D916">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能源利用总量及效率要求</w:t>
                  </w:r>
                </w:p>
                <w:p w14:paraId="21254D3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暂无</w:t>
                  </w:r>
                </w:p>
                <w:p w14:paraId="39415E63">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禁燃区要求</w:t>
                  </w:r>
                </w:p>
                <w:p w14:paraId="5C69E4E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暂无</w:t>
                  </w:r>
                </w:p>
                <w:p w14:paraId="3AB5C0C3">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其他资源利用效率要求</w:t>
                  </w:r>
                </w:p>
                <w:p w14:paraId="301A8229">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21"/>
                      <w:highlight w:val="none"/>
                    </w:rPr>
                  </w:pPr>
                  <w:r>
                    <w:rPr>
                      <w:rStyle w:val="13"/>
                      <w:rFonts w:hint="default" w:ascii="Times New Roman" w:hAnsi="Times New Roman" w:eastAsia="宋体" w:cs="Times New Roman"/>
                      <w:color w:val="auto"/>
                      <w:kern w:val="0"/>
                      <w:sz w:val="21"/>
                      <w:szCs w:val="21"/>
                      <w:highlight w:val="none"/>
                      <w:lang w:val="en-US" w:eastAsia="zh-CN" w:bidi="ar-SA"/>
                    </w:rPr>
                    <w:t>暂无</w:t>
                  </w:r>
                </w:p>
              </w:tc>
              <w:tc>
                <w:tcPr>
                  <w:tcW w:w="587" w:type="dxa"/>
                  <w:shd w:val="clear" w:color="auto" w:fill="auto"/>
                  <w:noWrap w:val="0"/>
                  <w:vAlign w:val="center"/>
                </w:tcPr>
                <w:p w14:paraId="7449EB3C">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空间布局约束</w:t>
                  </w:r>
                </w:p>
              </w:tc>
              <w:tc>
                <w:tcPr>
                  <w:tcW w:w="2096" w:type="dxa"/>
                  <w:shd w:val="clear" w:color="auto" w:fill="auto"/>
                  <w:noWrap w:val="0"/>
                  <w:vAlign w:val="center"/>
                </w:tcPr>
                <w:p w14:paraId="2FBAD013">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禁止开发建设活动的要求</w:t>
                  </w:r>
                </w:p>
                <w:p w14:paraId="427CE389">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p>
                <w:p w14:paraId="30514E59">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限制开发建设活动的要求</w:t>
                  </w:r>
                </w:p>
                <w:p w14:paraId="430823DE">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p>
                <w:p w14:paraId="7CBBC35B">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允许开发建设活动的要求</w:t>
                  </w:r>
                </w:p>
                <w:p w14:paraId="3804BE07">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p>
                <w:p w14:paraId="627A8CBF">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不符合空间布局要求活动的退出要求</w:t>
                  </w:r>
                </w:p>
                <w:p w14:paraId="09241884">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p>
                <w:p w14:paraId="589F2493">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其他空间布局约束要求</w:t>
                  </w:r>
                </w:p>
              </w:tc>
              <w:tc>
                <w:tcPr>
                  <w:tcW w:w="1062" w:type="dxa"/>
                  <w:noWrap w:val="0"/>
                  <w:vAlign w:val="center"/>
                </w:tcPr>
                <w:p w14:paraId="0C7B0153">
                  <w:pPr>
                    <w:spacing w:line="240" w:lineRule="auto"/>
                    <w:ind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w:t>
                  </w:r>
                  <w:r>
                    <w:rPr>
                      <w:rFonts w:hint="eastAsia" w:cs="Times New Roman"/>
                      <w:color w:val="auto"/>
                      <w:sz w:val="21"/>
                      <w:szCs w:val="21"/>
                      <w:highlight w:val="none"/>
                      <w:lang w:val="en-US" w:eastAsia="zh-CN"/>
                    </w:rPr>
                    <w:t>二郎、福兴段和石河、双拱段均</w:t>
                  </w:r>
                  <w:r>
                    <w:rPr>
                      <w:rFonts w:hint="default" w:ascii="Times New Roman" w:hAnsi="Times New Roman" w:cs="Times New Roman"/>
                      <w:color w:val="auto"/>
                      <w:sz w:val="21"/>
                      <w:szCs w:val="21"/>
                      <w:highlight w:val="none"/>
                    </w:rPr>
                    <w:t>位于</w:t>
                  </w:r>
                  <w:r>
                    <w:rPr>
                      <w:rFonts w:hint="eastAsia" w:cs="Times New Roman"/>
                      <w:color w:val="auto"/>
                      <w:sz w:val="21"/>
                      <w:szCs w:val="21"/>
                      <w:highlight w:val="none"/>
                      <w:lang w:eastAsia="zh-CN"/>
                    </w:rPr>
                    <w:t>石河镇</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杨家镇段位于杨家镇、清河镇段位于清河镇；项目</w:t>
                  </w:r>
                  <w:r>
                    <w:rPr>
                      <w:rFonts w:hint="default" w:ascii="Times New Roman" w:hAnsi="Times New Roman" w:cs="Times New Roman"/>
                      <w:color w:val="auto"/>
                      <w:sz w:val="21"/>
                      <w:szCs w:val="21"/>
                      <w:highlight w:val="none"/>
                    </w:rPr>
                    <w:t>属于</w:t>
                  </w:r>
                  <w:r>
                    <w:rPr>
                      <w:rFonts w:hint="eastAsia" w:cs="Times New Roman"/>
                      <w:color w:val="auto"/>
                      <w:sz w:val="21"/>
                      <w:szCs w:val="21"/>
                      <w:highlight w:val="none"/>
                      <w:lang w:eastAsia="zh-CN"/>
                    </w:rPr>
                    <w:t>防洪治理工程</w:t>
                  </w:r>
                  <w:r>
                    <w:rPr>
                      <w:rFonts w:hint="default" w:ascii="Times New Roman" w:hAnsi="Times New Roman" w:cs="Times New Roman"/>
                      <w:color w:val="auto"/>
                      <w:sz w:val="21"/>
                      <w:szCs w:val="21"/>
                      <w:highlight w:val="none"/>
                    </w:rPr>
                    <w:t>，不属于禁止开发建设或限制开发建设的项目</w:t>
                  </w:r>
                </w:p>
              </w:tc>
              <w:tc>
                <w:tcPr>
                  <w:tcW w:w="631" w:type="dxa"/>
                  <w:noWrap w:val="0"/>
                  <w:vAlign w:val="center"/>
                </w:tcPr>
                <w:p w14:paraId="7CDB4AE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469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Merge w:val="continue"/>
                  <w:noWrap w:val="0"/>
                  <w:vAlign w:val="center"/>
                </w:tcPr>
                <w:p w14:paraId="2A8F4891">
                  <w:pPr>
                    <w:spacing w:line="240" w:lineRule="auto"/>
                    <w:ind w:firstLine="420"/>
                    <w:jc w:val="center"/>
                    <w:rPr>
                      <w:rFonts w:hint="default" w:ascii="Times New Roman" w:hAnsi="Times New Roman" w:cs="Times New Roman"/>
                      <w:color w:val="auto"/>
                      <w:sz w:val="21"/>
                      <w:szCs w:val="21"/>
                      <w:highlight w:val="none"/>
                    </w:rPr>
                  </w:pPr>
                </w:p>
              </w:tc>
              <w:tc>
                <w:tcPr>
                  <w:tcW w:w="735" w:type="dxa"/>
                  <w:vMerge w:val="continue"/>
                  <w:noWrap w:val="0"/>
                  <w:vAlign w:val="center"/>
                </w:tcPr>
                <w:p w14:paraId="77984EDD">
                  <w:pPr>
                    <w:spacing w:line="240" w:lineRule="auto"/>
                    <w:ind w:firstLine="420"/>
                    <w:jc w:val="center"/>
                    <w:rPr>
                      <w:rFonts w:hint="default" w:ascii="Times New Roman" w:hAnsi="Times New Roman" w:cs="Times New Roman"/>
                      <w:color w:val="auto"/>
                      <w:sz w:val="21"/>
                      <w:szCs w:val="21"/>
                      <w:highlight w:val="none"/>
                    </w:rPr>
                  </w:pPr>
                </w:p>
              </w:tc>
              <w:tc>
                <w:tcPr>
                  <w:tcW w:w="3407" w:type="dxa"/>
                  <w:vMerge w:val="continue"/>
                  <w:noWrap w:val="0"/>
                  <w:vAlign w:val="top"/>
                </w:tcPr>
                <w:p w14:paraId="5795F62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highlight w:val="none"/>
                    </w:rPr>
                  </w:pPr>
                </w:p>
              </w:tc>
              <w:tc>
                <w:tcPr>
                  <w:tcW w:w="587" w:type="dxa"/>
                  <w:shd w:val="clear" w:color="auto" w:fill="auto"/>
                  <w:noWrap w:val="0"/>
                  <w:vAlign w:val="center"/>
                </w:tcPr>
                <w:p w14:paraId="1020D157">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污染物排放管控</w:t>
                  </w:r>
                </w:p>
              </w:tc>
              <w:tc>
                <w:tcPr>
                  <w:tcW w:w="2096" w:type="dxa"/>
                  <w:shd w:val="clear" w:color="auto" w:fill="auto"/>
                  <w:noWrap w:val="0"/>
                  <w:vAlign w:val="center"/>
                </w:tcPr>
                <w:p w14:paraId="4F681D4C">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城镇污水污染控制措施要求</w:t>
                  </w:r>
                </w:p>
                <w:p w14:paraId="1D3AE534">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1、推进流域聚居点生活污水处理设施建设。2、保障乡镇污水收集处理设施顺畅运行。3、推进污水直排口排查与整治，落实“一口一策”整改措施。</w:t>
                  </w:r>
                </w:p>
                <w:p w14:paraId="6964F5FD">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工业废水污染控制措施要求</w:t>
                  </w:r>
                </w:p>
                <w:p w14:paraId="0CD515BE">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1、落实主要污染物排放总量指标控制要求，加强入河排污口登记、审批和监督管理。2、强化流域内工业点源、规模化畜禽养殖场运行监管，避免偷排、漏排。</w:t>
                  </w:r>
                </w:p>
                <w:p w14:paraId="0F1DC094">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农业面源水污染控制措施要求</w:t>
                  </w:r>
                </w:p>
                <w:p w14:paraId="49664B04">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1、推进农村污染治理。稳步农村污水处理设施建设，适当预留发展空间，宜集中则集中，宜分散则分散；农村生活污水处理设施排水执行《农村生活污水处理设施水污染物排放标准》（DB 51 2626-2019）要求；大力推进农村生活垃圾就地分类减量 和资源化利用，因地制宜选择农村生活垃圾治理模式；严格做好“农家乐”、种植采摘园等范围内的生活及农产品产生污水及垃圾治理。2、大力推进水产生态健康养殖，加强渔业生产过程中抗菌药物使用管控；强化水产养殖污染治理，水产养殖废水应处理达到《四川省水产养殖业水污染物排放标准》后排放；实施池塘标准化改造，完善循环水和进排水处理设施，推进养殖尾水节水减排。到2025年，水产健康养殖示范比重达到68%以上。3、推进畜禽粪污分类处置，根据排放去向或利用方式的不同执行相应的标准规范；不断提高畜禽养殖粪污资源化利用率及利用水平；设有污水排放口的规模化畜禽养殖场应当依法申领排污许可证。到2025年，畜禽粪污综合利用率达到80%以上，规模以上养殖场粪污处理设施装备配套率保持100%。到2035年，畜禽粪污基本实现资源化利用，综合利用率达到95%以上。4、深入推进化肥减量增效，鼓励以循环利用与生态净化相结合的方式控制种植业污染，农企合作推进测土配方施肥；逐步推进农田径流拦截及治理。5、按照《四川省推进农村黑臭水体治理工作方案（2021-2025年）》要求，持续开展农村黑臭水体排查，实现农村黑臭水体“动态”清零。</w:t>
                  </w:r>
                </w:p>
                <w:p w14:paraId="65905F53">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船舶港口水污染控制措施要求</w:t>
                  </w:r>
                </w:p>
                <w:p w14:paraId="576EB88A">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p>
                <w:p w14:paraId="07F76524">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饮用水水源和其它特殊水体保护要求</w:t>
                  </w:r>
                </w:p>
              </w:tc>
              <w:tc>
                <w:tcPr>
                  <w:tcW w:w="1062" w:type="dxa"/>
                  <w:noWrap w:val="0"/>
                  <w:vAlign w:val="center"/>
                </w:tcPr>
                <w:p w14:paraId="77B3691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631" w:type="dxa"/>
                  <w:noWrap w:val="0"/>
                  <w:vAlign w:val="center"/>
                </w:tcPr>
                <w:p w14:paraId="408AD5D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973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Merge w:val="continue"/>
                  <w:noWrap w:val="0"/>
                  <w:vAlign w:val="center"/>
                </w:tcPr>
                <w:p w14:paraId="516E74F2">
                  <w:pPr>
                    <w:spacing w:line="240" w:lineRule="auto"/>
                    <w:ind w:firstLine="420"/>
                    <w:jc w:val="center"/>
                    <w:rPr>
                      <w:rFonts w:hint="default" w:ascii="Times New Roman" w:hAnsi="Times New Roman" w:cs="Times New Roman"/>
                      <w:color w:val="auto"/>
                      <w:sz w:val="21"/>
                      <w:szCs w:val="21"/>
                      <w:highlight w:val="none"/>
                    </w:rPr>
                  </w:pPr>
                </w:p>
              </w:tc>
              <w:tc>
                <w:tcPr>
                  <w:tcW w:w="735" w:type="dxa"/>
                  <w:vMerge w:val="continue"/>
                  <w:noWrap w:val="0"/>
                  <w:vAlign w:val="center"/>
                </w:tcPr>
                <w:p w14:paraId="32692973">
                  <w:pPr>
                    <w:spacing w:line="240" w:lineRule="auto"/>
                    <w:ind w:firstLine="420"/>
                    <w:jc w:val="center"/>
                    <w:rPr>
                      <w:rFonts w:hint="default" w:ascii="Times New Roman" w:hAnsi="Times New Roman" w:cs="Times New Roman"/>
                      <w:color w:val="auto"/>
                      <w:sz w:val="21"/>
                      <w:szCs w:val="21"/>
                      <w:highlight w:val="none"/>
                    </w:rPr>
                  </w:pPr>
                </w:p>
              </w:tc>
              <w:tc>
                <w:tcPr>
                  <w:tcW w:w="3407" w:type="dxa"/>
                  <w:vMerge w:val="continue"/>
                  <w:noWrap w:val="0"/>
                  <w:vAlign w:val="top"/>
                </w:tcPr>
                <w:p w14:paraId="4AE79579">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highlight w:val="none"/>
                    </w:rPr>
                  </w:pPr>
                </w:p>
              </w:tc>
              <w:tc>
                <w:tcPr>
                  <w:tcW w:w="587" w:type="dxa"/>
                  <w:shd w:val="clear" w:color="auto" w:fill="auto"/>
                  <w:noWrap w:val="0"/>
                  <w:vAlign w:val="center"/>
                </w:tcPr>
                <w:p w14:paraId="03FD73E1">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环境风险防控</w:t>
                  </w:r>
                </w:p>
              </w:tc>
              <w:tc>
                <w:tcPr>
                  <w:tcW w:w="2096" w:type="dxa"/>
                  <w:shd w:val="clear" w:color="auto" w:fill="auto"/>
                  <w:noWrap w:val="0"/>
                  <w:vAlign w:val="center"/>
                </w:tcPr>
                <w:p w14:paraId="1517CE6E">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tc>
              <w:tc>
                <w:tcPr>
                  <w:tcW w:w="1062" w:type="dxa"/>
                  <w:noWrap w:val="0"/>
                  <w:vAlign w:val="center"/>
                </w:tcPr>
                <w:p w14:paraId="7F5ECF73">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31" w:type="dxa"/>
                  <w:noWrap w:val="0"/>
                  <w:vAlign w:val="center"/>
                </w:tcPr>
                <w:p w14:paraId="116EA97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B10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Merge w:val="continue"/>
                  <w:noWrap w:val="0"/>
                  <w:vAlign w:val="center"/>
                </w:tcPr>
                <w:p w14:paraId="7492EAD7">
                  <w:pPr>
                    <w:spacing w:line="240" w:lineRule="auto"/>
                    <w:ind w:firstLine="420"/>
                    <w:jc w:val="center"/>
                    <w:rPr>
                      <w:rFonts w:hint="default" w:ascii="Times New Roman" w:hAnsi="Times New Roman" w:cs="Times New Roman"/>
                      <w:color w:val="auto"/>
                      <w:sz w:val="21"/>
                      <w:szCs w:val="21"/>
                      <w:highlight w:val="none"/>
                    </w:rPr>
                  </w:pPr>
                </w:p>
              </w:tc>
              <w:tc>
                <w:tcPr>
                  <w:tcW w:w="735" w:type="dxa"/>
                  <w:vMerge w:val="continue"/>
                  <w:noWrap w:val="0"/>
                  <w:vAlign w:val="center"/>
                </w:tcPr>
                <w:p w14:paraId="7C5FAE99">
                  <w:pPr>
                    <w:spacing w:line="240" w:lineRule="auto"/>
                    <w:ind w:firstLine="420"/>
                    <w:jc w:val="center"/>
                    <w:rPr>
                      <w:rFonts w:hint="default" w:ascii="Times New Roman" w:hAnsi="Times New Roman" w:cs="Times New Roman"/>
                      <w:color w:val="auto"/>
                      <w:sz w:val="21"/>
                      <w:szCs w:val="21"/>
                      <w:highlight w:val="none"/>
                    </w:rPr>
                  </w:pPr>
                </w:p>
              </w:tc>
              <w:tc>
                <w:tcPr>
                  <w:tcW w:w="3407" w:type="dxa"/>
                  <w:vMerge w:val="continue"/>
                  <w:noWrap w:val="0"/>
                  <w:vAlign w:val="top"/>
                </w:tcPr>
                <w:p w14:paraId="5B513FB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highlight w:val="none"/>
                    </w:rPr>
                  </w:pPr>
                </w:p>
              </w:tc>
              <w:tc>
                <w:tcPr>
                  <w:tcW w:w="587" w:type="dxa"/>
                  <w:shd w:val="clear" w:color="auto" w:fill="auto"/>
                  <w:noWrap w:val="0"/>
                  <w:vAlign w:val="center"/>
                </w:tcPr>
                <w:p w14:paraId="10109C61">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资源开发效率要求</w:t>
                  </w:r>
                </w:p>
              </w:tc>
              <w:tc>
                <w:tcPr>
                  <w:tcW w:w="2096" w:type="dxa"/>
                  <w:shd w:val="clear" w:color="auto" w:fill="auto"/>
                  <w:noWrap w:val="0"/>
                  <w:vAlign w:val="center"/>
                </w:tcPr>
                <w:p w14:paraId="61EC6153">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落实生态流量保障，强化流域内水库、水电站下泄生态流量监管。强化种植业节水；推进农村污水分质资源化利用。</w:t>
                  </w:r>
                </w:p>
              </w:tc>
              <w:tc>
                <w:tcPr>
                  <w:tcW w:w="1062" w:type="dxa"/>
                  <w:shd w:val="clear" w:color="auto" w:fill="auto"/>
                  <w:noWrap w:val="0"/>
                  <w:vAlign w:val="center"/>
                </w:tcPr>
                <w:p w14:paraId="59D5DFE6">
                  <w:pPr>
                    <w:pStyle w:val="17"/>
                    <w:widowControl/>
                    <w:shd w:val="clear" w:color="auto" w:fill="FFFFFF"/>
                    <w:spacing w:line="240" w:lineRule="auto"/>
                    <w:ind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eastAsia="宋体"/>
                      <w:color w:val="auto"/>
                      <w:spacing w:val="-10"/>
                      <w:sz w:val="21"/>
                      <w:highlight w:val="none"/>
                    </w:rPr>
                    <w:t>项目属于防洪除涝</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河湖整治</w:t>
                  </w:r>
                  <w:r>
                    <w:rPr>
                      <w:rFonts w:hint="eastAsia" w:eastAsia="宋体"/>
                      <w:color w:val="auto"/>
                      <w:spacing w:val="-10"/>
                      <w:sz w:val="21"/>
                      <w:highlight w:val="none"/>
                    </w:rPr>
                    <w:t>工程，有利于生态流量保障</w:t>
                  </w:r>
                </w:p>
              </w:tc>
              <w:tc>
                <w:tcPr>
                  <w:tcW w:w="631" w:type="dxa"/>
                  <w:noWrap w:val="0"/>
                  <w:vAlign w:val="center"/>
                </w:tcPr>
                <w:p w14:paraId="54D7583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A56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Merge w:val="restart"/>
                  <w:noWrap w:val="0"/>
                  <w:vAlign w:val="center"/>
                </w:tcPr>
                <w:p w14:paraId="607F7CFF">
                  <w:pPr>
                    <w:spacing w:line="240" w:lineRule="auto"/>
                    <w:ind w:left="0" w:leftChars="0" w:firstLine="0" w:firstLineChars="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YS5117242330001</w:t>
                  </w:r>
                </w:p>
              </w:tc>
              <w:tc>
                <w:tcPr>
                  <w:tcW w:w="735" w:type="dxa"/>
                  <w:vMerge w:val="restart"/>
                  <w:noWrap w:val="0"/>
                  <w:vAlign w:val="center"/>
                </w:tcPr>
                <w:p w14:paraId="0DAB9977">
                  <w:pPr>
                    <w:spacing w:line="240" w:lineRule="auto"/>
                    <w:ind w:left="0" w:leftChars="0" w:firstLine="0" w:firstLineChars="0"/>
                    <w:jc w:val="both"/>
                    <w:rPr>
                      <w:rFonts w:hint="default" w:ascii="Times New Roman" w:hAnsi="Times New Roman" w:cs="Times New Roman"/>
                      <w:color w:val="auto"/>
                      <w:sz w:val="21"/>
                      <w:szCs w:val="21"/>
                      <w:highlight w:val="none"/>
                    </w:rPr>
                  </w:pPr>
                  <w:r>
                    <w:rPr>
                      <w:rFonts w:eastAsia="宋体"/>
                      <w:color w:val="auto"/>
                      <w:sz w:val="21"/>
                      <w:highlight w:val="none"/>
                    </w:rPr>
                    <w:t>大竹县大气环境</w:t>
                  </w:r>
                  <w:r>
                    <w:rPr>
                      <w:rStyle w:val="13"/>
                      <w:rFonts w:hint="eastAsia" w:ascii="宋体" w:hAnsi="宋体" w:eastAsia="宋体" w:cs="Times New Roman"/>
                      <w:color w:val="auto"/>
                      <w:kern w:val="2"/>
                      <w:sz w:val="21"/>
                      <w:szCs w:val="21"/>
                      <w:highlight w:val="none"/>
                      <w:lang w:val="en-US" w:eastAsia="zh-CN" w:bidi="ar-SA"/>
                    </w:rPr>
                    <w:t>弱扩散重点管控区</w:t>
                  </w:r>
                </w:p>
              </w:tc>
              <w:tc>
                <w:tcPr>
                  <w:tcW w:w="3407" w:type="dxa"/>
                  <w:vMerge w:val="continue"/>
                  <w:noWrap w:val="0"/>
                  <w:vAlign w:val="top"/>
                </w:tcPr>
                <w:p w14:paraId="3F488CE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highlight w:val="none"/>
                    </w:rPr>
                  </w:pPr>
                </w:p>
              </w:tc>
              <w:tc>
                <w:tcPr>
                  <w:tcW w:w="587" w:type="dxa"/>
                  <w:shd w:val="clear" w:color="auto" w:fill="auto"/>
                  <w:noWrap w:val="0"/>
                  <w:vAlign w:val="center"/>
                </w:tcPr>
                <w:p w14:paraId="6A0DD8BB">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空间布局约束</w:t>
                  </w:r>
                </w:p>
              </w:tc>
              <w:tc>
                <w:tcPr>
                  <w:tcW w:w="2096" w:type="dxa"/>
                  <w:shd w:val="clear" w:color="auto" w:fill="auto"/>
                  <w:noWrap w:val="0"/>
                  <w:vAlign w:val="center"/>
                </w:tcPr>
                <w:p w14:paraId="280E9453">
                  <w:pPr>
                    <w:pStyle w:val="17"/>
                    <w:widowControl/>
                    <w:shd w:val="clear" w:color="auto" w:fill="FFFFFF"/>
                    <w:spacing w:line="240" w:lineRule="auto"/>
                    <w:ind w:firstLine="0" w:firstLineChars="0"/>
                    <w:jc w:val="left"/>
                    <w:rPr>
                      <w:rStyle w:val="13"/>
                      <w:rFonts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禁止开发建设活动的要求</w:t>
                  </w:r>
                </w:p>
                <w:p w14:paraId="0B6F04A8">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w:t>
                  </w:r>
                </w:p>
                <w:p w14:paraId="76F5E11F">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限制开发建设活动的要求</w:t>
                  </w:r>
                </w:p>
                <w:p w14:paraId="1734B8B6">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w:t>
                  </w:r>
                </w:p>
                <w:p w14:paraId="72F09558">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允许开发建设活动的要求</w:t>
                  </w:r>
                </w:p>
                <w:p w14:paraId="5D620C54">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w:t>
                  </w:r>
                </w:p>
                <w:p w14:paraId="570D1BC1">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不符合空间布局要求活动的退出要求</w:t>
                  </w:r>
                </w:p>
                <w:p w14:paraId="34B19352">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w:t>
                  </w:r>
                </w:p>
                <w:p w14:paraId="433E6FF1">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其他空间布局约束要求</w:t>
                  </w:r>
                </w:p>
                <w:p w14:paraId="1EEE837F">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支持现有钢铁、水泥、焦化等废气排放量大的产业向有刚性需求、具有资源优势、环境容量允许的地区转移布局</w:t>
                  </w:r>
                </w:p>
              </w:tc>
              <w:tc>
                <w:tcPr>
                  <w:tcW w:w="1062" w:type="dxa"/>
                  <w:shd w:val="clear" w:color="auto" w:fill="auto"/>
                  <w:noWrap w:val="0"/>
                  <w:vAlign w:val="center"/>
                </w:tcPr>
                <w:p w14:paraId="651E12C5">
                  <w:pPr>
                    <w:pStyle w:val="17"/>
                    <w:widowControl/>
                    <w:shd w:val="clear" w:color="auto" w:fill="FFFFFF"/>
                    <w:spacing w:line="240" w:lineRule="auto"/>
                    <w:ind w:firstLine="0" w:firstLineChars="0"/>
                    <w:jc w:val="center"/>
                    <w:rPr>
                      <w:rFonts w:hint="eastAsia" w:eastAsia="宋体"/>
                      <w:color w:val="auto"/>
                      <w:spacing w:val="-10"/>
                      <w:sz w:val="21"/>
                      <w:highlight w:val="none"/>
                    </w:rPr>
                  </w:pPr>
                  <w:r>
                    <w:rPr>
                      <w:rFonts w:eastAsia="宋体"/>
                      <w:color w:val="auto"/>
                      <w:spacing w:val="-10"/>
                      <w:sz w:val="21"/>
                      <w:highlight w:val="none"/>
                    </w:rPr>
                    <w:t>项目属于防洪除</w:t>
                  </w:r>
                  <w:r>
                    <w:rPr>
                      <w:rFonts w:hint="eastAsia" w:ascii="宋体" w:hAnsi="宋体" w:eastAsia="宋体" w:cs="宋体"/>
                      <w:color w:val="auto"/>
                      <w:spacing w:val="-10"/>
                      <w:sz w:val="21"/>
                      <w:highlight w:val="none"/>
                    </w:rPr>
                    <w:t>涝</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河湖整治</w:t>
                  </w:r>
                  <w:r>
                    <w:rPr>
                      <w:rFonts w:hint="eastAsia" w:ascii="宋体" w:hAnsi="宋体" w:eastAsia="宋体" w:cs="宋体"/>
                      <w:color w:val="auto"/>
                      <w:spacing w:val="-10"/>
                      <w:sz w:val="21"/>
                      <w:highlight w:val="none"/>
                    </w:rPr>
                    <w:t>工程，不属于禁</w:t>
                  </w:r>
                  <w:r>
                    <w:rPr>
                      <w:rFonts w:eastAsia="宋体"/>
                      <w:color w:val="auto"/>
                      <w:spacing w:val="-10"/>
                      <w:sz w:val="21"/>
                      <w:highlight w:val="none"/>
                    </w:rPr>
                    <w:t>止、限制开发建设项目</w:t>
                  </w:r>
                </w:p>
              </w:tc>
              <w:tc>
                <w:tcPr>
                  <w:tcW w:w="631" w:type="dxa"/>
                  <w:noWrap w:val="0"/>
                  <w:vAlign w:val="center"/>
                </w:tcPr>
                <w:p w14:paraId="6CBF208B">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6D77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Merge w:val="continue"/>
                  <w:noWrap w:val="0"/>
                  <w:vAlign w:val="center"/>
                </w:tcPr>
                <w:p w14:paraId="385A9A76">
                  <w:pPr>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735" w:type="dxa"/>
                  <w:vMerge w:val="continue"/>
                  <w:noWrap w:val="0"/>
                  <w:vAlign w:val="center"/>
                </w:tcPr>
                <w:p w14:paraId="3D0195AC">
                  <w:pPr>
                    <w:spacing w:line="240" w:lineRule="auto"/>
                    <w:ind w:left="0" w:leftChars="0" w:firstLine="0" w:firstLineChars="0"/>
                    <w:jc w:val="both"/>
                    <w:rPr>
                      <w:rFonts w:eastAsia="宋体"/>
                      <w:color w:val="auto"/>
                      <w:sz w:val="21"/>
                      <w:highlight w:val="none"/>
                    </w:rPr>
                  </w:pPr>
                </w:p>
              </w:tc>
              <w:tc>
                <w:tcPr>
                  <w:tcW w:w="3407" w:type="dxa"/>
                  <w:vMerge w:val="continue"/>
                  <w:noWrap w:val="0"/>
                  <w:vAlign w:val="top"/>
                </w:tcPr>
                <w:p w14:paraId="3754A183">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highlight w:val="none"/>
                    </w:rPr>
                  </w:pPr>
                </w:p>
              </w:tc>
              <w:tc>
                <w:tcPr>
                  <w:tcW w:w="587" w:type="dxa"/>
                  <w:shd w:val="clear" w:color="auto" w:fill="auto"/>
                  <w:noWrap w:val="0"/>
                  <w:vAlign w:val="center"/>
                </w:tcPr>
                <w:p w14:paraId="77FAB79B">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污染物排放管控</w:t>
                  </w:r>
                </w:p>
              </w:tc>
              <w:tc>
                <w:tcPr>
                  <w:tcW w:w="2096" w:type="dxa"/>
                  <w:shd w:val="clear" w:color="auto" w:fill="auto"/>
                  <w:noWrap w:val="0"/>
                  <w:vAlign w:val="center"/>
                </w:tcPr>
                <w:p w14:paraId="06B7F737">
                  <w:pPr>
                    <w:pStyle w:val="17"/>
                    <w:widowControl/>
                    <w:shd w:val="clear" w:color="auto" w:fill="FFFFFF"/>
                    <w:spacing w:line="240" w:lineRule="auto"/>
                    <w:ind w:firstLine="0" w:firstLineChars="0"/>
                    <w:jc w:val="left"/>
                    <w:rPr>
                      <w:rStyle w:val="13"/>
                      <w:rFonts w:ascii="宋体" w:hAnsi="宋体" w:eastAsia="宋体" w:cs="Times New Roman"/>
                      <w:color w:val="auto"/>
                      <w:kern w:val="2"/>
                      <w:sz w:val="18"/>
                      <w:szCs w:val="18"/>
                      <w:highlight w:val="none"/>
                      <w:lang w:val="en-US" w:eastAsia="zh-CN" w:bidi="ar-SA"/>
                    </w:rPr>
                  </w:pPr>
                  <w:r>
                    <w:rPr>
                      <w:rStyle w:val="13"/>
                      <w:rFonts w:hint="eastAsia" w:ascii="宋体" w:hAnsi="宋体" w:eastAsia="宋体" w:cs="Times New Roman"/>
                      <w:color w:val="auto"/>
                      <w:kern w:val="2"/>
                      <w:sz w:val="18"/>
                      <w:szCs w:val="18"/>
                      <w:highlight w:val="none"/>
                      <w:lang w:val="en-US" w:eastAsia="zh-CN" w:bidi="ar-SA"/>
                    </w:rPr>
                    <w:t>大气环境质量执行标准</w:t>
                  </w:r>
                </w:p>
                <w:p w14:paraId="11765C68">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18"/>
                      <w:szCs w:val="18"/>
                      <w:highlight w:val="none"/>
                      <w:lang w:val="en-US" w:eastAsia="zh-CN" w:bidi="ar-SA"/>
                    </w:rPr>
                    <w:t>《环境空气质量标准》（GB3095-2012）</w:t>
                  </w:r>
                  <w:r>
                    <w:rPr>
                      <w:rStyle w:val="13"/>
                      <w:rFonts w:hint="eastAsia" w:ascii="宋体" w:hAnsi="宋体" w:eastAsia="宋体" w:cs="Times New Roman"/>
                      <w:color w:val="auto"/>
                      <w:kern w:val="2"/>
                      <w:sz w:val="21"/>
                      <w:szCs w:val="21"/>
                      <w:highlight w:val="none"/>
                      <w:lang w:val="en-US" w:eastAsia="zh-CN" w:bidi="ar-SA"/>
                    </w:rPr>
                    <w:t>：二级</w:t>
                  </w:r>
                </w:p>
                <w:p w14:paraId="528C4168">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区域大气污染物削减/替代要求</w:t>
                  </w:r>
                </w:p>
                <w:p w14:paraId="676C2543">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w:t>
                  </w:r>
                </w:p>
                <w:p w14:paraId="5E599624">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燃煤和其他能源大气污染控制要求</w:t>
                  </w:r>
                </w:p>
                <w:p w14:paraId="535DD579">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w:t>
                  </w:r>
                </w:p>
                <w:p w14:paraId="72D5CC5A">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工业废气污染控制要求</w:t>
                  </w:r>
                </w:p>
                <w:p w14:paraId="021EB831">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w:t>
                  </w:r>
                </w:p>
                <w:p w14:paraId="56573943">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机动车船大气污染控制要求</w:t>
                  </w:r>
                </w:p>
                <w:p w14:paraId="4724C499">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w:t>
                  </w:r>
                </w:p>
                <w:p w14:paraId="4A0123DD">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扬尘污染控制要求</w:t>
                  </w:r>
                </w:p>
                <w:p w14:paraId="20CE1F77">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w:t>
                  </w:r>
                </w:p>
                <w:p w14:paraId="31D94CDE">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农业生产经营活动大气污染控制要求</w:t>
                  </w:r>
                </w:p>
                <w:p w14:paraId="267F0398">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w:t>
                  </w:r>
                </w:p>
                <w:p w14:paraId="2AF4B461">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重点行业企业专项治理要求</w:t>
                  </w:r>
                </w:p>
                <w:p w14:paraId="1E7519FC">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w:t>
                  </w:r>
                </w:p>
                <w:p w14:paraId="03F5A257">
                  <w:pPr>
                    <w:pStyle w:val="17"/>
                    <w:widowControl/>
                    <w:shd w:val="clear" w:color="auto" w:fill="FFFFFF"/>
                    <w:spacing w:line="240" w:lineRule="auto"/>
                    <w:ind w:firstLine="0" w:firstLineChars="0"/>
                    <w:jc w:val="left"/>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其他大气污染物排放管控要求</w:t>
                  </w:r>
                </w:p>
                <w:p w14:paraId="2B95BD73">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w:t>
                  </w:r>
                </w:p>
              </w:tc>
              <w:tc>
                <w:tcPr>
                  <w:tcW w:w="1062" w:type="dxa"/>
                  <w:shd w:val="clear" w:color="auto" w:fill="auto"/>
                  <w:noWrap w:val="0"/>
                  <w:vAlign w:val="center"/>
                </w:tcPr>
                <w:p w14:paraId="3215368D">
                  <w:pPr>
                    <w:pStyle w:val="17"/>
                    <w:widowControl/>
                    <w:shd w:val="clear" w:color="auto" w:fill="FFFFFF"/>
                    <w:spacing w:line="240" w:lineRule="auto"/>
                    <w:ind w:firstLine="0" w:firstLineChars="0"/>
                    <w:jc w:val="center"/>
                    <w:rPr>
                      <w:rFonts w:hint="eastAsia" w:eastAsia="宋体"/>
                      <w:color w:val="auto"/>
                      <w:spacing w:val="-10"/>
                      <w:sz w:val="21"/>
                      <w:highlight w:val="none"/>
                    </w:rPr>
                  </w:pPr>
                  <w:r>
                    <w:rPr>
                      <w:rFonts w:hint="eastAsia" w:eastAsia="宋体"/>
                      <w:color w:val="auto"/>
                      <w:spacing w:val="-10"/>
                      <w:sz w:val="21"/>
                      <w:highlight w:val="none"/>
                    </w:rPr>
                    <w:t>项目施工期通过洒水降尘、围挡、混凝土</w:t>
                  </w:r>
                  <w:r>
                    <w:rPr>
                      <w:rFonts w:hint="eastAsia" w:eastAsia="宋体"/>
                      <w:color w:val="auto"/>
                      <w:spacing w:val="-10"/>
                      <w:sz w:val="21"/>
                      <w:highlight w:val="none"/>
                      <w:lang w:eastAsia="zh-CN"/>
                    </w:rPr>
                    <w:t>拌合</w:t>
                  </w:r>
                  <w:r>
                    <w:rPr>
                      <w:rFonts w:hint="eastAsia" w:eastAsia="宋体"/>
                      <w:color w:val="auto"/>
                      <w:spacing w:val="-10"/>
                      <w:sz w:val="21"/>
                      <w:highlight w:val="none"/>
                    </w:rPr>
                    <w:t>设置封闭工棚、进出车辆冲洗轮胎等措施降低施工粉尘影响。</w:t>
                  </w:r>
                  <w:r>
                    <w:rPr>
                      <w:rFonts w:hint="eastAsia" w:eastAsia="宋体"/>
                      <w:color w:val="auto"/>
                      <w:spacing w:val="-10"/>
                      <w:sz w:val="21"/>
                      <w:highlight w:val="none"/>
                      <w:lang w:val="en-US" w:eastAsia="zh-CN"/>
                    </w:rPr>
                    <w:t>营运期无污染物产生及排放</w:t>
                  </w:r>
                </w:p>
              </w:tc>
              <w:tc>
                <w:tcPr>
                  <w:tcW w:w="631" w:type="dxa"/>
                  <w:noWrap w:val="0"/>
                  <w:vAlign w:val="center"/>
                </w:tcPr>
                <w:p w14:paraId="06055200">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14:paraId="4B8C8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Merge w:val="continue"/>
                  <w:noWrap w:val="0"/>
                  <w:vAlign w:val="center"/>
                </w:tcPr>
                <w:p w14:paraId="562D0702">
                  <w:pPr>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735" w:type="dxa"/>
                  <w:vMerge w:val="continue"/>
                  <w:noWrap w:val="0"/>
                  <w:vAlign w:val="center"/>
                </w:tcPr>
                <w:p w14:paraId="765EB10F">
                  <w:pPr>
                    <w:spacing w:line="240" w:lineRule="auto"/>
                    <w:ind w:left="0" w:leftChars="0" w:firstLine="0" w:firstLineChars="0"/>
                    <w:jc w:val="both"/>
                    <w:rPr>
                      <w:rFonts w:eastAsia="宋体"/>
                      <w:color w:val="auto"/>
                      <w:sz w:val="21"/>
                      <w:highlight w:val="none"/>
                    </w:rPr>
                  </w:pPr>
                </w:p>
              </w:tc>
              <w:tc>
                <w:tcPr>
                  <w:tcW w:w="3407" w:type="dxa"/>
                  <w:vMerge w:val="continue"/>
                  <w:noWrap w:val="0"/>
                  <w:vAlign w:val="top"/>
                </w:tcPr>
                <w:p w14:paraId="76B6E46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highlight w:val="none"/>
                    </w:rPr>
                  </w:pPr>
                </w:p>
              </w:tc>
              <w:tc>
                <w:tcPr>
                  <w:tcW w:w="587" w:type="dxa"/>
                  <w:shd w:val="clear" w:color="auto" w:fill="auto"/>
                  <w:noWrap w:val="0"/>
                  <w:vAlign w:val="center"/>
                </w:tcPr>
                <w:p w14:paraId="00E47F87">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环境风险防、控</w:t>
                  </w:r>
                </w:p>
              </w:tc>
              <w:tc>
                <w:tcPr>
                  <w:tcW w:w="2096" w:type="dxa"/>
                  <w:shd w:val="clear" w:color="auto" w:fill="auto"/>
                  <w:noWrap w:val="0"/>
                  <w:vAlign w:val="center"/>
                </w:tcPr>
                <w:p w14:paraId="3454A3A1">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eastAsia" w:eastAsia="宋体" w:cs="Times New Roman"/>
                      <w:color w:val="auto"/>
                      <w:kern w:val="2"/>
                      <w:sz w:val="21"/>
                      <w:szCs w:val="21"/>
                      <w:highlight w:val="none"/>
                      <w:lang w:val="en-US" w:eastAsia="zh-CN" w:bidi="ar-SA"/>
                    </w:rPr>
                    <w:t>/</w:t>
                  </w:r>
                </w:p>
              </w:tc>
              <w:tc>
                <w:tcPr>
                  <w:tcW w:w="1062" w:type="dxa"/>
                  <w:shd w:val="clear" w:color="auto" w:fill="auto"/>
                  <w:noWrap w:val="0"/>
                  <w:vAlign w:val="center"/>
                </w:tcPr>
                <w:p w14:paraId="0485FDCB">
                  <w:pPr>
                    <w:pStyle w:val="17"/>
                    <w:widowControl/>
                    <w:shd w:val="clear" w:color="auto" w:fill="FFFFFF"/>
                    <w:spacing w:line="240" w:lineRule="auto"/>
                    <w:ind w:firstLine="0" w:firstLineChars="0"/>
                    <w:jc w:val="center"/>
                    <w:rPr>
                      <w:rFonts w:hint="eastAsia" w:eastAsia="宋体"/>
                      <w:color w:val="auto"/>
                      <w:spacing w:val="-10"/>
                      <w:sz w:val="21"/>
                      <w:highlight w:val="none"/>
                      <w:lang w:eastAsia="zh-CN"/>
                    </w:rPr>
                  </w:pPr>
                  <w:r>
                    <w:rPr>
                      <w:rFonts w:hint="eastAsia" w:eastAsia="宋体"/>
                      <w:color w:val="auto"/>
                      <w:spacing w:val="-10"/>
                      <w:sz w:val="21"/>
                      <w:highlight w:val="none"/>
                      <w:lang w:val="en-US" w:eastAsia="zh-CN"/>
                    </w:rPr>
                    <w:t>/</w:t>
                  </w:r>
                </w:p>
              </w:tc>
              <w:tc>
                <w:tcPr>
                  <w:tcW w:w="631" w:type="dxa"/>
                  <w:noWrap w:val="0"/>
                  <w:vAlign w:val="center"/>
                </w:tcPr>
                <w:p w14:paraId="152B26AE">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497E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Merge w:val="continue"/>
                  <w:noWrap w:val="0"/>
                  <w:vAlign w:val="center"/>
                </w:tcPr>
                <w:p w14:paraId="4A7B5862">
                  <w:pPr>
                    <w:spacing w:line="240" w:lineRule="auto"/>
                    <w:ind w:left="0" w:leftChars="0" w:firstLine="0" w:firstLineChars="0"/>
                    <w:jc w:val="both"/>
                    <w:rPr>
                      <w:rFonts w:hint="default" w:ascii="Times New Roman" w:hAnsi="Times New Roman" w:cs="Times New Roman"/>
                      <w:color w:val="auto"/>
                      <w:sz w:val="21"/>
                      <w:szCs w:val="21"/>
                      <w:highlight w:val="none"/>
                    </w:rPr>
                  </w:pPr>
                </w:p>
              </w:tc>
              <w:tc>
                <w:tcPr>
                  <w:tcW w:w="735" w:type="dxa"/>
                  <w:vMerge w:val="continue"/>
                  <w:noWrap w:val="0"/>
                  <w:vAlign w:val="center"/>
                </w:tcPr>
                <w:p w14:paraId="4C88BCD4">
                  <w:pPr>
                    <w:spacing w:line="240" w:lineRule="auto"/>
                    <w:ind w:left="0" w:leftChars="0" w:firstLine="0" w:firstLineChars="0"/>
                    <w:jc w:val="both"/>
                    <w:rPr>
                      <w:rFonts w:eastAsia="宋体"/>
                      <w:color w:val="auto"/>
                      <w:sz w:val="21"/>
                      <w:highlight w:val="none"/>
                    </w:rPr>
                  </w:pPr>
                </w:p>
              </w:tc>
              <w:tc>
                <w:tcPr>
                  <w:tcW w:w="3407" w:type="dxa"/>
                  <w:vMerge w:val="continue"/>
                  <w:noWrap w:val="0"/>
                  <w:vAlign w:val="top"/>
                </w:tcPr>
                <w:p w14:paraId="42C778DF">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highlight w:val="none"/>
                    </w:rPr>
                  </w:pPr>
                </w:p>
              </w:tc>
              <w:tc>
                <w:tcPr>
                  <w:tcW w:w="587" w:type="dxa"/>
                  <w:shd w:val="clear" w:color="auto" w:fill="auto"/>
                  <w:noWrap w:val="0"/>
                  <w:vAlign w:val="center"/>
                </w:tcPr>
                <w:p w14:paraId="5E64A587">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13"/>
                      <w:rFonts w:hint="eastAsia"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资源开发效率要求</w:t>
                  </w:r>
                </w:p>
              </w:tc>
              <w:tc>
                <w:tcPr>
                  <w:tcW w:w="2096" w:type="dxa"/>
                  <w:shd w:val="clear" w:color="auto" w:fill="auto"/>
                  <w:noWrap w:val="0"/>
                  <w:vAlign w:val="center"/>
                </w:tcPr>
                <w:p w14:paraId="197DD9DA">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eastAsia" w:eastAsia="宋体" w:cs="Times New Roman"/>
                      <w:color w:val="auto"/>
                      <w:kern w:val="2"/>
                      <w:sz w:val="21"/>
                      <w:szCs w:val="21"/>
                      <w:highlight w:val="none"/>
                      <w:lang w:val="en-US" w:eastAsia="zh-CN" w:bidi="ar-SA"/>
                    </w:rPr>
                    <w:t>/</w:t>
                  </w:r>
                </w:p>
              </w:tc>
              <w:tc>
                <w:tcPr>
                  <w:tcW w:w="1062" w:type="dxa"/>
                  <w:shd w:val="clear" w:color="auto" w:fill="auto"/>
                  <w:noWrap w:val="0"/>
                  <w:vAlign w:val="center"/>
                </w:tcPr>
                <w:p w14:paraId="1EC2512F">
                  <w:pPr>
                    <w:pStyle w:val="17"/>
                    <w:widowControl/>
                    <w:shd w:val="clear" w:color="auto" w:fill="FFFFFF"/>
                    <w:spacing w:line="240" w:lineRule="auto"/>
                    <w:ind w:firstLine="0" w:firstLineChars="0"/>
                    <w:jc w:val="center"/>
                    <w:rPr>
                      <w:rFonts w:hint="eastAsia" w:eastAsia="宋体"/>
                      <w:color w:val="auto"/>
                      <w:spacing w:val="-10"/>
                      <w:sz w:val="21"/>
                      <w:highlight w:val="none"/>
                      <w:lang w:eastAsia="zh-CN"/>
                    </w:rPr>
                  </w:pPr>
                  <w:r>
                    <w:rPr>
                      <w:rFonts w:hint="eastAsia" w:eastAsia="宋体"/>
                      <w:color w:val="auto"/>
                      <w:spacing w:val="-10"/>
                      <w:sz w:val="21"/>
                      <w:highlight w:val="none"/>
                      <w:lang w:val="en-US" w:eastAsia="zh-CN"/>
                    </w:rPr>
                    <w:t>/</w:t>
                  </w:r>
                </w:p>
              </w:tc>
              <w:tc>
                <w:tcPr>
                  <w:tcW w:w="631" w:type="dxa"/>
                  <w:noWrap w:val="0"/>
                  <w:vAlign w:val="center"/>
                </w:tcPr>
                <w:p w14:paraId="2134024D">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6432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Merge w:val="restart"/>
                  <w:noWrap w:val="0"/>
                  <w:vAlign w:val="center"/>
                </w:tcPr>
                <w:p w14:paraId="3FD3E341">
                  <w:pPr>
                    <w:pStyle w:val="17"/>
                    <w:widowControl/>
                    <w:spacing w:line="240" w:lineRule="auto"/>
                    <w:ind w:firstLine="0" w:firstLineChars="0"/>
                    <w:jc w:val="left"/>
                    <w:rPr>
                      <w:rFonts w:hint="eastAsia" w:ascii="Times New Roman" w:hAnsi="Times New Roman" w:eastAsia="宋体" w:cs="Times New Roman"/>
                      <w:color w:val="auto"/>
                      <w:sz w:val="21"/>
                      <w:highlight w:val="none"/>
                      <w:lang w:eastAsia="zh-CN"/>
                    </w:rPr>
                  </w:pPr>
                  <w:r>
                    <w:rPr>
                      <w:rFonts w:hint="eastAsia" w:eastAsia="宋体" w:cs="Times New Roman"/>
                      <w:color w:val="auto"/>
                      <w:sz w:val="21"/>
                      <w:highlight w:val="none"/>
                      <w:lang w:eastAsia="zh-CN"/>
                    </w:rPr>
                    <w:t>YS5117242320001</w:t>
                  </w:r>
                </w:p>
              </w:tc>
              <w:tc>
                <w:tcPr>
                  <w:tcW w:w="735" w:type="dxa"/>
                  <w:vMerge w:val="restart"/>
                  <w:noWrap w:val="0"/>
                  <w:vAlign w:val="center"/>
                </w:tcPr>
                <w:p w14:paraId="0B26D434">
                  <w:pPr>
                    <w:pStyle w:val="17"/>
                    <w:widowControl/>
                    <w:spacing w:line="240" w:lineRule="auto"/>
                    <w:ind w:firstLine="0" w:firstLineChars="0"/>
                    <w:jc w:val="left"/>
                    <w:rPr>
                      <w:rFonts w:hint="eastAsia" w:ascii="Times New Roman" w:hAnsi="Times New Roman" w:eastAsia="宋体" w:cs="Times New Roman"/>
                      <w:color w:val="auto"/>
                      <w:sz w:val="21"/>
                      <w:highlight w:val="none"/>
                      <w:lang w:eastAsia="zh-CN"/>
                    </w:rPr>
                  </w:pPr>
                  <w:r>
                    <w:rPr>
                      <w:rFonts w:hint="eastAsia" w:eastAsia="宋体" w:cs="Times New Roman"/>
                      <w:color w:val="auto"/>
                      <w:sz w:val="21"/>
                      <w:highlight w:val="none"/>
                      <w:lang w:eastAsia="zh-CN"/>
                    </w:rPr>
                    <w:t>大竹县大气环境布局敏感重点管控区</w:t>
                  </w:r>
                </w:p>
              </w:tc>
              <w:tc>
                <w:tcPr>
                  <w:tcW w:w="3407" w:type="dxa"/>
                  <w:vMerge w:val="continue"/>
                  <w:noWrap w:val="0"/>
                  <w:vAlign w:val="center"/>
                </w:tcPr>
                <w:p w14:paraId="416B25B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587" w:type="dxa"/>
                  <w:shd w:val="clear" w:color="auto" w:fill="auto"/>
                  <w:noWrap w:val="0"/>
                  <w:vAlign w:val="center"/>
                </w:tcPr>
                <w:p w14:paraId="45E2D4AC">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空间布局约束</w:t>
                  </w:r>
                </w:p>
              </w:tc>
              <w:tc>
                <w:tcPr>
                  <w:tcW w:w="2096" w:type="dxa"/>
                  <w:shd w:val="clear" w:color="auto" w:fill="auto"/>
                  <w:noWrap w:val="0"/>
                  <w:vAlign w:val="center"/>
                </w:tcPr>
                <w:p w14:paraId="35A3FEB9">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禁止开发建设活动的要求</w:t>
                  </w:r>
                </w:p>
                <w:p w14:paraId="49AFA7C5">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1、坚决遏制高耗能、高排放、低水平项目盲目发展，严格落实国家和四川省产业规划、产业政策、规划环评，以及产能置换、煤炭消费减量替代、区域污染物削减等要求，坚决叫停不符合要求的高耗能、高排放、低水平项目2、严禁新增钢铁、焦化、炼油、电解铝、水泥、平板玻璃（不含光伏玻璃）等产能</w:t>
                  </w:r>
                </w:p>
                <w:p w14:paraId="5BC8E08E">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限制开发建设活动的要求</w:t>
                  </w:r>
                </w:p>
                <w:p w14:paraId="0C7CFAC5">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p w14:paraId="053ED856">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允许开发建设活动的要求</w:t>
                  </w:r>
                </w:p>
                <w:p w14:paraId="3535F839">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p w14:paraId="114161F5">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不符合空间布局要求活动的退出要求</w:t>
                  </w:r>
                </w:p>
                <w:p w14:paraId="41C45C3B">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p w14:paraId="04EDF035">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其他空间布局约束要求</w:t>
                  </w:r>
                </w:p>
                <w:p w14:paraId="43FB010D">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tc>
              <w:tc>
                <w:tcPr>
                  <w:tcW w:w="1062" w:type="dxa"/>
                  <w:shd w:val="clear" w:color="auto" w:fill="auto"/>
                  <w:noWrap w:val="0"/>
                  <w:vAlign w:val="center"/>
                </w:tcPr>
                <w:p w14:paraId="35E0A696">
                  <w:pPr>
                    <w:pStyle w:val="17"/>
                    <w:widowControl/>
                    <w:shd w:val="clear" w:color="auto" w:fill="FFFFFF"/>
                    <w:spacing w:line="240" w:lineRule="auto"/>
                    <w:ind w:firstLine="0" w:firstLineChars="0"/>
                    <w:jc w:val="center"/>
                    <w:rPr>
                      <w:rFonts w:hint="default" w:ascii="Times New Roman" w:hAnsi="Times New Roman" w:eastAsia="宋体" w:cs="Times New Roman"/>
                      <w:color w:val="auto"/>
                      <w:spacing w:val="-10"/>
                      <w:kern w:val="2"/>
                      <w:sz w:val="21"/>
                      <w:szCs w:val="21"/>
                      <w:highlight w:val="none"/>
                      <w:lang w:val="en-US" w:eastAsia="zh-CN" w:bidi="ar-SA"/>
                    </w:rPr>
                  </w:pPr>
                  <w:r>
                    <w:rPr>
                      <w:rFonts w:hint="eastAsia" w:eastAsia="宋体"/>
                      <w:color w:val="auto"/>
                      <w:spacing w:val="-10"/>
                      <w:sz w:val="21"/>
                      <w:highlight w:val="none"/>
                    </w:rPr>
                    <w:t>项目属于防洪除涝</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河湖整治</w:t>
                  </w:r>
                  <w:r>
                    <w:rPr>
                      <w:rFonts w:hint="eastAsia" w:ascii="宋体" w:hAnsi="宋体" w:eastAsia="宋体" w:cs="宋体"/>
                      <w:color w:val="auto"/>
                      <w:spacing w:val="-10"/>
                      <w:sz w:val="21"/>
                      <w:highlight w:val="none"/>
                    </w:rPr>
                    <w:t>工程，不</w:t>
                  </w:r>
                  <w:r>
                    <w:rPr>
                      <w:rFonts w:hint="eastAsia" w:eastAsia="宋体"/>
                      <w:color w:val="auto"/>
                      <w:spacing w:val="-10"/>
                      <w:sz w:val="21"/>
                      <w:highlight w:val="none"/>
                    </w:rPr>
                    <w:t>属于禁止、限制开发建设项目</w:t>
                  </w:r>
                </w:p>
              </w:tc>
              <w:tc>
                <w:tcPr>
                  <w:tcW w:w="631" w:type="dxa"/>
                  <w:noWrap w:val="0"/>
                  <w:vAlign w:val="center"/>
                </w:tcPr>
                <w:p w14:paraId="5FE5F61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5E1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Merge w:val="continue"/>
                  <w:noWrap w:val="0"/>
                  <w:vAlign w:val="center"/>
                </w:tcPr>
                <w:p w14:paraId="7BF8932B">
                  <w:pPr>
                    <w:spacing w:line="240" w:lineRule="auto"/>
                    <w:ind w:firstLine="420"/>
                    <w:jc w:val="center"/>
                    <w:rPr>
                      <w:rFonts w:hint="default" w:ascii="Times New Roman" w:hAnsi="Times New Roman" w:cs="Times New Roman"/>
                      <w:color w:val="auto"/>
                      <w:sz w:val="21"/>
                      <w:szCs w:val="21"/>
                      <w:highlight w:val="none"/>
                    </w:rPr>
                  </w:pPr>
                </w:p>
              </w:tc>
              <w:tc>
                <w:tcPr>
                  <w:tcW w:w="735" w:type="dxa"/>
                  <w:vMerge w:val="continue"/>
                  <w:noWrap w:val="0"/>
                  <w:vAlign w:val="center"/>
                </w:tcPr>
                <w:p w14:paraId="0A850086">
                  <w:pPr>
                    <w:spacing w:line="240" w:lineRule="auto"/>
                    <w:ind w:firstLine="420"/>
                    <w:jc w:val="center"/>
                    <w:rPr>
                      <w:rFonts w:hint="default" w:ascii="Times New Roman" w:hAnsi="Times New Roman" w:cs="Times New Roman"/>
                      <w:color w:val="auto"/>
                      <w:sz w:val="21"/>
                      <w:szCs w:val="21"/>
                      <w:highlight w:val="none"/>
                    </w:rPr>
                  </w:pPr>
                </w:p>
              </w:tc>
              <w:tc>
                <w:tcPr>
                  <w:tcW w:w="3407" w:type="dxa"/>
                  <w:vMerge w:val="continue"/>
                  <w:noWrap w:val="0"/>
                  <w:vAlign w:val="center"/>
                </w:tcPr>
                <w:p w14:paraId="2FC8FE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587" w:type="dxa"/>
                  <w:shd w:val="clear" w:color="auto" w:fill="auto"/>
                  <w:noWrap w:val="0"/>
                  <w:vAlign w:val="center"/>
                </w:tcPr>
                <w:p w14:paraId="0710A4F7">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污染物排放管控</w:t>
                  </w:r>
                </w:p>
              </w:tc>
              <w:tc>
                <w:tcPr>
                  <w:tcW w:w="2096" w:type="dxa"/>
                  <w:shd w:val="clear" w:color="auto" w:fill="auto"/>
                  <w:noWrap w:val="0"/>
                  <w:vAlign w:val="center"/>
                </w:tcPr>
                <w:p w14:paraId="6287064C">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大气环境质量执行标准</w:t>
                  </w:r>
                </w:p>
                <w:p w14:paraId="169E5652">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《环境空气质量标准》（GB3095-2012）：二级</w:t>
                  </w:r>
                </w:p>
                <w:p w14:paraId="54EA816A">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区域大气污染物削减/替代要求</w:t>
                  </w:r>
                </w:p>
                <w:p w14:paraId="35800BD9">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p w14:paraId="3D1BD151">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燃煤和其他能源大气污染控制要求</w:t>
                  </w:r>
                </w:p>
                <w:p w14:paraId="566C09D6">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p w14:paraId="106444BA">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工业废气污染控制要求</w:t>
                  </w:r>
                </w:p>
                <w:p w14:paraId="3491D988">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p w14:paraId="53951BA6">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机动车船大气污染控制要求</w:t>
                  </w:r>
                </w:p>
                <w:p w14:paraId="2FC3C46D">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p w14:paraId="77E34A8E">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扬尘污染控制要求</w:t>
                  </w:r>
                </w:p>
                <w:p w14:paraId="5BE74EE7">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p w14:paraId="63A9ABA9">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农业生产经营活动大气污染控制要求</w:t>
                  </w:r>
                </w:p>
                <w:p w14:paraId="38086EA2">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p w14:paraId="7154EF6B">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重点行业企业专项治理要求</w:t>
                  </w:r>
                </w:p>
                <w:p w14:paraId="407652C0">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p w14:paraId="6C1E5D32">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其他大气污染物排放管控要求</w:t>
                  </w:r>
                </w:p>
                <w:p w14:paraId="37E68219">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tc>
              <w:tc>
                <w:tcPr>
                  <w:tcW w:w="1062" w:type="dxa"/>
                  <w:noWrap w:val="0"/>
                  <w:vAlign w:val="center"/>
                </w:tcPr>
                <w:p w14:paraId="0B9BA8B8">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本项目为防洪治理工程，废气仅涉及施工扬尘等，通过洒水降尘的措施处理</w:t>
                  </w:r>
                </w:p>
              </w:tc>
              <w:tc>
                <w:tcPr>
                  <w:tcW w:w="631" w:type="dxa"/>
                  <w:noWrap w:val="0"/>
                  <w:vAlign w:val="center"/>
                </w:tcPr>
                <w:p w14:paraId="7B00675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13C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Merge w:val="continue"/>
                  <w:noWrap w:val="0"/>
                  <w:vAlign w:val="center"/>
                </w:tcPr>
                <w:p w14:paraId="68C938E6">
                  <w:pPr>
                    <w:spacing w:line="240" w:lineRule="auto"/>
                    <w:ind w:firstLine="420"/>
                    <w:jc w:val="center"/>
                    <w:rPr>
                      <w:rFonts w:hint="default" w:ascii="Times New Roman" w:hAnsi="Times New Roman" w:cs="Times New Roman"/>
                      <w:color w:val="auto"/>
                      <w:sz w:val="21"/>
                      <w:szCs w:val="21"/>
                      <w:highlight w:val="none"/>
                    </w:rPr>
                  </w:pPr>
                </w:p>
              </w:tc>
              <w:tc>
                <w:tcPr>
                  <w:tcW w:w="735" w:type="dxa"/>
                  <w:vMerge w:val="continue"/>
                  <w:noWrap w:val="0"/>
                  <w:vAlign w:val="center"/>
                </w:tcPr>
                <w:p w14:paraId="1E7E3CC8">
                  <w:pPr>
                    <w:spacing w:line="240" w:lineRule="auto"/>
                    <w:ind w:firstLine="420"/>
                    <w:jc w:val="center"/>
                    <w:rPr>
                      <w:rFonts w:hint="default" w:ascii="Times New Roman" w:hAnsi="Times New Roman" w:cs="Times New Roman"/>
                      <w:color w:val="auto"/>
                      <w:sz w:val="21"/>
                      <w:szCs w:val="21"/>
                      <w:highlight w:val="none"/>
                    </w:rPr>
                  </w:pPr>
                </w:p>
              </w:tc>
              <w:tc>
                <w:tcPr>
                  <w:tcW w:w="3407" w:type="dxa"/>
                  <w:vMerge w:val="continue"/>
                  <w:noWrap w:val="0"/>
                  <w:vAlign w:val="center"/>
                </w:tcPr>
                <w:p w14:paraId="66EEC5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587" w:type="dxa"/>
                  <w:noWrap w:val="0"/>
                  <w:vAlign w:val="center"/>
                </w:tcPr>
                <w:p w14:paraId="02B3D6FE">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环境风险防控</w:t>
                  </w:r>
                </w:p>
              </w:tc>
              <w:tc>
                <w:tcPr>
                  <w:tcW w:w="2096" w:type="dxa"/>
                  <w:vMerge w:val="restart"/>
                  <w:noWrap w:val="0"/>
                  <w:vAlign w:val="center"/>
                </w:tcPr>
                <w:p w14:paraId="394AF26A">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w:t>
                  </w:r>
                </w:p>
              </w:tc>
              <w:tc>
                <w:tcPr>
                  <w:tcW w:w="1062" w:type="dxa"/>
                  <w:vMerge w:val="restart"/>
                  <w:noWrap w:val="0"/>
                  <w:vAlign w:val="center"/>
                </w:tcPr>
                <w:p w14:paraId="76FF322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31" w:type="dxa"/>
                  <w:vMerge w:val="restart"/>
                  <w:noWrap w:val="0"/>
                  <w:vAlign w:val="center"/>
                </w:tcPr>
                <w:p w14:paraId="48ABDA3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14:paraId="53CC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Merge w:val="continue"/>
                  <w:noWrap w:val="0"/>
                  <w:vAlign w:val="center"/>
                </w:tcPr>
                <w:p w14:paraId="6CF5355A">
                  <w:pPr>
                    <w:spacing w:line="240" w:lineRule="auto"/>
                    <w:ind w:firstLine="420"/>
                    <w:jc w:val="center"/>
                    <w:rPr>
                      <w:rFonts w:hint="default" w:ascii="Times New Roman" w:hAnsi="Times New Roman" w:cs="Times New Roman"/>
                      <w:color w:val="auto"/>
                      <w:sz w:val="21"/>
                      <w:szCs w:val="21"/>
                      <w:highlight w:val="none"/>
                    </w:rPr>
                  </w:pPr>
                </w:p>
              </w:tc>
              <w:tc>
                <w:tcPr>
                  <w:tcW w:w="735" w:type="dxa"/>
                  <w:vMerge w:val="continue"/>
                  <w:noWrap w:val="0"/>
                  <w:vAlign w:val="center"/>
                </w:tcPr>
                <w:p w14:paraId="1BFEFF8D">
                  <w:pPr>
                    <w:spacing w:line="240" w:lineRule="auto"/>
                    <w:ind w:firstLine="420"/>
                    <w:jc w:val="center"/>
                    <w:rPr>
                      <w:rFonts w:hint="default" w:ascii="Times New Roman" w:hAnsi="Times New Roman" w:cs="Times New Roman"/>
                      <w:color w:val="auto"/>
                      <w:sz w:val="21"/>
                      <w:szCs w:val="21"/>
                      <w:highlight w:val="none"/>
                    </w:rPr>
                  </w:pPr>
                </w:p>
              </w:tc>
              <w:tc>
                <w:tcPr>
                  <w:tcW w:w="3407" w:type="dxa"/>
                  <w:vMerge w:val="continue"/>
                  <w:noWrap w:val="0"/>
                  <w:vAlign w:val="center"/>
                </w:tcPr>
                <w:p w14:paraId="6EF492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587" w:type="dxa"/>
                  <w:noWrap w:val="0"/>
                  <w:vAlign w:val="center"/>
                </w:tcPr>
                <w:p w14:paraId="13A8224E">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资源开发效率要求</w:t>
                  </w:r>
                </w:p>
              </w:tc>
              <w:tc>
                <w:tcPr>
                  <w:tcW w:w="2096" w:type="dxa"/>
                  <w:vMerge w:val="continue"/>
                  <w:noWrap w:val="0"/>
                  <w:vAlign w:val="center"/>
                </w:tcPr>
                <w:p w14:paraId="148AF415">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rPr>
                  </w:pPr>
                </w:p>
              </w:tc>
              <w:tc>
                <w:tcPr>
                  <w:tcW w:w="1062" w:type="dxa"/>
                  <w:vMerge w:val="continue"/>
                  <w:noWrap w:val="0"/>
                  <w:vAlign w:val="center"/>
                </w:tcPr>
                <w:p w14:paraId="69E7CC0D">
                  <w:pPr>
                    <w:spacing w:line="240" w:lineRule="auto"/>
                    <w:ind w:firstLine="420"/>
                    <w:jc w:val="center"/>
                    <w:rPr>
                      <w:rFonts w:hint="default" w:ascii="Times New Roman" w:hAnsi="Times New Roman" w:cs="Times New Roman"/>
                      <w:color w:val="auto"/>
                      <w:sz w:val="21"/>
                      <w:szCs w:val="21"/>
                      <w:highlight w:val="none"/>
                    </w:rPr>
                  </w:pPr>
                </w:p>
              </w:tc>
              <w:tc>
                <w:tcPr>
                  <w:tcW w:w="631" w:type="dxa"/>
                  <w:vMerge w:val="continue"/>
                  <w:noWrap w:val="0"/>
                  <w:vAlign w:val="center"/>
                </w:tcPr>
                <w:p w14:paraId="7EBBC5B5">
                  <w:pPr>
                    <w:spacing w:line="240" w:lineRule="auto"/>
                    <w:ind w:firstLine="420"/>
                    <w:jc w:val="center"/>
                    <w:rPr>
                      <w:rFonts w:hint="default" w:ascii="Times New Roman" w:hAnsi="Times New Roman" w:cs="Times New Roman"/>
                      <w:color w:val="auto"/>
                      <w:sz w:val="21"/>
                      <w:szCs w:val="21"/>
                      <w:highlight w:val="none"/>
                    </w:rPr>
                  </w:pPr>
                </w:p>
              </w:tc>
            </w:tr>
            <w:tr w14:paraId="2D8F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Merge w:val="restart"/>
                  <w:noWrap w:val="0"/>
                  <w:vAlign w:val="center"/>
                </w:tcPr>
                <w:p w14:paraId="13CF7542">
                  <w:pPr>
                    <w:pStyle w:val="17"/>
                    <w:widowControl/>
                    <w:spacing w:line="240" w:lineRule="auto"/>
                    <w:ind w:firstLine="0" w:firstLineChars="0"/>
                    <w:jc w:val="left"/>
                    <w:rPr>
                      <w:rFonts w:hint="eastAsia" w:ascii="Times New Roman" w:hAnsi="Times New Roman" w:eastAsia="宋体" w:cs="Times New Roman"/>
                      <w:color w:val="auto"/>
                      <w:sz w:val="21"/>
                      <w:highlight w:val="none"/>
                      <w:lang w:eastAsia="zh-CN"/>
                    </w:rPr>
                  </w:pPr>
                  <w:r>
                    <w:rPr>
                      <w:rFonts w:hint="eastAsia" w:eastAsia="宋体" w:cs="Times New Roman"/>
                      <w:color w:val="auto"/>
                      <w:sz w:val="21"/>
                      <w:highlight w:val="none"/>
                      <w:lang w:eastAsia="zh-CN"/>
                    </w:rPr>
                    <w:t>ZH51172420003</w:t>
                  </w:r>
                </w:p>
              </w:tc>
              <w:tc>
                <w:tcPr>
                  <w:tcW w:w="735" w:type="dxa"/>
                  <w:vMerge w:val="restart"/>
                  <w:noWrap w:val="0"/>
                  <w:vAlign w:val="center"/>
                </w:tcPr>
                <w:p w14:paraId="7D8C09D7">
                  <w:pPr>
                    <w:pStyle w:val="17"/>
                    <w:widowControl/>
                    <w:spacing w:line="240" w:lineRule="auto"/>
                    <w:ind w:firstLine="0" w:firstLineChars="0"/>
                    <w:jc w:val="left"/>
                    <w:rPr>
                      <w:rFonts w:hint="eastAsia" w:ascii="Times New Roman" w:hAnsi="Times New Roman" w:eastAsia="宋体" w:cs="Times New Roman"/>
                      <w:color w:val="auto"/>
                      <w:sz w:val="21"/>
                      <w:highlight w:val="none"/>
                      <w:lang w:eastAsia="zh-CN"/>
                    </w:rPr>
                  </w:pPr>
                  <w:r>
                    <w:rPr>
                      <w:rFonts w:hint="eastAsia" w:eastAsia="宋体" w:cs="Times New Roman"/>
                      <w:color w:val="auto"/>
                      <w:sz w:val="21"/>
                      <w:highlight w:val="none"/>
                      <w:lang w:eastAsia="zh-CN"/>
                    </w:rPr>
                    <w:t>大竹县要素重点管控单元</w:t>
                  </w:r>
                </w:p>
              </w:tc>
              <w:tc>
                <w:tcPr>
                  <w:tcW w:w="3407" w:type="dxa"/>
                  <w:vMerge w:val="restart"/>
                  <w:shd w:val="clear" w:color="auto" w:fill="auto"/>
                  <w:noWrap w:val="0"/>
                  <w:vAlign w:val="top"/>
                </w:tcPr>
                <w:p w14:paraId="47A489D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空间布局约束：</w:t>
                  </w:r>
                </w:p>
                <w:p w14:paraId="6BC2934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禁止开发建设活动的要求</w:t>
                  </w:r>
                </w:p>
                <w:p w14:paraId="6723358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-禁止在法律法规规定的禁采区内新建矿山；禁止土法采、选、冶严重污染环境的矿产资源。</w:t>
                  </w:r>
                </w:p>
                <w:p w14:paraId="7A5176EF">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-禁止在长江干流岸线三公里范围内和重要支流岸线一公里范围内新建、改建、扩建尾矿库、冶炼渣库、磷石膏库，以提升安全、生态环境保护水平为目</w:t>
                  </w:r>
                  <w:bookmarkStart w:id="7" w:name="_GoBack"/>
                  <w:bookmarkEnd w:id="7"/>
                  <w:r>
                    <w:rPr>
                      <w:rStyle w:val="13"/>
                      <w:rFonts w:hint="default" w:ascii="Times New Roman" w:hAnsi="Times New Roman" w:eastAsia="宋体" w:cs="Times New Roman"/>
                      <w:color w:val="auto"/>
                      <w:kern w:val="0"/>
                      <w:sz w:val="21"/>
                      <w:szCs w:val="21"/>
                      <w:highlight w:val="none"/>
                      <w:lang w:val="en-US" w:eastAsia="zh-CN" w:bidi="ar-SA"/>
                    </w:rPr>
                    <w:t>的的改建除外。</w:t>
                  </w:r>
                </w:p>
                <w:p w14:paraId="2F158616">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-涉及永久基本农田的区域，除法律规定的重点建设项目选址确实无法避让外，其他任何建设不得占用。</w:t>
                  </w:r>
                </w:p>
                <w:p w14:paraId="60FECA3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-禁止在长江流域河湖管理范围内倾倒、填埋、堆放、弃置、处理固体废物。</w:t>
                  </w:r>
                </w:p>
                <w:p w14:paraId="05AA7D8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-禁止在永久基本农田集中区域和其他需要特别保护的区域选址建设尾矿库、冶炼渣库、磷石膏库。</w:t>
                  </w:r>
                </w:p>
                <w:p w14:paraId="738E04D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限制开发建设活动的要求</w:t>
                  </w:r>
                </w:p>
                <w:p w14:paraId="6DA150BF">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3）严格项目引入政策，严控新建造纸、屠宰、用排水量大的农副产品加工企业等以水污染为主的企业。</w:t>
                  </w:r>
                </w:p>
                <w:p w14:paraId="708EDC9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14:paraId="017858D8">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-大气环境弱扩散区谨慎布局垃圾发电、危废焚烧等以大气污染为主的企业；</w:t>
                  </w:r>
                </w:p>
                <w:p w14:paraId="065D7F3F">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-布局敏感区、弱扩散区严格项目引入政策，严控新建水泥厂、危废焚烧、砖瓦厂、陶瓷厂、混凝土及制品等以大气污染为主的企业。</w:t>
                  </w:r>
                </w:p>
                <w:p w14:paraId="660EF62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-按照相关要求严控水泥新增产能。</w:t>
                  </w:r>
                </w:p>
                <w:p w14:paraId="7A56A00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-严控在长江及主要支流岸线1公里范围内新建石油化工、煤化工、涉磷、造纸、印染、制革等项目。</w:t>
                  </w:r>
                </w:p>
                <w:p w14:paraId="41FB756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-现有工业企业不得新增污染物排放。</w:t>
                  </w:r>
                </w:p>
                <w:p w14:paraId="4A3BBC4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p>
                <w:p w14:paraId="51F70B96">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不符合空间布局要求活动的退出要求</w:t>
                  </w:r>
                </w:p>
                <w:p w14:paraId="3F0FADC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全面取缔禁养区内规模化畜禽养殖场。                                                                       -现有工业企业限期有序退城入园。</w:t>
                  </w:r>
                </w:p>
                <w:p w14:paraId="151C1C8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不断优化长江经济带化工行业空间布局，有效控制化工污染。推进化工企业搬迁入园，加强化工园区基础设施建设。</w:t>
                  </w:r>
                </w:p>
                <w:p w14:paraId="30149A4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2025年全面完成全域内“散乱污”企业整治工作。</w:t>
                  </w:r>
                </w:p>
                <w:p w14:paraId="629D64D9">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针对现有水泥企业，强化污染治理和污染物减排，依法依规整治或搬迁。</w:t>
                  </w:r>
                </w:p>
                <w:p w14:paraId="1D9F80A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对违反资源环境法律法规、规划，污染环境、破坏生态、乱采滥挖的露天矿山，依法予以关闭；对污染治理不规范的露天矿山，依法责令停产整治。对责任主体灭失的露天矿山，加强修复绿化、减尘抑尘。加强矸石山治理。关闭不合理开发的小矿山。   在全市范围深入开展集中整治“散乱污”工业企业，对不符合产业政策和规划布局的，一律责令停产、限期搬迁或关停；</w:t>
                  </w:r>
                </w:p>
                <w:p w14:paraId="63048BF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p>
                <w:p w14:paraId="1EC5BA26">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p>
                <w:p w14:paraId="586E450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其他空间布局约束要求</w:t>
                  </w:r>
                </w:p>
                <w:p w14:paraId="4A97EF0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允许开发建设活动的要求：在不损害生态系统功能的前提下，适度发展旅游、农林牧产品生产和加工、生态农业、休闲农业等产业。</w:t>
                  </w:r>
                </w:p>
                <w:p w14:paraId="792D338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除保护区外开展林下种养殖业。</w:t>
                  </w:r>
                </w:p>
                <w:p w14:paraId="7F1C08E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新建矿山全部达到绿色矿山建设要求，生产矿山加快改造升级，逐步达到要求。</w:t>
                  </w:r>
                </w:p>
                <w:p w14:paraId="6B279CE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污染物排放管控：</w:t>
                  </w:r>
                </w:p>
                <w:p w14:paraId="5D74A678">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允许排放量要求</w:t>
                  </w:r>
                </w:p>
                <w:p w14:paraId="63E494C6">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w:t>
                  </w:r>
                </w:p>
                <w:p w14:paraId="02F81A0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现有源提标升级改造</w:t>
                  </w:r>
                </w:p>
                <w:p w14:paraId="76046913">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加快现有乡镇污水处理设施升级改造，按要求达《城镇污水处理厂污染物排放标准》一级A标后排放。</w:t>
                  </w:r>
                </w:p>
                <w:p w14:paraId="1BCF90D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-在矿产资源开发活动集中区域，废水执行重金属污染物排放特别限值.-火电、水泥、钢铁等行业按相关要求推进大气污染物超低排放和深度治理。</w:t>
                  </w:r>
                </w:p>
                <w:p w14:paraId="04019EBE">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-砖瓦行业实施脱硫、除尘升级改造，污染物排放达到《砖瓦工业大气污染物排放标准》相关要求。</w:t>
                  </w:r>
                </w:p>
                <w:p w14:paraId="1BE12C5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p>
                <w:p w14:paraId="1C5A7EAF">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p>
                <w:p w14:paraId="423D2E6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其他污染物排放管控要求</w:t>
                  </w:r>
                </w:p>
                <w:p w14:paraId="04ADF054">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新增源等量或倍量替代:上一年度水环境质量未完成目标的，新建排放水污染的建设项目按照总量管控要求进行倍量削减替代。</w:t>
                  </w:r>
                </w:p>
                <w:p w14:paraId="3F3525E6">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-上一年度空气质量年平均浓度不达标的城市，建设项目新增相关污染物按照总量管控要求进行倍量削减替代。</w:t>
                  </w:r>
                </w:p>
                <w:p w14:paraId="1CEC4119">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-大气环境重点管控区内，新增大气污染物排放的建设项目实施总量削减替代.</w:t>
                  </w:r>
                </w:p>
                <w:p w14:paraId="3C56394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污染物排放绩效水平准入要求:屠宰项目必须配套污水处理设施或进入城市污水管网。</w:t>
                  </w:r>
                </w:p>
                <w:p w14:paraId="4E4415E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-大气环境重点管控区内加强“高架源”污染治理，深化施工扬尘监管，严格落实“六必须、六不准”管控要求，强化道路施工管控，提高道路清扫机械化和精细化作业水平。</w:t>
                  </w:r>
                </w:p>
                <w:p w14:paraId="4F88271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-到2023年底，力争全市生活垃圾焚烧处理能力占比达60%以上，各县（市）生活垃圾无害化处理率保持95%以上，乡镇及行政村生活垃圾收转运处置体系基本实现全覆盖。</w:t>
                  </w:r>
                </w:p>
                <w:p w14:paraId="05C2751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-到2025年，农药包装废弃物回收率达80%；粮油绿色高质高效示范区、茶叶主产区和现代农业园区农药包装废弃物回收率100%。</w:t>
                  </w:r>
                </w:p>
                <w:p w14:paraId="2EF38073">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-到2025年，全国主要农作物化肥、农药利用率达43%，测土配方施肥技术推广覆盖率保持在90%以上，控制农村面源污染，采取灌排分离等措施控制农田氮磷流失。</w:t>
                  </w:r>
                </w:p>
                <w:p w14:paraId="50402ED9">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14:paraId="78C038CB">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-到2025年，废旧农膜回收利用率达到85%以上。</w:t>
                  </w:r>
                </w:p>
                <w:p w14:paraId="7599D30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2025年：全市水环境质量总体保持优良。纳入国家及省级考核的监测断面优良（达到或优于Ⅲ类）比例保持达100%；32个水环境控制单元水质达到或优于Ⅲ类比例保持为100%；国省重要江河湖泊水功能区达标率保持为100%；地级县级集中式饮用水水源水质达到或优于Ⅲ类比例保持为100%；乡镇集中式饮用水水源水质达到或优于Ⅲ类比例保持为98%；城镇建成区无黑臭水体。</w:t>
                  </w:r>
                </w:p>
                <w:p w14:paraId="08F7EAE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2035年：全市水环境质量总体保持优良。纳入国家及省级考核的监测断面优良（达到或优于Ⅲ类）比例保持为100%；32个水环境控制单元水质达到或优于Ⅲ类比例达到100%；国省重要江河湖泊水功能区达标率保持为100%；地级、县级、乡镇集中式饮用水水源水质达到或优于Ⅲ类比例保持为100%；国省重要江河湖泊水功能区达标率保持为100%；城乡无黑臭水体。</w:t>
                  </w:r>
                </w:p>
                <w:p w14:paraId="66647E4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以州河、铜钵河、明月江、东柳河、双龙河、魏家河（洞耳河）、平滩河（观音河）、石桥河、任市河等农业面源污染较突出的流域为重点，深入推进化肥、农药零增长行动，推广测土配方施肥技术，开展化肥减量增效示范和果菜茶有机肥代替化肥试点，提升科学施肥水平。</w:t>
                  </w:r>
                </w:p>
                <w:p w14:paraId="28EA8444">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--至2022年底，基本实现乡镇污水处理设施全覆盖，配套建设污水收集管网，乡镇污水处理率达到65%。</w:t>
                  </w:r>
                </w:p>
                <w:p w14:paraId="369C34A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-大气污染防治重点区域执行大气污染物执行特别排放限值，严禁新增钢铁、电力、水泥、玻璃、砖瓦、陶瓷、焦化、电解铝、有色等重点行业大气污染物排放。</w:t>
                  </w:r>
                </w:p>
                <w:p w14:paraId="7136FA3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-非金属矿行业绿色矿山建设要求：固体废物妥善处置率应达到100%；选矿废水重复利用率一般达到85%以上。</w:t>
                  </w:r>
                </w:p>
                <w:p w14:paraId="63B347A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环境风险防控：</w:t>
                  </w:r>
                </w:p>
                <w:p w14:paraId="61707A5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联防联控要求</w:t>
                  </w:r>
                </w:p>
                <w:p w14:paraId="6A4CDA6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17EE899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其他环境风险防控要求</w:t>
                  </w:r>
                </w:p>
                <w:p w14:paraId="42768A3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企业环境风险防控要求:工业企业退出用地，须经评估、修复满足相应用地功能后，方可改变用途。</w:t>
                  </w:r>
                </w:p>
                <w:p w14:paraId="6AF809F9">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加强“散乱污”企业环境风险防控。对工业循环用水大户和涉磷企业进行全面排查，建立总磷污染源数据库，实施循环水非磷配方药品替代改造，强化工业循环用水监管和总磷排放控制；从严控制新、改、扩建涉磷项目建设。落实涉磷堆场防渗、防风、防洪措施。</w:t>
                  </w:r>
                </w:p>
                <w:p w14:paraId="7AF3712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w:t>
                  </w:r>
                </w:p>
                <w:p w14:paraId="7F11FC5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用地环境风险防控要求:严禁将城镇生活垃圾、污泥、工业废物直接用作肥料，禁止处理不达标的污泥进入耕地；禁止在农用地排放、倾倒、使用污泥、清淤底泥、尾矿（渣）等可能对土壤造成污染的固体废物。禁止处理不达标的污泥进入耕地。</w:t>
                  </w:r>
                </w:p>
                <w:p w14:paraId="092F3B5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禁止在农用地排放、倾倒、使用污泥、清淤底泥、尾矿（渣）等可能对土壤造成污染的固体废物。</w:t>
                  </w:r>
                </w:p>
                <w:p w14:paraId="7D27E503">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严格控制林地、草地、园地的农药使用量，禁止使用高毒、高残留农药。</w:t>
                  </w:r>
                </w:p>
                <w:p w14:paraId="4D400C3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到2030年，全市受污染耕地安全利用率达到95%以上，污染地块安全利用率达到95%以上。</w:t>
                  </w:r>
                </w:p>
                <w:p w14:paraId="5D9734BE">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资源开发利用效率要求：</w:t>
                  </w:r>
                </w:p>
                <w:p w14:paraId="00A9452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水资源利用总量要求</w:t>
                  </w:r>
                </w:p>
                <w:p w14:paraId="58A70264">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-到2025年，农田灌溉水有效利用系数达到0.57以上。</w:t>
                  </w:r>
                </w:p>
                <w:p w14:paraId="3C12C866">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地下水开采要求</w:t>
                  </w:r>
                </w:p>
                <w:p w14:paraId="02C3B3B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以省市下发指标为准</w:t>
                  </w:r>
                </w:p>
                <w:p w14:paraId="57C6E98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能源利用总量及效率要求</w:t>
                  </w:r>
                </w:p>
                <w:p w14:paraId="6AB87E3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-推进清洁能源的推广使用，全面推进散煤清洁化整治；禁止新建每小时10蒸吨以下的燃煤锅炉及其他燃煤设施。</w:t>
                  </w:r>
                </w:p>
                <w:p w14:paraId="5DD63A2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-禁止焚烧秸秆和垃圾，到2025年底，秸秆综合利用率达到86%以上。</w:t>
                  </w:r>
                </w:p>
                <w:p w14:paraId="5BC3FBA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-实施煤炭消费总量控制：严格控制煤炭消费总量；严格控制新建、改建、扩建耗煤项目，新增耗煤项目实行煤炭消耗减量倍量替代。</w:t>
                  </w:r>
                </w:p>
                <w:p w14:paraId="7E0F0C7E">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p>
                <w:p w14:paraId="27314F8E">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禁燃区要求</w:t>
                  </w:r>
                </w:p>
                <w:p w14:paraId="6642A58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14:paraId="74734193">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-禁燃区内禁止销售、燃用高污染燃料；禁止新建、改建、扩建燃用高污染燃料的设施和设备。</w:t>
                  </w:r>
                </w:p>
                <w:p w14:paraId="4B011FE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-禁燃区内已建成的高污染燃料燃用设施由辖区人民政府制定限期改造计划，改用天然气、页岩气、液化石油气、电或其他清洁能源。</w:t>
                  </w:r>
                </w:p>
                <w:p w14:paraId="5CDCD4D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p>
                <w:p w14:paraId="5689D414">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Style w:val="13"/>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其他资源利用效率要求</w:t>
                  </w:r>
                </w:p>
                <w:p w14:paraId="29DF01F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bidi="ar-SA"/>
                    </w:rPr>
                  </w:pPr>
                  <w:r>
                    <w:rPr>
                      <w:rStyle w:val="13"/>
                      <w:rFonts w:hint="default" w:ascii="Times New Roman" w:hAnsi="Times New Roman" w:eastAsia="宋体" w:cs="Times New Roman"/>
                      <w:color w:val="auto"/>
                      <w:kern w:val="0"/>
                      <w:sz w:val="21"/>
                      <w:szCs w:val="21"/>
                      <w:highlight w:val="none"/>
                      <w:lang w:val="en-US" w:eastAsia="zh-CN" w:bidi="ar-SA"/>
                    </w:rPr>
                    <w:t>△</w:t>
                  </w:r>
                </w:p>
              </w:tc>
              <w:tc>
                <w:tcPr>
                  <w:tcW w:w="587" w:type="dxa"/>
                  <w:shd w:val="clear" w:color="auto" w:fill="auto"/>
                  <w:noWrap w:val="0"/>
                  <w:vAlign w:val="center"/>
                </w:tcPr>
                <w:p w14:paraId="5B45CBD3">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空间布局约束</w:t>
                  </w:r>
                </w:p>
              </w:tc>
              <w:tc>
                <w:tcPr>
                  <w:tcW w:w="2096" w:type="dxa"/>
                  <w:shd w:val="clear" w:color="auto" w:fill="auto"/>
                  <w:noWrap w:val="0"/>
                  <w:vAlign w:val="center"/>
                </w:tcPr>
                <w:p w14:paraId="1D686277">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禁止开发建设活动的要求</w:t>
                  </w:r>
                </w:p>
                <w:p w14:paraId="052B863F">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执行达州市要素重点管控单元总体准入要求</w:t>
                  </w:r>
                </w:p>
                <w:p w14:paraId="34163C02">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限制开发建设活动的要求</w:t>
                  </w:r>
                </w:p>
                <w:p w14:paraId="37A41AE2">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执行达州市要素重点管控单元总体准入要求</w:t>
                  </w:r>
                </w:p>
                <w:p w14:paraId="686F5350">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允许开发建设活动的要求</w:t>
                  </w:r>
                </w:p>
                <w:p w14:paraId="65C559D7">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p w14:paraId="57E33E52">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不符合空间布局要求活动的退出要求</w:t>
                  </w:r>
                </w:p>
                <w:p w14:paraId="4B36E0E3">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它同要素重点总体准入要求</w:t>
                  </w:r>
                </w:p>
                <w:p w14:paraId="535356FD">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其他空间布局约束要求</w:t>
                  </w:r>
                </w:p>
                <w:p w14:paraId="640684AD">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tc>
              <w:tc>
                <w:tcPr>
                  <w:tcW w:w="1062" w:type="dxa"/>
                  <w:noWrap w:val="0"/>
                  <w:vAlign w:val="center"/>
                </w:tcPr>
                <w:p w14:paraId="263A5227">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本项目属于防洪治理工程，不属于相关管控类型</w:t>
                  </w:r>
                </w:p>
              </w:tc>
              <w:tc>
                <w:tcPr>
                  <w:tcW w:w="631" w:type="dxa"/>
                  <w:noWrap w:val="0"/>
                  <w:vAlign w:val="center"/>
                </w:tcPr>
                <w:p w14:paraId="5633972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812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Merge w:val="continue"/>
                  <w:noWrap w:val="0"/>
                  <w:vAlign w:val="center"/>
                </w:tcPr>
                <w:p w14:paraId="704AC945">
                  <w:pPr>
                    <w:spacing w:line="240" w:lineRule="auto"/>
                    <w:ind w:firstLine="420"/>
                    <w:jc w:val="center"/>
                    <w:rPr>
                      <w:rFonts w:hint="default" w:ascii="Times New Roman" w:hAnsi="Times New Roman" w:cs="Times New Roman"/>
                      <w:color w:val="auto"/>
                      <w:sz w:val="21"/>
                      <w:szCs w:val="21"/>
                      <w:highlight w:val="none"/>
                    </w:rPr>
                  </w:pPr>
                </w:p>
              </w:tc>
              <w:tc>
                <w:tcPr>
                  <w:tcW w:w="735" w:type="dxa"/>
                  <w:vMerge w:val="continue"/>
                  <w:noWrap w:val="0"/>
                  <w:vAlign w:val="center"/>
                </w:tcPr>
                <w:p w14:paraId="7AEC36BF">
                  <w:pPr>
                    <w:spacing w:line="240" w:lineRule="auto"/>
                    <w:ind w:firstLine="420"/>
                    <w:jc w:val="center"/>
                    <w:rPr>
                      <w:rFonts w:hint="default" w:ascii="Times New Roman" w:hAnsi="Times New Roman" w:cs="Times New Roman"/>
                      <w:color w:val="auto"/>
                      <w:sz w:val="21"/>
                      <w:szCs w:val="21"/>
                      <w:highlight w:val="none"/>
                    </w:rPr>
                  </w:pPr>
                </w:p>
              </w:tc>
              <w:tc>
                <w:tcPr>
                  <w:tcW w:w="3407" w:type="dxa"/>
                  <w:vMerge w:val="continue"/>
                  <w:noWrap w:val="0"/>
                  <w:vAlign w:val="center"/>
                </w:tcPr>
                <w:p w14:paraId="5D126B96">
                  <w:pPr>
                    <w:spacing w:line="240" w:lineRule="auto"/>
                    <w:ind w:firstLine="420"/>
                    <w:jc w:val="center"/>
                    <w:rPr>
                      <w:rFonts w:hint="default" w:ascii="Times New Roman" w:hAnsi="Times New Roman" w:cs="Times New Roman"/>
                      <w:color w:val="auto"/>
                      <w:sz w:val="21"/>
                      <w:szCs w:val="21"/>
                      <w:highlight w:val="none"/>
                    </w:rPr>
                  </w:pPr>
                </w:p>
              </w:tc>
              <w:tc>
                <w:tcPr>
                  <w:tcW w:w="587" w:type="dxa"/>
                  <w:shd w:val="clear" w:color="auto" w:fill="auto"/>
                  <w:noWrap w:val="0"/>
                  <w:vAlign w:val="center"/>
                </w:tcPr>
                <w:p w14:paraId="1113B117">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污染物排放管控</w:t>
                  </w:r>
                </w:p>
              </w:tc>
              <w:tc>
                <w:tcPr>
                  <w:tcW w:w="2096" w:type="dxa"/>
                  <w:shd w:val="clear" w:color="auto" w:fill="auto"/>
                  <w:noWrap w:val="0"/>
                  <w:vAlign w:val="center"/>
                </w:tcPr>
                <w:p w14:paraId="4F9F4741">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现有源提标升级改造</w:t>
                  </w:r>
                </w:p>
                <w:p w14:paraId="72CC54BE">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同达州市要素重点管控单元总体准入要求</w:t>
                  </w:r>
                </w:p>
                <w:p w14:paraId="157C5E2B">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新增源等量或倍量替代</w:t>
                  </w:r>
                </w:p>
                <w:p w14:paraId="6F916B43">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同达州市要素重点管控单元总体准入要求</w:t>
                  </w:r>
                </w:p>
                <w:p w14:paraId="258D3E3E">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新增源排放标准限值</w:t>
                  </w:r>
                </w:p>
                <w:p w14:paraId="5B125A93">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同达州市要素重点管控单元总体准入要求</w:t>
                  </w:r>
                </w:p>
                <w:p w14:paraId="20460805">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污染物排放绩效水平准入要求</w:t>
                  </w:r>
                </w:p>
                <w:p w14:paraId="00423058">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同达州市要素重点管控单元总体准入要求</w:t>
                  </w:r>
                </w:p>
                <w:p w14:paraId="7DB5110B">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其他污染物排放管控要求</w:t>
                  </w:r>
                </w:p>
                <w:p w14:paraId="6714691C">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tc>
              <w:tc>
                <w:tcPr>
                  <w:tcW w:w="1062" w:type="dxa"/>
                  <w:noWrap w:val="0"/>
                  <w:vAlign w:val="center"/>
                </w:tcPr>
                <w:p w14:paraId="73A0E71E">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本项目属于防洪治理工程，施工废水等经沉淀池处理后用于施工现场洒水降尘，废气仅涉及施工扬尘等，通过洒水降尘的措施处理</w:t>
                  </w:r>
                </w:p>
              </w:tc>
              <w:tc>
                <w:tcPr>
                  <w:tcW w:w="631" w:type="dxa"/>
                  <w:noWrap w:val="0"/>
                  <w:vAlign w:val="center"/>
                </w:tcPr>
                <w:p w14:paraId="203CB9C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B83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Merge w:val="continue"/>
                  <w:noWrap w:val="0"/>
                  <w:vAlign w:val="center"/>
                </w:tcPr>
                <w:p w14:paraId="3F80DD45">
                  <w:pPr>
                    <w:spacing w:line="240" w:lineRule="auto"/>
                    <w:ind w:firstLine="420"/>
                    <w:jc w:val="center"/>
                    <w:rPr>
                      <w:rFonts w:hint="default" w:ascii="Times New Roman" w:hAnsi="Times New Roman" w:cs="Times New Roman"/>
                      <w:color w:val="auto"/>
                      <w:sz w:val="21"/>
                      <w:szCs w:val="21"/>
                      <w:highlight w:val="none"/>
                    </w:rPr>
                  </w:pPr>
                </w:p>
              </w:tc>
              <w:tc>
                <w:tcPr>
                  <w:tcW w:w="735" w:type="dxa"/>
                  <w:vMerge w:val="continue"/>
                  <w:noWrap w:val="0"/>
                  <w:vAlign w:val="center"/>
                </w:tcPr>
                <w:p w14:paraId="379E0839">
                  <w:pPr>
                    <w:spacing w:line="240" w:lineRule="auto"/>
                    <w:ind w:firstLine="420"/>
                    <w:jc w:val="center"/>
                    <w:rPr>
                      <w:rFonts w:hint="default" w:ascii="Times New Roman" w:hAnsi="Times New Roman" w:cs="Times New Roman"/>
                      <w:color w:val="auto"/>
                      <w:sz w:val="21"/>
                      <w:szCs w:val="21"/>
                      <w:highlight w:val="none"/>
                    </w:rPr>
                  </w:pPr>
                </w:p>
              </w:tc>
              <w:tc>
                <w:tcPr>
                  <w:tcW w:w="3407" w:type="dxa"/>
                  <w:vMerge w:val="continue"/>
                  <w:noWrap w:val="0"/>
                  <w:vAlign w:val="center"/>
                </w:tcPr>
                <w:p w14:paraId="581F1B34">
                  <w:pPr>
                    <w:spacing w:line="240" w:lineRule="auto"/>
                    <w:ind w:firstLine="420"/>
                    <w:jc w:val="center"/>
                    <w:rPr>
                      <w:rFonts w:hint="default" w:ascii="Times New Roman" w:hAnsi="Times New Roman" w:cs="Times New Roman"/>
                      <w:color w:val="auto"/>
                      <w:sz w:val="21"/>
                      <w:szCs w:val="21"/>
                      <w:highlight w:val="none"/>
                    </w:rPr>
                  </w:pPr>
                </w:p>
              </w:tc>
              <w:tc>
                <w:tcPr>
                  <w:tcW w:w="587" w:type="dxa"/>
                  <w:shd w:val="clear" w:color="auto" w:fill="auto"/>
                  <w:noWrap w:val="0"/>
                  <w:vAlign w:val="center"/>
                </w:tcPr>
                <w:p w14:paraId="588EB20D">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环境风险防控</w:t>
                  </w:r>
                </w:p>
              </w:tc>
              <w:tc>
                <w:tcPr>
                  <w:tcW w:w="2096" w:type="dxa"/>
                  <w:shd w:val="clear" w:color="auto" w:fill="auto"/>
                  <w:noWrap w:val="0"/>
                  <w:vAlign w:val="center"/>
                </w:tcPr>
                <w:p w14:paraId="0C494EC2">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严格管控类农用地管控要求</w:t>
                  </w:r>
                </w:p>
                <w:p w14:paraId="0CD81D4F">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同达州市要素重点管控单元总体准入要求</w:t>
                  </w:r>
                </w:p>
                <w:p w14:paraId="17FFB565">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安全利用类农用地管控要求</w:t>
                  </w:r>
                </w:p>
                <w:p w14:paraId="62B5886A">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同达州市要素重点管控单元总体准入要求</w:t>
                  </w:r>
                </w:p>
                <w:p w14:paraId="3521799A">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污染地块管控要求</w:t>
                  </w:r>
                </w:p>
                <w:p w14:paraId="0D510334">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同达州市要素重点管控单元总体准入要求</w:t>
                  </w:r>
                </w:p>
                <w:p w14:paraId="7C2711B2">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园区环境风险防控要求</w:t>
                  </w:r>
                </w:p>
                <w:p w14:paraId="5279BD84">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p w14:paraId="26FB58F9">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企业环境风险防控要求</w:t>
                  </w:r>
                </w:p>
                <w:p w14:paraId="54629275">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同达州市要素重点管控单元总体准入要求</w:t>
                  </w:r>
                </w:p>
                <w:p w14:paraId="402B97EF">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其他环境风险防控要求</w:t>
                  </w:r>
                </w:p>
                <w:p w14:paraId="0EE2B368">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w:t>
                  </w:r>
                </w:p>
              </w:tc>
              <w:tc>
                <w:tcPr>
                  <w:tcW w:w="1062" w:type="dxa"/>
                  <w:noWrap w:val="0"/>
                  <w:vAlign w:val="center"/>
                </w:tcPr>
                <w:p w14:paraId="23A83BD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本项目属于防洪治理工程，环境风险可控</w:t>
                  </w:r>
                </w:p>
              </w:tc>
              <w:tc>
                <w:tcPr>
                  <w:tcW w:w="631" w:type="dxa"/>
                  <w:noWrap w:val="0"/>
                  <w:vAlign w:val="center"/>
                </w:tcPr>
                <w:p w14:paraId="06495E4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2241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12" w:type="dxa"/>
                  <w:vMerge w:val="continue"/>
                  <w:noWrap w:val="0"/>
                  <w:vAlign w:val="center"/>
                </w:tcPr>
                <w:p w14:paraId="521043A6">
                  <w:pPr>
                    <w:spacing w:line="240" w:lineRule="auto"/>
                    <w:ind w:firstLine="420"/>
                    <w:jc w:val="center"/>
                    <w:rPr>
                      <w:rFonts w:hint="default" w:ascii="Times New Roman" w:hAnsi="Times New Roman" w:cs="Times New Roman"/>
                      <w:color w:val="auto"/>
                      <w:sz w:val="21"/>
                      <w:szCs w:val="21"/>
                      <w:highlight w:val="none"/>
                    </w:rPr>
                  </w:pPr>
                </w:p>
              </w:tc>
              <w:tc>
                <w:tcPr>
                  <w:tcW w:w="735" w:type="dxa"/>
                  <w:vMerge w:val="continue"/>
                  <w:noWrap w:val="0"/>
                  <w:vAlign w:val="center"/>
                </w:tcPr>
                <w:p w14:paraId="248C0112">
                  <w:pPr>
                    <w:spacing w:line="240" w:lineRule="auto"/>
                    <w:ind w:firstLine="420"/>
                    <w:jc w:val="center"/>
                    <w:rPr>
                      <w:rFonts w:hint="default" w:ascii="Times New Roman" w:hAnsi="Times New Roman" w:cs="Times New Roman"/>
                      <w:color w:val="auto"/>
                      <w:sz w:val="21"/>
                      <w:szCs w:val="21"/>
                      <w:highlight w:val="none"/>
                    </w:rPr>
                  </w:pPr>
                </w:p>
              </w:tc>
              <w:tc>
                <w:tcPr>
                  <w:tcW w:w="3407" w:type="dxa"/>
                  <w:vMerge w:val="continue"/>
                  <w:noWrap w:val="0"/>
                  <w:vAlign w:val="center"/>
                </w:tcPr>
                <w:p w14:paraId="1DEC9B90">
                  <w:pPr>
                    <w:spacing w:line="240" w:lineRule="auto"/>
                    <w:ind w:firstLine="420"/>
                    <w:jc w:val="center"/>
                    <w:rPr>
                      <w:rFonts w:hint="default" w:ascii="Times New Roman" w:hAnsi="Times New Roman" w:cs="Times New Roman"/>
                      <w:color w:val="auto"/>
                      <w:sz w:val="21"/>
                      <w:szCs w:val="21"/>
                      <w:highlight w:val="none"/>
                    </w:rPr>
                  </w:pPr>
                </w:p>
              </w:tc>
              <w:tc>
                <w:tcPr>
                  <w:tcW w:w="587" w:type="dxa"/>
                  <w:shd w:val="clear" w:color="auto" w:fill="auto"/>
                  <w:noWrap w:val="0"/>
                  <w:vAlign w:val="center"/>
                </w:tcPr>
                <w:p w14:paraId="633DF841">
                  <w:pPr>
                    <w:pStyle w:val="17"/>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Times New Roman"/>
                      <w:color w:val="auto"/>
                      <w:kern w:val="2"/>
                      <w:sz w:val="21"/>
                      <w:szCs w:val="21"/>
                      <w:highlight w:val="none"/>
                      <w:lang w:val="en-US" w:eastAsia="zh-CN" w:bidi="ar-SA"/>
                    </w:rPr>
                  </w:pPr>
                  <w:r>
                    <w:rPr>
                      <w:rStyle w:val="13"/>
                      <w:rFonts w:hint="eastAsia" w:ascii="宋体" w:hAnsi="宋体" w:eastAsia="宋体" w:cs="Times New Roman"/>
                      <w:color w:val="auto"/>
                      <w:kern w:val="2"/>
                      <w:sz w:val="21"/>
                      <w:szCs w:val="21"/>
                      <w:highlight w:val="none"/>
                      <w:lang w:val="en-US" w:eastAsia="zh-CN" w:bidi="ar-SA"/>
                    </w:rPr>
                    <w:t>资源开发效率要求</w:t>
                  </w:r>
                </w:p>
              </w:tc>
              <w:tc>
                <w:tcPr>
                  <w:tcW w:w="2096" w:type="dxa"/>
                  <w:shd w:val="clear" w:color="auto" w:fill="auto"/>
                  <w:noWrap w:val="0"/>
                  <w:vAlign w:val="center"/>
                </w:tcPr>
                <w:p w14:paraId="6F73040F">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水资源利用效率要求</w:t>
                  </w:r>
                </w:p>
                <w:p w14:paraId="5B8E2013">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同达州市要素重点管控单元总体准入要求</w:t>
                  </w:r>
                </w:p>
                <w:p w14:paraId="25CC1674">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地下水开采要求</w:t>
                  </w:r>
                </w:p>
                <w:p w14:paraId="5D1BCE06">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同达州市要素重点管控单元总体准入要求</w:t>
                  </w:r>
                </w:p>
                <w:p w14:paraId="10E4392C">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能源利用效率要求</w:t>
                  </w:r>
                </w:p>
                <w:p w14:paraId="204DC7FC">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同达州市要素重点管控单元总体准入要求</w:t>
                  </w:r>
                </w:p>
                <w:p w14:paraId="132443B4">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13"/>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其他资源利用效率要求</w:t>
                  </w:r>
                </w:p>
                <w:p w14:paraId="0F91D2F3">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1"/>
                      <w:szCs w:val="21"/>
                      <w:highlight w:val="none"/>
                      <w:lang w:val="en-US" w:eastAsia="zh-CN" w:bidi="ar-SA"/>
                    </w:rPr>
                  </w:pPr>
                  <w:r>
                    <w:rPr>
                      <w:rStyle w:val="13"/>
                      <w:rFonts w:hint="default" w:ascii="Times New Roman" w:hAnsi="Times New Roman" w:eastAsia="宋体" w:cs="Times New Roman"/>
                      <w:color w:val="auto"/>
                      <w:kern w:val="2"/>
                      <w:sz w:val="21"/>
                      <w:szCs w:val="21"/>
                      <w:highlight w:val="none"/>
                      <w:lang w:val="en-US" w:eastAsia="zh-CN" w:bidi="ar-SA"/>
                    </w:rPr>
                    <w:t>禁燃区要求：同达州市要素重点总体准入要求</w:t>
                  </w:r>
                </w:p>
              </w:tc>
              <w:tc>
                <w:tcPr>
                  <w:tcW w:w="1062" w:type="dxa"/>
                  <w:noWrap w:val="0"/>
                  <w:vAlign w:val="center"/>
                </w:tcPr>
                <w:p w14:paraId="726B8AAD">
                  <w:pPr>
                    <w:pStyle w:val="17"/>
                    <w:widowControl/>
                    <w:shd w:val="clear" w:color="auto" w:fill="FFFFFF"/>
                    <w:spacing w:line="240" w:lineRule="auto"/>
                    <w:ind w:firstLine="0" w:firstLineChars="0"/>
                    <w:jc w:val="center"/>
                    <w:rPr>
                      <w:rFonts w:hint="default" w:ascii="Times New Roman" w:hAnsi="Times New Roman" w:eastAsia="宋体" w:cs="Times New Roman"/>
                      <w:color w:val="auto"/>
                      <w:spacing w:val="-10"/>
                      <w:sz w:val="21"/>
                      <w:highlight w:val="none"/>
                    </w:rPr>
                  </w:pPr>
                  <w:r>
                    <w:rPr>
                      <w:rFonts w:hint="default" w:ascii="Times New Roman" w:hAnsi="Times New Roman" w:eastAsia="宋体" w:cs="Times New Roman"/>
                      <w:color w:val="auto"/>
                      <w:spacing w:val="-10"/>
                      <w:sz w:val="21"/>
                      <w:highlight w:val="none"/>
                    </w:rPr>
                    <w:t>项目不涉及</w:t>
                  </w:r>
                </w:p>
              </w:tc>
              <w:tc>
                <w:tcPr>
                  <w:tcW w:w="631" w:type="dxa"/>
                  <w:noWrap w:val="0"/>
                  <w:vAlign w:val="center"/>
                </w:tcPr>
                <w:p w14:paraId="2BC9DA2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6406E2AF">
            <w:pPr>
              <w:ind w:firstLine="480"/>
              <w:rPr>
                <w:rFonts w:hint="default" w:ascii="Times New Roman" w:hAnsi="Times New Roman" w:cs="Times New Roman"/>
                <w:b/>
                <w:bCs/>
                <w:color w:val="auto"/>
                <w:highlight w:val="none"/>
              </w:rPr>
            </w:pPr>
            <w:r>
              <w:rPr>
                <w:rFonts w:hint="default" w:ascii="Times New Roman" w:hAnsi="Times New Roman" w:cs="Times New Roman"/>
                <w:color w:val="auto"/>
                <w:highlight w:val="none"/>
              </w:rPr>
              <w:t>由上表可知，本项目符合环境管控单元的相关要求。</w:t>
            </w:r>
          </w:p>
          <w:p w14:paraId="1CABD619">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1.4 与《中华人民共和国河道管理条例》相符性分析</w:t>
            </w:r>
          </w:p>
          <w:p w14:paraId="6915490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中华人民共和国河道管理条例》相关条款规定如下：第十一条：修建开发水利、防治水害、整治河道的各类工程和跨河、穿河、穿堤、临河的桥梁、码头、道路、渡口、管道、缆线等建筑物及设施，建设单位必须按照河道管理权限，将工程建设方案报送河道主管机关审查同意。未经河道主管机关审查同意的，建设单位不得开工建设。建设项目经批准后，建设单位应当将施工安排告知河道主管机关；第二十四条：在河道管理范围内，禁止修建围堤、阻水渠道、阻水道路；种植高秆农作物、芦苇、杨柳、荻柴和树木（堤防防护林除外）；设置拦河渔具；弃置矿渣、石渣、煤灰、泥土、垃圾等。第二十八条：加强河道滩地、堤防和河岸的水土保持工作，防止水土流失、河道淤积。第三十五条：在河道管理范围内，禁止堆放、倾倒、掩埋、排放污染水体的物体。禁止在河道内清洗装贮过油类或者有毒污染物的车辆、容器。</w:t>
            </w:r>
          </w:p>
          <w:p w14:paraId="5C646F83">
            <w:pPr>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本项目为防洪治理工程，工程内容包括堤防工程、河道清淤等工程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工程实施后，有效防止河道两岸水土流失、河道积淤等现象。在工程施工过程中做好施工管理，严禁施工人员向河道内倾倒垃圾、在河道内清洗车辆及施工机械等措施</w:t>
            </w:r>
            <w:r>
              <w:rPr>
                <w:rFonts w:hint="default" w:ascii="Times New Roman" w:hAnsi="Times New Roman" w:cs="Times New Roman"/>
                <w:bCs/>
                <w:color w:val="auto"/>
                <w:sz w:val="24"/>
                <w:szCs w:val="32"/>
                <w:highlight w:val="none"/>
                <w:lang w:val="en-US" w:eastAsia="zh-CN"/>
              </w:rPr>
              <w:t>。</w:t>
            </w:r>
          </w:p>
          <w:p w14:paraId="4403847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综上，本项目符合《中华人民共和国河道管理条例》相关要求。</w:t>
            </w:r>
          </w:p>
          <w:p w14:paraId="23157A85">
            <w:pPr>
              <w:ind w:firstLine="0" w:firstLineChars="0"/>
              <w:rPr>
                <w:rFonts w:hint="default" w:ascii="Times New Roman" w:hAnsi="Times New Roman" w:cs="Times New Roman"/>
                <w:b/>
                <w:bCs/>
                <w:color w:val="auto"/>
                <w:kern w:val="24"/>
                <w:highlight w:val="none"/>
              </w:rPr>
            </w:pPr>
            <w:r>
              <w:rPr>
                <w:rFonts w:hint="default" w:ascii="Times New Roman" w:hAnsi="Times New Roman" w:cs="Times New Roman"/>
                <w:b/>
                <w:bCs/>
                <w:color w:val="auto"/>
                <w:kern w:val="24"/>
                <w:highlight w:val="none"/>
              </w:rPr>
              <w:t>1.5 与《中华人民共和国长江保护法》符合性分析</w:t>
            </w:r>
          </w:p>
          <w:p w14:paraId="21328531">
            <w:pPr>
              <w:pStyle w:val="18"/>
              <w:spacing w:line="360" w:lineRule="auto"/>
              <w:ind w:firstLine="480"/>
              <w:rPr>
                <w:rFonts w:hint="eastAsia" w:hAnsi="Times New Roman"/>
                <w:b w:val="0"/>
                <w:color w:val="auto"/>
                <w:highlight w:val="none"/>
              </w:rPr>
            </w:pPr>
            <w:r>
              <w:rPr>
                <w:rFonts w:hint="eastAsia" w:hAnsi="Times New Roman"/>
                <w:b w:val="0"/>
                <w:color w:val="auto"/>
                <w:highlight w:val="none"/>
              </w:rPr>
              <w:t>项目与《中华人民共和国长江保护法》符合性分析，见表1</w:t>
            </w:r>
            <w:r>
              <w:rPr>
                <w:rFonts w:hAnsi="Times New Roman"/>
                <w:b w:val="0"/>
                <w:color w:val="auto"/>
                <w:highlight w:val="none"/>
              </w:rPr>
              <w:t>.</w:t>
            </w:r>
            <w:r>
              <w:rPr>
                <w:rFonts w:hint="eastAsia" w:hAnsi="Times New Roman"/>
                <w:b w:val="0"/>
                <w:color w:val="auto"/>
                <w:highlight w:val="none"/>
                <w:lang w:val="en-US" w:eastAsia="zh-CN"/>
              </w:rPr>
              <w:t>5</w:t>
            </w:r>
            <w:r>
              <w:rPr>
                <w:rFonts w:hint="eastAsia" w:hAnsi="Times New Roman"/>
                <w:b w:val="0"/>
                <w:color w:val="auto"/>
                <w:highlight w:val="none"/>
              </w:rPr>
              <w:t>-</w:t>
            </w:r>
            <w:r>
              <w:rPr>
                <w:rFonts w:hAnsi="Times New Roman"/>
                <w:b w:val="0"/>
                <w:color w:val="auto"/>
                <w:highlight w:val="none"/>
              </w:rPr>
              <w:t>1</w:t>
            </w:r>
            <w:r>
              <w:rPr>
                <w:rFonts w:hint="eastAsia" w:hAnsi="Times New Roman"/>
                <w:b w:val="0"/>
                <w:color w:val="auto"/>
                <w:highlight w:val="none"/>
              </w:rPr>
              <w:t>。</w:t>
            </w:r>
          </w:p>
          <w:p w14:paraId="418E0C11">
            <w:pPr>
              <w:pStyle w:val="20"/>
              <w:spacing w:before="0" w:beforeLines="0"/>
              <w:rPr>
                <w:rFonts w:hint="eastAsia"/>
                <w:color w:val="auto"/>
                <w:sz w:val="24"/>
                <w:szCs w:val="24"/>
                <w:highlight w:val="none"/>
              </w:rPr>
            </w:pPr>
            <w:r>
              <w:rPr>
                <w:rFonts w:hint="eastAsia"/>
                <w:color w:val="auto"/>
                <w:sz w:val="24"/>
                <w:szCs w:val="24"/>
                <w:highlight w:val="none"/>
              </w:rPr>
              <w:t>表1</w:t>
            </w:r>
            <w:r>
              <w:rPr>
                <w:color w:val="auto"/>
                <w:sz w:val="24"/>
                <w:szCs w:val="24"/>
                <w:highlight w:val="none"/>
              </w:rPr>
              <w:t>.</w:t>
            </w:r>
            <w:r>
              <w:rPr>
                <w:rFonts w:hint="eastAsia"/>
                <w:color w:val="auto"/>
                <w:sz w:val="24"/>
                <w:szCs w:val="24"/>
                <w:highlight w:val="none"/>
                <w:lang w:val="en-US" w:eastAsia="zh-CN"/>
              </w:rPr>
              <w:t>5</w:t>
            </w:r>
            <w:r>
              <w:rPr>
                <w:rFonts w:hint="eastAsia"/>
                <w:color w:val="auto"/>
                <w:sz w:val="24"/>
                <w:szCs w:val="24"/>
                <w:highlight w:val="none"/>
              </w:rPr>
              <w:t>-</w:t>
            </w:r>
            <w:r>
              <w:rPr>
                <w:color w:val="auto"/>
                <w:sz w:val="24"/>
                <w:szCs w:val="24"/>
                <w:highlight w:val="none"/>
              </w:rPr>
              <w:t xml:space="preserve">1  </w:t>
            </w:r>
            <w:r>
              <w:rPr>
                <w:rFonts w:hint="eastAsia"/>
                <w:color w:val="auto"/>
                <w:sz w:val="24"/>
                <w:szCs w:val="24"/>
                <w:highlight w:val="none"/>
              </w:rPr>
              <w:t>与《中华人民共和国长江保护法》相符性一览表</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846"/>
              <w:gridCol w:w="6032"/>
              <w:gridCol w:w="1329"/>
              <w:gridCol w:w="511"/>
            </w:tblGrid>
            <w:tr w14:paraId="7BC0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shd w:val="clear" w:color="auto" w:fill="auto"/>
                  <w:noWrap w:val="0"/>
                  <w:vAlign w:val="center"/>
                </w:tcPr>
                <w:p w14:paraId="0A201EC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b/>
                      <w:bCs/>
                      <w:color w:val="auto"/>
                      <w:sz w:val="21"/>
                      <w:szCs w:val="21"/>
                      <w:highlight w:val="none"/>
                    </w:rPr>
                  </w:pPr>
                  <w:r>
                    <w:rPr>
                      <w:rFonts w:hint="eastAsia"/>
                      <w:b/>
                      <w:bCs/>
                      <w:color w:val="auto"/>
                      <w:sz w:val="21"/>
                      <w:szCs w:val="21"/>
                      <w:highlight w:val="none"/>
                    </w:rPr>
                    <w:t>序号</w:t>
                  </w:r>
                </w:p>
              </w:tc>
              <w:tc>
                <w:tcPr>
                  <w:tcW w:w="3725" w:type="pct"/>
                  <w:gridSpan w:val="2"/>
                  <w:shd w:val="clear" w:color="auto" w:fill="auto"/>
                  <w:noWrap w:val="0"/>
                  <w:vAlign w:val="center"/>
                </w:tcPr>
                <w:p w14:paraId="0C0D2773">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保护法内容</w:t>
                  </w:r>
                </w:p>
              </w:tc>
              <w:tc>
                <w:tcPr>
                  <w:tcW w:w="720" w:type="pct"/>
                  <w:shd w:val="clear" w:color="auto" w:fill="auto"/>
                  <w:noWrap w:val="0"/>
                  <w:vAlign w:val="center"/>
                </w:tcPr>
                <w:p w14:paraId="2D22D62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b/>
                      <w:bCs/>
                      <w:color w:val="auto"/>
                      <w:sz w:val="21"/>
                      <w:szCs w:val="21"/>
                      <w:highlight w:val="none"/>
                    </w:rPr>
                  </w:pPr>
                  <w:r>
                    <w:rPr>
                      <w:rFonts w:hint="eastAsia"/>
                      <w:b/>
                      <w:bCs/>
                      <w:color w:val="auto"/>
                      <w:sz w:val="21"/>
                      <w:szCs w:val="21"/>
                      <w:highlight w:val="none"/>
                    </w:rPr>
                    <w:t>本项目</w:t>
                  </w:r>
                </w:p>
              </w:tc>
              <w:tc>
                <w:tcPr>
                  <w:tcW w:w="277" w:type="pct"/>
                  <w:shd w:val="clear" w:color="auto" w:fill="auto"/>
                  <w:noWrap w:val="0"/>
                  <w:vAlign w:val="center"/>
                </w:tcPr>
                <w:p w14:paraId="639D71C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b/>
                      <w:bCs/>
                      <w:color w:val="auto"/>
                      <w:sz w:val="21"/>
                      <w:szCs w:val="21"/>
                      <w:highlight w:val="none"/>
                    </w:rPr>
                  </w:pPr>
                  <w:r>
                    <w:rPr>
                      <w:rFonts w:hint="eastAsia"/>
                      <w:b/>
                      <w:bCs/>
                      <w:color w:val="auto"/>
                      <w:sz w:val="21"/>
                      <w:szCs w:val="21"/>
                      <w:highlight w:val="none"/>
                    </w:rPr>
                    <w:t>符合性</w:t>
                  </w:r>
                </w:p>
              </w:tc>
            </w:tr>
            <w:tr w14:paraId="7F4B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shd w:val="clear" w:color="auto" w:fill="auto"/>
                  <w:noWrap w:val="0"/>
                  <w:vAlign w:val="center"/>
                </w:tcPr>
                <w:p w14:paraId="0BB91E8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color w:val="auto"/>
                      <w:sz w:val="21"/>
                      <w:szCs w:val="21"/>
                      <w:highlight w:val="none"/>
                    </w:rPr>
                  </w:pPr>
                  <w:r>
                    <w:rPr>
                      <w:rFonts w:hint="eastAsia"/>
                      <w:color w:val="auto"/>
                      <w:sz w:val="21"/>
                      <w:szCs w:val="21"/>
                      <w:highlight w:val="none"/>
                    </w:rPr>
                    <w:t>1</w:t>
                  </w:r>
                </w:p>
              </w:tc>
              <w:tc>
                <w:tcPr>
                  <w:tcW w:w="458" w:type="pct"/>
                  <w:shd w:val="clear" w:color="auto" w:fill="auto"/>
                  <w:noWrap w:val="0"/>
                  <w:vAlign w:val="center"/>
                </w:tcPr>
                <w:p w14:paraId="6A769BB1">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第二十六条</w:t>
                  </w:r>
                </w:p>
              </w:tc>
              <w:tc>
                <w:tcPr>
                  <w:tcW w:w="3267" w:type="pct"/>
                  <w:shd w:val="clear" w:color="auto" w:fill="auto"/>
                  <w:noWrap w:val="0"/>
                  <w:vAlign w:val="center"/>
                </w:tcPr>
                <w:p w14:paraId="7F09104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rPr>
                  </w:pPr>
                  <w:r>
                    <w:rPr>
                      <w:rFonts w:hint="eastAsia"/>
                      <w:color w:val="auto"/>
                      <w:sz w:val="21"/>
                      <w:szCs w:val="21"/>
                      <w:highlight w:val="none"/>
                    </w:rPr>
                    <w:t>国家对长江流域河湖岸线实施特殊管制。国家长江流域协调机制统筹协调国务院自然资源、水行政、生态环境、住房和城乡建设、农业农村、交通运输、林非和草原等部门和长江流域省级人民政府划定河湖岸线保护范围，制定河湖岸线保护规划。严格控制岸线开发建设，促进岸线合理高效利用。禁止在长江干支流岸线一公里范围内新建、扩建化工园区和化工项目。</w:t>
                  </w:r>
                </w:p>
                <w:p w14:paraId="04BA0A3E">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rPr>
                  </w:pPr>
                  <w:r>
                    <w:rPr>
                      <w:rFonts w:hint="eastAsia"/>
                      <w:color w:val="auto"/>
                      <w:sz w:val="21"/>
                      <w:szCs w:val="21"/>
                      <w:highlight w:val="none"/>
                    </w:rPr>
                    <w:t>禁止在长江干流岸线三公里范围内和重要支流岸线一公里范围内新建、改建、扩建尾矿库；但是以提升安全、生态环境保护水平为目的的改建除外。</w:t>
                  </w:r>
                </w:p>
              </w:tc>
              <w:tc>
                <w:tcPr>
                  <w:tcW w:w="720" w:type="pct"/>
                  <w:shd w:val="clear" w:color="auto" w:fill="auto"/>
                  <w:noWrap w:val="0"/>
                  <w:vAlign w:val="center"/>
                </w:tcPr>
                <w:p w14:paraId="6932FF4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rPr>
                  </w:pPr>
                  <w:r>
                    <w:rPr>
                      <w:rFonts w:hint="eastAsia"/>
                      <w:color w:val="auto"/>
                      <w:sz w:val="21"/>
                      <w:szCs w:val="21"/>
                      <w:highlight w:val="none"/>
                    </w:rPr>
                    <w:t>本项目为</w:t>
                  </w:r>
                  <w:r>
                    <w:rPr>
                      <w:rFonts w:hint="eastAsia"/>
                      <w:color w:val="auto"/>
                      <w:kern w:val="0"/>
                      <w:sz w:val="21"/>
                      <w:szCs w:val="21"/>
                      <w:highlight w:val="none"/>
                    </w:rPr>
                    <w:t>防洪除涝</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河湖整治</w:t>
                  </w:r>
                  <w:r>
                    <w:rPr>
                      <w:rFonts w:hint="eastAsia"/>
                      <w:color w:val="auto"/>
                      <w:kern w:val="0"/>
                      <w:sz w:val="21"/>
                      <w:szCs w:val="21"/>
                      <w:highlight w:val="none"/>
                    </w:rPr>
                    <w:t>工程项目</w:t>
                  </w:r>
                  <w:r>
                    <w:rPr>
                      <w:rFonts w:hint="eastAsia"/>
                      <w:color w:val="auto"/>
                      <w:sz w:val="21"/>
                      <w:szCs w:val="21"/>
                      <w:highlight w:val="none"/>
                    </w:rPr>
                    <w:t>，属于非污染型生态类项目，可以有效改善水环境</w:t>
                  </w:r>
                </w:p>
              </w:tc>
              <w:tc>
                <w:tcPr>
                  <w:tcW w:w="277" w:type="pct"/>
                  <w:shd w:val="clear" w:color="auto" w:fill="auto"/>
                  <w:noWrap w:val="0"/>
                  <w:vAlign w:val="center"/>
                </w:tcPr>
                <w:p w14:paraId="5D955A5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left"/>
                    <w:textAlignment w:val="auto"/>
                    <w:rPr>
                      <w:rFonts w:hint="eastAsia"/>
                      <w:color w:val="auto"/>
                      <w:sz w:val="21"/>
                      <w:szCs w:val="21"/>
                      <w:highlight w:val="none"/>
                    </w:rPr>
                  </w:pPr>
                  <w:r>
                    <w:rPr>
                      <w:rFonts w:hint="eastAsia"/>
                      <w:color w:val="auto"/>
                      <w:sz w:val="21"/>
                      <w:szCs w:val="21"/>
                      <w:highlight w:val="none"/>
                    </w:rPr>
                    <w:t>符合</w:t>
                  </w:r>
                </w:p>
              </w:tc>
            </w:tr>
            <w:tr w14:paraId="6974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shd w:val="clear" w:color="auto" w:fill="auto"/>
                  <w:noWrap w:val="0"/>
                  <w:vAlign w:val="center"/>
                </w:tcPr>
                <w:p w14:paraId="6E11DC2D">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color w:val="auto"/>
                      <w:sz w:val="21"/>
                      <w:szCs w:val="21"/>
                      <w:highlight w:val="none"/>
                    </w:rPr>
                  </w:pPr>
                  <w:r>
                    <w:rPr>
                      <w:rFonts w:hint="eastAsia"/>
                      <w:color w:val="auto"/>
                      <w:sz w:val="21"/>
                      <w:szCs w:val="21"/>
                      <w:highlight w:val="none"/>
                    </w:rPr>
                    <w:t>2</w:t>
                  </w:r>
                </w:p>
              </w:tc>
              <w:tc>
                <w:tcPr>
                  <w:tcW w:w="458" w:type="pct"/>
                  <w:shd w:val="clear" w:color="auto" w:fill="auto"/>
                  <w:noWrap w:val="0"/>
                  <w:vAlign w:val="center"/>
                </w:tcPr>
                <w:p w14:paraId="10D6BE1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第四十七条</w:t>
                  </w:r>
                </w:p>
              </w:tc>
              <w:tc>
                <w:tcPr>
                  <w:tcW w:w="3267" w:type="pct"/>
                  <w:shd w:val="clear" w:color="auto" w:fill="auto"/>
                  <w:noWrap w:val="0"/>
                  <w:vAlign w:val="center"/>
                </w:tcPr>
                <w:p w14:paraId="10654E5B">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rPr>
                  </w:pPr>
                  <w:r>
                    <w:rPr>
                      <w:rFonts w:hint="eastAsia"/>
                      <w:color w:val="auto"/>
                      <w:sz w:val="21"/>
                      <w:szCs w:val="21"/>
                      <w:highlight w:val="none"/>
                    </w:rPr>
                    <w:t>长江流域县级以上地方人民政府应当统筹长江流域城乡污水集中处理设施及配套管网建设，并保障其正常运行，提高城乡污水收集处理能力。</w:t>
                  </w:r>
                </w:p>
                <w:p w14:paraId="62CB0196">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rPr>
                  </w:pPr>
                  <w:r>
                    <w:rPr>
                      <w:rFonts w:hint="eastAsia"/>
                      <w:color w:val="auto"/>
                      <w:sz w:val="21"/>
                      <w:szCs w:val="21"/>
                      <w:highlight w:val="none"/>
                    </w:rPr>
                    <w:t>长江流域县级以上地方人民政府应当组织对本行政区域的江河、湖泊排污口开展排查整治，明确责任主体，实施分类管理。</w:t>
                  </w:r>
                </w:p>
                <w:p w14:paraId="4D9B6BA7">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rPr>
                  </w:pPr>
                  <w:r>
                    <w:rPr>
                      <w:rFonts w:hint="eastAsia"/>
                      <w:color w:val="auto"/>
                      <w:sz w:val="21"/>
                      <w:szCs w:val="21"/>
                      <w:highlight w:val="none"/>
                    </w:rPr>
                    <w:t>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720" w:type="pct"/>
                  <w:shd w:val="clear" w:color="auto" w:fill="auto"/>
                  <w:noWrap w:val="0"/>
                  <w:vAlign w:val="center"/>
                </w:tcPr>
                <w:p w14:paraId="0F2D4CF9">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rPr>
                  </w:pPr>
                  <w:r>
                    <w:rPr>
                      <w:rFonts w:hint="eastAsia"/>
                      <w:color w:val="auto"/>
                      <w:sz w:val="21"/>
                      <w:szCs w:val="21"/>
                      <w:highlight w:val="none"/>
                    </w:rPr>
                    <w:t>本项目施工废水经沉淀处理后回用，不单独设置污水排放口。</w:t>
                  </w:r>
                </w:p>
              </w:tc>
              <w:tc>
                <w:tcPr>
                  <w:tcW w:w="277" w:type="pct"/>
                  <w:shd w:val="clear" w:color="auto" w:fill="auto"/>
                  <w:noWrap w:val="0"/>
                  <w:vAlign w:val="center"/>
                </w:tcPr>
                <w:p w14:paraId="78A47AF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left"/>
                    <w:textAlignment w:val="auto"/>
                    <w:rPr>
                      <w:rFonts w:hint="eastAsia"/>
                      <w:color w:val="auto"/>
                      <w:sz w:val="21"/>
                      <w:szCs w:val="21"/>
                      <w:highlight w:val="none"/>
                    </w:rPr>
                  </w:pPr>
                  <w:r>
                    <w:rPr>
                      <w:rFonts w:hint="eastAsia"/>
                      <w:color w:val="auto"/>
                      <w:sz w:val="21"/>
                      <w:szCs w:val="21"/>
                      <w:highlight w:val="none"/>
                    </w:rPr>
                    <w:t>符合</w:t>
                  </w:r>
                </w:p>
              </w:tc>
            </w:tr>
            <w:tr w14:paraId="4AB3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shd w:val="clear" w:color="auto" w:fill="auto"/>
                  <w:noWrap w:val="0"/>
                  <w:vAlign w:val="center"/>
                </w:tcPr>
                <w:p w14:paraId="14EDA6B0">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color w:val="auto"/>
                      <w:sz w:val="21"/>
                      <w:szCs w:val="21"/>
                      <w:highlight w:val="none"/>
                    </w:rPr>
                  </w:pPr>
                  <w:r>
                    <w:rPr>
                      <w:rFonts w:hint="eastAsia"/>
                      <w:color w:val="auto"/>
                      <w:sz w:val="21"/>
                      <w:szCs w:val="21"/>
                      <w:highlight w:val="none"/>
                    </w:rPr>
                    <w:t>3</w:t>
                  </w:r>
                </w:p>
              </w:tc>
              <w:tc>
                <w:tcPr>
                  <w:tcW w:w="458" w:type="pct"/>
                  <w:shd w:val="clear" w:color="auto" w:fill="auto"/>
                  <w:noWrap w:val="0"/>
                  <w:vAlign w:val="center"/>
                </w:tcPr>
                <w:p w14:paraId="72710522">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第四十九条</w:t>
                  </w:r>
                </w:p>
              </w:tc>
              <w:tc>
                <w:tcPr>
                  <w:tcW w:w="3267" w:type="pct"/>
                  <w:shd w:val="clear" w:color="auto" w:fill="auto"/>
                  <w:noWrap w:val="0"/>
                  <w:vAlign w:val="center"/>
                </w:tcPr>
                <w:p w14:paraId="1BB6074C">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rPr>
                  </w:pPr>
                  <w:r>
                    <w:rPr>
                      <w:rFonts w:hint="eastAsia"/>
                      <w:color w:val="auto"/>
                      <w:sz w:val="21"/>
                      <w:szCs w:val="21"/>
                      <w:highlight w:val="none"/>
                    </w:rPr>
                    <w:t>禁止在长江流域河湖管理范围内倾倒、填埋、堆放、弃置、处理固体废物。长江流域县级以上地方人民政府应当加强对固体废物非法转移和倾倒的联防联控。</w:t>
                  </w:r>
                </w:p>
              </w:tc>
              <w:tc>
                <w:tcPr>
                  <w:tcW w:w="720" w:type="pct"/>
                  <w:shd w:val="clear" w:color="auto" w:fill="auto"/>
                  <w:noWrap w:val="0"/>
                  <w:vAlign w:val="center"/>
                </w:tcPr>
                <w:p w14:paraId="7EA07E15">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rPr>
                  </w:pPr>
                  <w:r>
                    <w:rPr>
                      <w:rFonts w:hint="eastAsia"/>
                      <w:color w:val="auto"/>
                      <w:sz w:val="21"/>
                      <w:szCs w:val="21"/>
                      <w:highlight w:val="none"/>
                    </w:rPr>
                    <w:t>本项目固废分类暂存并按要求处置。</w:t>
                  </w:r>
                </w:p>
              </w:tc>
              <w:tc>
                <w:tcPr>
                  <w:tcW w:w="277" w:type="pct"/>
                  <w:shd w:val="clear" w:color="auto" w:fill="auto"/>
                  <w:noWrap w:val="0"/>
                  <w:vAlign w:val="center"/>
                </w:tcPr>
                <w:p w14:paraId="30B8F58A">
                  <w:pPr>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left"/>
                    <w:textAlignment w:val="auto"/>
                    <w:rPr>
                      <w:rFonts w:hint="eastAsia"/>
                      <w:color w:val="auto"/>
                      <w:sz w:val="21"/>
                      <w:szCs w:val="21"/>
                      <w:highlight w:val="none"/>
                    </w:rPr>
                  </w:pPr>
                  <w:r>
                    <w:rPr>
                      <w:rFonts w:hint="eastAsia"/>
                      <w:color w:val="auto"/>
                      <w:sz w:val="21"/>
                      <w:szCs w:val="21"/>
                      <w:highlight w:val="none"/>
                    </w:rPr>
                    <w:t>符合</w:t>
                  </w:r>
                </w:p>
              </w:tc>
            </w:tr>
          </w:tbl>
          <w:p w14:paraId="20B19654">
            <w:pPr>
              <w:ind w:firstLine="480"/>
              <w:rPr>
                <w:rFonts w:hint="default" w:ascii="Times New Roman" w:hAnsi="Times New Roman" w:cs="Times New Roman"/>
                <w:color w:val="auto"/>
                <w:highlight w:val="none"/>
              </w:rPr>
            </w:pPr>
            <w:r>
              <w:rPr>
                <w:color w:val="auto"/>
                <w:sz w:val="24"/>
                <w:highlight w:val="none"/>
              </w:rPr>
              <w:t>根据上表可知，本项目建设与</w:t>
            </w:r>
            <w:r>
              <w:rPr>
                <w:rFonts w:hint="eastAsia"/>
                <w:color w:val="auto"/>
                <w:sz w:val="24"/>
                <w:highlight w:val="none"/>
              </w:rPr>
              <w:t>《中华人民共和国长江保护法》</w:t>
            </w:r>
            <w:r>
              <w:rPr>
                <w:color w:val="auto"/>
                <w:sz w:val="24"/>
                <w:highlight w:val="none"/>
              </w:rPr>
              <w:t>相符合。</w:t>
            </w:r>
          </w:p>
          <w:p w14:paraId="6CEA9A04">
            <w:pPr>
              <w:ind w:firstLine="0" w:firstLineChars="0"/>
              <w:rPr>
                <w:rFonts w:hint="default" w:ascii="Times New Roman" w:hAnsi="Times New Roman" w:cs="Times New Roman"/>
                <w:b/>
                <w:bCs/>
                <w:color w:val="auto"/>
                <w:kern w:val="24"/>
                <w:highlight w:val="none"/>
              </w:rPr>
            </w:pPr>
            <w:r>
              <w:rPr>
                <w:rFonts w:hint="default" w:ascii="Times New Roman" w:hAnsi="Times New Roman" w:cs="Times New Roman"/>
                <w:b/>
                <w:bCs/>
                <w:color w:val="auto"/>
                <w:kern w:val="24"/>
                <w:highlight w:val="none"/>
              </w:rPr>
              <w:t>1.6 与《四川省嘉陵江流域生态环境保护条例》符合性分析</w:t>
            </w:r>
          </w:p>
          <w:p w14:paraId="21D13D55">
            <w:pPr>
              <w:spacing w:line="360" w:lineRule="auto"/>
              <w:ind w:firstLine="480" w:firstLineChars="200"/>
              <w:rPr>
                <w:color w:val="auto"/>
                <w:sz w:val="24"/>
                <w:highlight w:val="none"/>
              </w:rPr>
            </w:pPr>
            <w:r>
              <w:rPr>
                <w:rFonts w:hint="eastAsia"/>
                <w:color w:val="auto"/>
                <w:sz w:val="24"/>
                <w:highlight w:val="none"/>
              </w:rPr>
              <w:t>本项目与《四川省嘉陵江流域生态环境保护条例》中相关要求的符合性分析，详见表1</w:t>
            </w:r>
            <w:r>
              <w:rPr>
                <w:color w:val="auto"/>
                <w:sz w:val="24"/>
                <w:highlight w:val="none"/>
              </w:rPr>
              <w:t>.6-1</w:t>
            </w:r>
            <w:r>
              <w:rPr>
                <w:rFonts w:hint="eastAsia"/>
                <w:color w:val="auto"/>
                <w:sz w:val="24"/>
                <w:highlight w:val="none"/>
              </w:rPr>
              <w:t>。</w:t>
            </w:r>
          </w:p>
          <w:p w14:paraId="2DF5B476">
            <w:pPr>
              <w:jc w:val="center"/>
              <w:rPr>
                <w:b/>
                <w:color w:val="auto"/>
                <w:sz w:val="24"/>
                <w:highlight w:val="none"/>
              </w:rPr>
            </w:pPr>
            <w:r>
              <w:rPr>
                <w:rFonts w:hint="eastAsia"/>
                <w:b/>
                <w:color w:val="auto"/>
                <w:sz w:val="24"/>
                <w:highlight w:val="none"/>
              </w:rPr>
              <w:t>表1</w:t>
            </w:r>
            <w:r>
              <w:rPr>
                <w:b/>
                <w:color w:val="auto"/>
                <w:sz w:val="24"/>
                <w:highlight w:val="none"/>
              </w:rPr>
              <w:t xml:space="preserve">.6-1  </w:t>
            </w:r>
            <w:r>
              <w:rPr>
                <w:rFonts w:hint="eastAsia"/>
                <w:b/>
                <w:color w:val="auto"/>
                <w:sz w:val="24"/>
                <w:highlight w:val="none"/>
              </w:rPr>
              <w:t>与《四川省嘉陵江流域生态环境保护条例》符合性分析</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9"/>
              <w:gridCol w:w="2385"/>
              <w:gridCol w:w="1065"/>
            </w:tblGrid>
            <w:tr w14:paraId="4607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pct"/>
                  <w:shd w:val="clear" w:color="auto" w:fill="auto"/>
                  <w:noWrap w:val="0"/>
                  <w:vAlign w:val="center"/>
                </w:tcPr>
                <w:p w14:paraId="4351E1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auto"/>
                      <w:sz w:val="21"/>
                      <w:szCs w:val="21"/>
                      <w:highlight w:val="none"/>
                    </w:rPr>
                  </w:pPr>
                  <w:r>
                    <w:rPr>
                      <w:rFonts w:hint="eastAsia"/>
                      <w:b/>
                      <w:color w:val="auto"/>
                      <w:sz w:val="21"/>
                      <w:szCs w:val="21"/>
                      <w:highlight w:val="none"/>
                    </w:rPr>
                    <w:t>条例中相关要求</w:t>
                  </w:r>
                </w:p>
              </w:tc>
              <w:tc>
                <w:tcPr>
                  <w:tcW w:w="1292" w:type="pct"/>
                  <w:shd w:val="clear" w:color="auto" w:fill="auto"/>
                  <w:noWrap w:val="0"/>
                  <w:vAlign w:val="center"/>
                </w:tcPr>
                <w:p w14:paraId="2B1677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auto"/>
                      <w:sz w:val="21"/>
                      <w:szCs w:val="21"/>
                      <w:highlight w:val="none"/>
                    </w:rPr>
                  </w:pPr>
                  <w:r>
                    <w:rPr>
                      <w:rFonts w:hint="eastAsia"/>
                      <w:b/>
                      <w:color w:val="auto"/>
                      <w:sz w:val="21"/>
                      <w:szCs w:val="21"/>
                      <w:highlight w:val="none"/>
                    </w:rPr>
                    <w:t>项目情况</w:t>
                  </w:r>
                </w:p>
              </w:tc>
              <w:tc>
                <w:tcPr>
                  <w:tcW w:w="576" w:type="pct"/>
                  <w:shd w:val="clear" w:color="auto" w:fill="auto"/>
                  <w:noWrap w:val="0"/>
                  <w:vAlign w:val="center"/>
                </w:tcPr>
                <w:p w14:paraId="506793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auto"/>
                      <w:sz w:val="21"/>
                      <w:szCs w:val="21"/>
                      <w:highlight w:val="none"/>
                    </w:rPr>
                  </w:pPr>
                  <w:r>
                    <w:rPr>
                      <w:rFonts w:hint="eastAsia"/>
                      <w:b/>
                      <w:color w:val="auto"/>
                      <w:sz w:val="21"/>
                      <w:szCs w:val="21"/>
                      <w:highlight w:val="none"/>
                    </w:rPr>
                    <w:t>符合性</w:t>
                  </w:r>
                </w:p>
              </w:tc>
            </w:tr>
            <w:tr w14:paraId="605E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pct"/>
                  <w:shd w:val="clear" w:color="auto" w:fill="auto"/>
                  <w:noWrap w:val="0"/>
                  <w:vAlign w:val="center"/>
                </w:tcPr>
                <w:p w14:paraId="3BEF644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olor w:val="auto"/>
                      <w:sz w:val="21"/>
                      <w:szCs w:val="21"/>
                      <w:highlight w:val="none"/>
                    </w:rPr>
                  </w:pPr>
                  <w:r>
                    <w:rPr>
                      <w:rFonts w:hint="eastAsia"/>
                      <w:color w:val="auto"/>
                      <w:sz w:val="21"/>
                      <w:szCs w:val="21"/>
                      <w:highlight w:val="none"/>
                    </w:rPr>
                    <w:t>第二十一条、排污单位排放污染物不得超过国家和省污染物排放标准，不得超过重点水污染物排放总量控制指标。按照国家规定试行排污许可管理的企业事业单位和其他生产经营者，应当依法向设区的市级以上地方人民政府生态环境主管部门申请取得排污许可证，按照排污许可证的规定排放污染物；禁止未取得排污许可证或者违反排污许可证的规定排放污染物。</w:t>
                  </w:r>
                </w:p>
              </w:tc>
              <w:tc>
                <w:tcPr>
                  <w:tcW w:w="1292" w:type="pct"/>
                  <w:shd w:val="clear" w:color="auto" w:fill="auto"/>
                  <w:noWrap w:val="0"/>
                  <w:vAlign w:val="center"/>
                </w:tcPr>
                <w:p w14:paraId="089F2C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本项目为</w:t>
                  </w:r>
                  <w:r>
                    <w:rPr>
                      <w:color w:val="auto"/>
                      <w:sz w:val="21"/>
                      <w:szCs w:val="21"/>
                      <w:highlight w:val="none"/>
                    </w:rPr>
                    <w:t>防洪除涝</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河湖整治</w:t>
                  </w:r>
                  <w:r>
                    <w:rPr>
                      <w:color w:val="auto"/>
                      <w:sz w:val="21"/>
                      <w:szCs w:val="21"/>
                      <w:highlight w:val="none"/>
                    </w:rPr>
                    <w:t>工程，不涉及污染物排放</w:t>
                  </w:r>
                  <w:r>
                    <w:rPr>
                      <w:rFonts w:hint="eastAsia"/>
                      <w:color w:val="auto"/>
                      <w:sz w:val="21"/>
                      <w:szCs w:val="21"/>
                      <w:highlight w:val="none"/>
                    </w:rPr>
                    <w:t>。</w:t>
                  </w:r>
                </w:p>
              </w:tc>
              <w:tc>
                <w:tcPr>
                  <w:tcW w:w="576" w:type="pct"/>
                  <w:shd w:val="clear" w:color="auto" w:fill="auto"/>
                  <w:noWrap w:val="0"/>
                  <w:vAlign w:val="center"/>
                </w:tcPr>
                <w:p w14:paraId="39C40A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符合</w:t>
                  </w:r>
                </w:p>
              </w:tc>
            </w:tr>
            <w:tr w14:paraId="5319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pct"/>
                  <w:shd w:val="clear" w:color="auto" w:fill="auto"/>
                  <w:noWrap w:val="0"/>
                  <w:vAlign w:val="center"/>
                </w:tcPr>
                <w:p w14:paraId="211A8CD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olor w:val="auto"/>
                      <w:sz w:val="21"/>
                      <w:szCs w:val="21"/>
                      <w:highlight w:val="none"/>
                    </w:rPr>
                  </w:pPr>
                  <w:r>
                    <w:rPr>
                      <w:rFonts w:hint="eastAsia"/>
                      <w:color w:val="auto"/>
                      <w:sz w:val="21"/>
                      <w:szCs w:val="21"/>
                      <w:highlight w:val="none"/>
                    </w:rPr>
                    <w:t>第二十二条、嘉陵江流域县级以上地方人民政府生态环境主管部门应当依法加强流域入河排污口的监督管理。企业实业单位和其他生产经营者向嘉陵江流域排放污水的，应当按照生态环境主管部门的规定建设规范化污染物排放口，并设置标志牌。</w:t>
                  </w:r>
                </w:p>
              </w:tc>
              <w:tc>
                <w:tcPr>
                  <w:tcW w:w="1292" w:type="pct"/>
                  <w:shd w:val="clear" w:color="auto" w:fill="auto"/>
                  <w:noWrap w:val="0"/>
                  <w:vAlign w:val="center"/>
                </w:tcPr>
                <w:p w14:paraId="7ACA68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项目为</w:t>
                  </w:r>
                  <w:r>
                    <w:rPr>
                      <w:color w:val="auto"/>
                      <w:sz w:val="21"/>
                      <w:szCs w:val="21"/>
                      <w:highlight w:val="none"/>
                    </w:rPr>
                    <w:t>防洪除涝</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河湖整治</w:t>
                  </w:r>
                  <w:r>
                    <w:rPr>
                      <w:color w:val="auto"/>
                      <w:sz w:val="21"/>
                      <w:szCs w:val="21"/>
                      <w:highlight w:val="none"/>
                    </w:rPr>
                    <w:t>工程，不涉及污染物排放口。</w:t>
                  </w:r>
                </w:p>
              </w:tc>
              <w:tc>
                <w:tcPr>
                  <w:tcW w:w="576" w:type="pct"/>
                  <w:shd w:val="clear" w:color="auto" w:fill="auto"/>
                  <w:noWrap w:val="0"/>
                  <w:vAlign w:val="center"/>
                </w:tcPr>
                <w:p w14:paraId="1F7E36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符合</w:t>
                  </w:r>
                </w:p>
              </w:tc>
            </w:tr>
            <w:tr w14:paraId="41A5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pct"/>
                  <w:shd w:val="clear" w:color="auto" w:fill="auto"/>
                  <w:noWrap w:val="0"/>
                  <w:vAlign w:val="center"/>
                </w:tcPr>
                <w:p w14:paraId="14474C4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olor w:val="auto"/>
                      <w:sz w:val="21"/>
                      <w:szCs w:val="21"/>
                      <w:highlight w:val="none"/>
                    </w:rPr>
                  </w:pPr>
                  <w:r>
                    <w:rPr>
                      <w:rFonts w:hint="eastAsia"/>
                      <w:color w:val="auto"/>
                      <w:sz w:val="21"/>
                      <w:szCs w:val="21"/>
                      <w:highlight w:val="none"/>
                    </w:rPr>
                    <w:t>第六十七条、嘉陵江流域县级以上地方人民政府应当根据国土空间规划和本行政区域的资源环境承载能力与水环境质量改善目标等要求，合理规划工业布局，引导现有工业企业入驻工业集聚区。新建排放重点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排污单位对污水进行预处理后向污水集中处理设施排放的，应当符合污水集中处理设施的接纳标准。</w:t>
                  </w:r>
                </w:p>
              </w:tc>
              <w:tc>
                <w:tcPr>
                  <w:tcW w:w="1292" w:type="pct"/>
                  <w:shd w:val="clear" w:color="auto" w:fill="auto"/>
                  <w:noWrap w:val="0"/>
                  <w:vAlign w:val="center"/>
                </w:tcPr>
                <w:p w14:paraId="573347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本项目为防洪除涝</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河湖整治</w:t>
                  </w:r>
                  <w:r>
                    <w:rPr>
                      <w:rFonts w:hint="eastAsia"/>
                      <w:color w:val="auto"/>
                      <w:sz w:val="21"/>
                      <w:szCs w:val="21"/>
                      <w:highlight w:val="none"/>
                    </w:rPr>
                    <w:t>工程</w:t>
                  </w:r>
                  <w:r>
                    <w:rPr>
                      <w:color w:val="auto"/>
                      <w:sz w:val="21"/>
                      <w:szCs w:val="21"/>
                      <w:highlight w:val="none"/>
                    </w:rPr>
                    <w:t>，不属于上述项目</w:t>
                  </w:r>
                  <w:r>
                    <w:rPr>
                      <w:rFonts w:hint="eastAsia"/>
                      <w:color w:val="auto"/>
                      <w:sz w:val="21"/>
                      <w:szCs w:val="21"/>
                      <w:highlight w:val="none"/>
                    </w:rPr>
                    <w:t>。</w:t>
                  </w:r>
                </w:p>
              </w:tc>
              <w:tc>
                <w:tcPr>
                  <w:tcW w:w="576" w:type="pct"/>
                  <w:shd w:val="clear" w:color="auto" w:fill="auto"/>
                  <w:noWrap w:val="0"/>
                  <w:vAlign w:val="center"/>
                </w:tcPr>
                <w:p w14:paraId="35F7C1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符合</w:t>
                  </w:r>
                </w:p>
              </w:tc>
            </w:tr>
            <w:tr w14:paraId="2005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pct"/>
                  <w:shd w:val="clear" w:color="auto" w:fill="auto"/>
                  <w:noWrap w:val="0"/>
                  <w:vAlign w:val="center"/>
                </w:tcPr>
                <w:p w14:paraId="53893E1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olor w:val="auto"/>
                      <w:sz w:val="21"/>
                      <w:szCs w:val="21"/>
                      <w:highlight w:val="none"/>
                    </w:rPr>
                  </w:pPr>
                  <w:r>
                    <w:rPr>
                      <w:rFonts w:hint="eastAsia"/>
                      <w:color w:val="auto"/>
                      <w:sz w:val="21"/>
                      <w:szCs w:val="21"/>
                      <w:highlight w:val="none"/>
                    </w:rPr>
                    <w:t>第七十三条、嘉陵江流域县级以上地方人民政府应当加强对固体废物非法转移和倾倒的管控。禁止在嘉陵江流域河湖管理范围内倾倒、填埋、堆放、弃置、处理固体废物。</w:t>
                  </w:r>
                </w:p>
              </w:tc>
              <w:tc>
                <w:tcPr>
                  <w:tcW w:w="1292" w:type="pct"/>
                  <w:shd w:val="clear" w:color="auto" w:fill="auto"/>
                  <w:noWrap w:val="0"/>
                  <w:vAlign w:val="center"/>
                </w:tcPr>
                <w:p w14:paraId="480101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本项目固体废物均得到妥善处置。固体废物处置方式合理，去向明确。</w:t>
                  </w:r>
                </w:p>
              </w:tc>
              <w:tc>
                <w:tcPr>
                  <w:tcW w:w="576" w:type="pct"/>
                  <w:shd w:val="clear" w:color="auto" w:fill="auto"/>
                  <w:noWrap w:val="0"/>
                  <w:vAlign w:val="center"/>
                </w:tcPr>
                <w:p w14:paraId="59570A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符合</w:t>
                  </w:r>
                </w:p>
              </w:tc>
            </w:tr>
            <w:tr w14:paraId="3D697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pct"/>
                  <w:shd w:val="clear" w:color="auto" w:fill="auto"/>
                  <w:noWrap w:val="0"/>
                  <w:vAlign w:val="center"/>
                </w:tcPr>
                <w:p w14:paraId="1C48DC9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olor w:val="auto"/>
                      <w:sz w:val="21"/>
                      <w:szCs w:val="21"/>
                      <w:highlight w:val="none"/>
                    </w:rPr>
                  </w:pPr>
                  <w:r>
                    <w:rPr>
                      <w:rFonts w:hint="eastAsia"/>
                      <w:color w:val="auto"/>
                      <w:sz w:val="21"/>
                      <w:szCs w:val="21"/>
                      <w:highlight w:val="none"/>
                    </w:rPr>
                    <w:t>第八十条、嘉陵江流域县级以上地方人民政府应当依法依规限期淘汰严重污染水环境的落后工艺和设备。限期禁止生产、销售、进口、使用、转让严重污染水环境的工艺和设备。</w:t>
                  </w:r>
                </w:p>
              </w:tc>
              <w:tc>
                <w:tcPr>
                  <w:tcW w:w="1292" w:type="pct"/>
                  <w:shd w:val="clear" w:color="auto" w:fill="auto"/>
                  <w:noWrap w:val="0"/>
                  <w:vAlign w:val="center"/>
                </w:tcPr>
                <w:p w14:paraId="6DA3C0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本项目不涉及。</w:t>
                  </w:r>
                </w:p>
              </w:tc>
              <w:tc>
                <w:tcPr>
                  <w:tcW w:w="576" w:type="pct"/>
                  <w:shd w:val="clear" w:color="auto" w:fill="auto"/>
                  <w:noWrap w:val="0"/>
                  <w:vAlign w:val="center"/>
                </w:tcPr>
                <w:p w14:paraId="6CD51A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符合</w:t>
                  </w:r>
                </w:p>
              </w:tc>
            </w:tr>
            <w:tr w14:paraId="424C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0" w:type="pct"/>
                  <w:shd w:val="clear" w:color="auto" w:fill="auto"/>
                  <w:noWrap w:val="0"/>
                  <w:vAlign w:val="center"/>
                </w:tcPr>
                <w:p w14:paraId="00E847F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olor w:val="auto"/>
                      <w:sz w:val="21"/>
                      <w:szCs w:val="21"/>
                      <w:highlight w:val="none"/>
                    </w:rPr>
                  </w:pPr>
                  <w:r>
                    <w:rPr>
                      <w:rFonts w:hint="eastAsia"/>
                      <w:color w:val="auto"/>
                      <w:sz w:val="21"/>
                      <w:szCs w:val="21"/>
                      <w:highlight w:val="none"/>
                    </w:rPr>
                    <w:t>第八十一条、嘉陵江流域县级以上地方人民政府应当加强节水型城市和节水型园区建设，促进节水型行业产业和企业发展，并加快建设雨水自然积存、自然渗透、自然净化的海绵城市。鼓励企业事业单位和其他生产经营者配套建设工业用水回收利用设施和中水回用管网设施，采取循环用水、综合利用以及废水处理回用等措施，提高水的重复利用率。</w:t>
                  </w:r>
                </w:p>
              </w:tc>
              <w:tc>
                <w:tcPr>
                  <w:tcW w:w="1292" w:type="pct"/>
                  <w:shd w:val="clear" w:color="auto" w:fill="auto"/>
                  <w:noWrap w:val="0"/>
                  <w:vAlign w:val="center"/>
                </w:tcPr>
                <w:p w14:paraId="577E70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本项目生产废水处理后回用，不外排。</w:t>
                  </w:r>
                </w:p>
              </w:tc>
              <w:tc>
                <w:tcPr>
                  <w:tcW w:w="576" w:type="pct"/>
                  <w:shd w:val="clear" w:color="auto" w:fill="auto"/>
                  <w:noWrap w:val="0"/>
                  <w:vAlign w:val="center"/>
                </w:tcPr>
                <w:p w14:paraId="63F307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符合</w:t>
                  </w:r>
                </w:p>
              </w:tc>
            </w:tr>
          </w:tbl>
          <w:p w14:paraId="3213B0D4">
            <w:pPr>
              <w:spacing w:line="360" w:lineRule="auto"/>
              <w:ind w:firstLine="480" w:firstLineChars="200"/>
              <w:rPr>
                <w:color w:val="auto"/>
                <w:sz w:val="24"/>
                <w:highlight w:val="none"/>
              </w:rPr>
            </w:pPr>
            <w:r>
              <w:rPr>
                <w:rFonts w:hint="eastAsia"/>
                <w:color w:val="auto"/>
                <w:sz w:val="24"/>
                <w:highlight w:val="none"/>
              </w:rPr>
              <w:t>由上表可知，本项目符合《四川省嘉陵江流域生态环境保护条例》中的要求。</w:t>
            </w:r>
          </w:p>
          <w:p w14:paraId="654CC4A0">
            <w:pPr>
              <w:ind w:firstLine="0" w:firstLineChars="0"/>
              <w:rPr>
                <w:rFonts w:hint="default" w:ascii="Times New Roman" w:hAnsi="Times New Roman" w:cs="Times New Roman"/>
                <w:b/>
                <w:bCs/>
                <w:color w:val="auto"/>
                <w:kern w:val="24"/>
                <w:highlight w:val="none"/>
              </w:rPr>
            </w:pPr>
            <w:r>
              <w:rPr>
                <w:rFonts w:hint="default" w:ascii="Times New Roman" w:hAnsi="Times New Roman" w:cs="Times New Roman"/>
                <w:b/>
                <w:bCs/>
                <w:color w:val="auto"/>
                <w:kern w:val="24"/>
                <w:highlight w:val="none"/>
              </w:rPr>
              <w:t>1.7 与《四川省、重庆市长江经济带发展负面清单实施细则(试行)》（试行、2022年版）（川长江办发〔202</w:t>
            </w:r>
            <w:r>
              <w:rPr>
                <w:rFonts w:hint="eastAsia" w:cs="Times New Roman"/>
                <w:b/>
                <w:bCs/>
                <w:color w:val="auto"/>
                <w:kern w:val="24"/>
                <w:highlight w:val="none"/>
                <w:lang w:val="en-US" w:eastAsia="zh-CN"/>
              </w:rPr>
              <w:t>2</w:t>
            </w:r>
            <w:r>
              <w:rPr>
                <w:rFonts w:hint="default" w:ascii="Times New Roman" w:hAnsi="Times New Roman" w:cs="Times New Roman"/>
                <w:b/>
                <w:bCs/>
                <w:color w:val="auto"/>
                <w:kern w:val="24"/>
                <w:highlight w:val="none"/>
              </w:rPr>
              <w:t>〕]17号）符合性分析</w:t>
            </w:r>
          </w:p>
          <w:p w14:paraId="07E231A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具体对比分析情况详见下表。</w:t>
            </w:r>
          </w:p>
          <w:p w14:paraId="3FB11ECA">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表1.7-1 与《四川省、重庆市长江经济带发展负面清单实施细则》符合性分析表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1"/>
              <w:gridCol w:w="4571"/>
              <w:gridCol w:w="3009"/>
              <w:gridCol w:w="944"/>
            </w:tblGrid>
            <w:tr w14:paraId="2306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03924B31">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477" w:type="pct"/>
                  <w:noWrap w:val="0"/>
                  <w:vAlign w:val="center"/>
                </w:tcPr>
                <w:p w14:paraId="7AF4A755">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相关要求</w:t>
                  </w:r>
                </w:p>
              </w:tc>
              <w:tc>
                <w:tcPr>
                  <w:tcW w:w="1630" w:type="pct"/>
                  <w:noWrap w:val="0"/>
                  <w:vAlign w:val="center"/>
                </w:tcPr>
                <w:p w14:paraId="6B98613C">
                  <w:pPr>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本项目情况</w:t>
                  </w:r>
                </w:p>
              </w:tc>
              <w:tc>
                <w:tcPr>
                  <w:tcW w:w="511" w:type="pct"/>
                  <w:noWrap w:val="0"/>
                  <w:vAlign w:val="center"/>
                </w:tcPr>
                <w:p w14:paraId="1469DD41">
                  <w:pPr>
                    <w:adjustRightInd w:val="0"/>
                    <w:snapToGrid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231F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292D6D2B">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477" w:type="pct"/>
                  <w:noWrap w:val="0"/>
                  <w:vAlign w:val="center"/>
                </w:tcPr>
                <w:p w14:paraId="373FF1AD">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禁止新建、改建和扩建不符合全国港口布局规划，以及《四川省内河水运发展规划》《泸州一宜宾一乐山港口群布局以及《重庆港总体规划(2035年)》等省级港口布局规划及市级规划港口总体规划的码头项目。</w:t>
                  </w:r>
                </w:p>
              </w:tc>
              <w:tc>
                <w:tcPr>
                  <w:tcW w:w="1630" w:type="pct"/>
                  <w:noWrap w:val="0"/>
                  <w:vAlign w:val="center"/>
                </w:tcPr>
                <w:p w14:paraId="2693A4E0">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本项目不属于码头项目。</w:t>
                  </w:r>
                </w:p>
              </w:tc>
              <w:tc>
                <w:tcPr>
                  <w:tcW w:w="511" w:type="pct"/>
                  <w:noWrap w:val="0"/>
                  <w:vAlign w:val="center"/>
                </w:tcPr>
                <w:p w14:paraId="0BA79DB0">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D4D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73D23530">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477" w:type="pct"/>
                  <w:noWrap w:val="0"/>
                  <w:vAlign w:val="center"/>
                </w:tcPr>
                <w:p w14:paraId="7AC50649">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新建、改建和扩建不符合《长江干线过江通道布局规划(2020-2035年)》的过长江通道项目(含桥梁、隧道)，布局规划(2020-2035年)》的过长江通道项目(含桥梁、隧道)，国家发展改革委同意过长江通道线位调整的除外。</w:t>
                  </w:r>
                </w:p>
              </w:tc>
              <w:tc>
                <w:tcPr>
                  <w:tcW w:w="1630" w:type="pct"/>
                  <w:noWrap w:val="0"/>
                  <w:vAlign w:val="center"/>
                </w:tcPr>
                <w:p w14:paraId="48B77AEA">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本项目不属于过长江通道项目。</w:t>
                  </w:r>
                </w:p>
              </w:tc>
              <w:tc>
                <w:tcPr>
                  <w:tcW w:w="511" w:type="pct"/>
                  <w:noWrap w:val="0"/>
                  <w:vAlign w:val="center"/>
                </w:tcPr>
                <w:p w14:paraId="3411C81F">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9DE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4F935636">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477" w:type="pct"/>
                  <w:noWrap w:val="0"/>
                  <w:vAlign w:val="center"/>
                </w:tcPr>
                <w:p w14:paraId="78A4C91A">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禁止在自然保护区核心区、缓冲区的岸线和河段范围内投资建设旅游和生产经营项目。自然保护区的内部未分区的，依照核心区和缓冲区的规定管控。</w:t>
                  </w:r>
                </w:p>
              </w:tc>
              <w:tc>
                <w:tcPr>
                  <w:tcW w:w="1630" w:type="pct"/>
                  <w:noWrap w:val="0"/>
                  <w:vAlign w:val="center"/>
                </w:tcPr>
                <w:p w14:paraId="48B410A0">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本项目二郎、福兴段和石河、双拱段均位于石河镇</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清河镇段位于清河镇场镇、杨家镇段位于杨家镇场镇，</w:t>
                  </w:r>
                  <w:r>
                    <w:rPr>
                      <w:rFonts w:hint="default" w:ascii="Times New Roman" w:hAnsi="Times New Roman" w:cs="Times New Roman"/>
                      <w:color w:val="auto"/>
                      <w:sz w:val="21"/>
                      <w:szCs w:val="21"/>
                      <w:highlight w:val="none"/>
                    </w:rPr>
                    <w:t>不涉及自然保护区。</w:t>
                  </w:r>
                </w:p>
              </w:tc>
              <w:tc>
                <w:tcPr>
                  <w:tcW w:w="511" w:type="pct"/>
                  <w:noWrap w:val="0"/>
                  <w:vAlign w:val="center"/>
                </w:tcPr>
                <w:p w14:paraId="1322A6C2">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AD3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589C86C0">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477" w:type="pct"/>
                  <w:noWrap w:val="0"/>
                  <w:vAlign w:val="center"/>
                </w:tcPr>
                <w:p w14:paraId="41B1CFBD">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禁止违反风景名胜区规划，在风景名胜区内设立各类开发区。禁止在风景名胜区核心景区的岸线和河段范围内建设宾馆、招待所、培训中心、疗养院以及与风景名胜资源保护无关的项目。</w:t>
                  </w:r>
                </w:p>
              </w:tc>
              <w:tc>
                <w:tcPr>
                  <w:tcW w:w="1630" w:type="pct"/>
                  <w:noWrap w:val="0"/>
                  <w:vAlign w:val="center"/>
                </w:tcPr>
                <w:p w14:paraId="73918331">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eastAsia="zh-CN"/>
                    </w:rPr>
                    <w:t>本项目二郎、福兴段和石河、双拱段均位于石河镇</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清河镇段位于清河镇场镇、杨家镇段位于杨家镇场镇，</w:t>
                  </w:r>
                  <w:r>
                    <w:rPr>
                      <w:rFonts w:hint="default" w:ascii="Times New Roman" w:hAnsi="Times New Roman" w:cs="Times New Roman"/>
                      <w:color w:val="auto"/>
                      <w:sz w:val="21"/>
                      <w:szCs w:val="21"/>
                      <w:highlight w:val="none"/>
                    </w:rPr>
                    <w:t>不涉及风景名胜区。</w:t>
                  </w:r>
                </w:p>
              </w:tc>
              <w:tc>
                <w:tcPr>
                  <w:tcW w:w="511" w:type="pct"/>
                  <w:noWrap w:val="0"/>
                  <w:vAlign w:val="center"/>
                </w:tcPr>
                <w:p w14:paraId="79B006D5">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2C7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403BDC17">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477" w:type="pct"/>
                  <w:noWrap w:val="0"/>
                  <w:vAlign w:val="center"/>
                </w:tcPr>
                <w:p w14:paraId="7414DC77">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禁止在饮用水水源准保护区的岸线和河段范围内新建、扩建对水体污染严重的建设项目，禁止改建增加排污量的建设项目。</w:t>
                  </w:r>
                </w:p>
              </w:tc>
              <w:tc>
                <w:tcPr>
                  <w:tcW w:w="1630" w:type="pct"/>
                  <w:noWrap w:val="0"/>
                  <w:vAlign w:val="center"/>
                </w:tcPr>
                <w:p w14:paraId="2FF1F6C4">
                  <w:pPr>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本项目不涉及饮用水水源准保护区</w:t>
                  </w:r>
                  <w:r>
                    <w:rPr>
                      <w:rFonts w:hint="eastAsia" w:cs="Times New Roman"/>
                      <w:color w:val="auto"/>
                      <w:sz w:val="21"/>
                      <w:szCs w:val="21"/>
                      <w:highlight w:val="none"/>
                      <w:lang w:eastAsia="zh-CN"/>
                    </w:rPr>
                    <w:t>。</w:t>
                  </w:r>
                </w:p>
              </w:tc>
              <w:tc>
                <w:tcPr>
                  <w:tcW w:w="511" w:type="pct"/>
                  <w:noWrap w:val="0"/>
                  <w:vAlign w:val="center"/>
                </w:tcPr>
                <w:p w14:paraId="65ADDCD6">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A4A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6D2C6916">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477" w:type="pct"/>
                  <w:noWrap w:val="0"/>
                  <w:vAlign w:val="center"/>
                </w:tcPr>
                <w:p w14:paraId="146EAFD8">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饮用水水源二级保护区的岸线和河段范围内，除遵守准保护区规定外，禁止新建、改建、扩建排放污染物的投资建设项目；禁止从事对水体有污染的水产养殖等活动。</w:t>
                  </w:r>
                </w:p>
              </w:tc>
              <w:tc>
                <w:tcPr>
                  <w:tcW w:w="1630" w:type="pct"/>
                  <w:noWrap w:val="0"/>
                  <w:vAlign w:val="center"/>
                </w:tcPr>
                <w:p w14:paraId="62A5E423">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本项目不涉及饮用水水源</w:t>
                  </w:r>
                  <w:r>
                    <w:rPr>
                      <w:rFonts w:hint="eastAsia" w:cs="Times New Roman"/>
                      <w:color w:val="auto"/>
                      <w:sz w:val="21"/>
                      <w:szCs w:val="21"/>
                      <w:highlight w:val="none"/>
                      <w:lang w:val="en-US" w:eastAsia="zh-CN"/>
                    </w:rPr>
                    <w:t>二级</w:t>
                  </w:r>
                  <w:r>
                    <w:rPr>
                      <w:rFonts w:hint="default" w:ascii="Times New Roman" w:hAnsi="Times New Roman" w:cs="Times New Roman"/>
                      <w:color w:val="auto"/>
                      <w:sz w:val="21"/>
                      <w:szCs w:val="21"/>
                      <w:highlight w:val="none"/>
                    </w:rPr>
                    <w:t>保护区。</w:t>
                  </w:r>
                </w:p>
              </w:tc>
              <w:tc>
                <w:tcPr>
                  <w:tcW w:w="511" w:type="pct"/>
                  <w:noWrap w:val="0"/>
                  <w:vAlign w:val="center"/>
                </w:tcPr>
                <w:p w14:paraId="3ED3866A">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3E3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335F33C5">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477" w:type="pct"/>
                  <w:noWrap w:val="0"/>
                  <w:vAlign w:val="center"/>
                </w:tcPr>
                <w:p w14:paraId="14099670">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饮用水水源一级保护区的岸线和河段范围内， 除遵守二级保护区规定外，禁止新建、改建、扩建与供水设施和保护水源无关的项目，以及网箱养殖、畜禽养殖、旅游等可能污染饮用水水体的投资建设项目。</w:t>
                  </w:r>
                </w:p>
              </w:tc>
              <w:tc>
                <w:tcPr>
                  <w:tcW w:w="1630" w:type="pct"/>
                  <w:noWrap w:val="0"/>
                  <w:vAlign w:val="center"/>
                </w:tcPr>
                <w:p w14:paraId="632B0D51">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本项目不涉及饮用水水源</w:t>
                  </w:r>
                  <w:r>
                    <w:rPr>
                      <w:rFonts w:hint="eastAsia" w:cs="Times New Roman"/>
                      <w:color w:val="auto"/>
                      <w:sz w:val="21"/>
                      <w:szCs w:val="21"/>
                      <w:highlight w:val="none"/>
                      <w:lang w:val="en-US" w:eastAsia="zh-CN"/>
                    </w:rPr>
                    <w:t>一级</w:t>
                  </w:r>
                  <w:r>
                    <w:rPr>
                      <w:rFonts w:hint="default" w:ascii="Times New Roman" w:hAnsi="Times New Roman" w:cs="Times New Roman"/>
                      <w:color w:val="auto"/>
                      <w:sz w:val="21"/>
                      <w:szCs w:val="21"/>
                      <w:highlight w:val="none"/>
                    </w:rPr>
                    <w:t>保护区。</w:t>
                  </w:r>
                </w:p>
              </w:tc>
              <w:tc>
                <w:tcPr>
                  <w:tcW w:w="511" w:type="pct"/>
                  <w:noWrap w:val="0"/>
                  <w:vAlign w:val="center"/>
                </w:tcPr>
                <w:p w14:paraId="1C585620">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3AB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57623D2B">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477" w:type="pct"/>
                  <w:noWrap w:val="0"/>
                  <w:vAlign w:val="center"/>
                </w:tcPr>
                <w:p w14:paraId="3776A340">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禁止在水产种质资源保护区岸线和河段范围内新建围湖造田、围湖造地或挖沙采石等投资建设项目。</w:t>
                  </w:r>
                </w:p>
              </w:tc>
              <w:tc>
                <w:tcPr>
                  <w:tcW w:w="1630" w:type="pct"/>
                  <w:noWrap w:val="0"/>
                  <w:vAlign w:val="center"/>
                </w:tcPr>
                <w:p w14:paraId="25D6A77E">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本项目不涉及水产种质资源保护区。</w:t>
                  </w:r>
                </w:p>
              </w:tc>
              <w:tc>
                <w:tcPr>
                  <w:tcW w:w="511" w:type="pct"/>
                  <w:noWrap w:val="0"/>
                  <w:vAlign w:val="center"/>
                </w:tcPr>
                <w:p w14:paraId="7F4926B8">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EC0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7D53B96F">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2477" w:type="pct"/>
                  <w:noWrap w:val="0"/>
                  <w:vAlign w:val="center"/>
                </w:tcPr>
                <w:p w14:paraId="6723696A">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630" w:type="pct"/>
                  <w:noWrap w:val="0"/>
                  <w:vAlign w:val="center"/>
                </w:tcPr>
                <w:p w14:paraId="27DB26D1">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本项目不涉及国家湿地公园。</w:t>
                  </w:r>
                </w:p>
              </w:tc>
              <w:tc>
                <w:tcPr>
                  <w:tcW w:w="511" w:type="pct"/>
                  <w:noWrap w:val="0"/>
                  <w:vAlign w:val="center"/>
                </w:tcPr>
                <w:p w14:paraId="1B8EE4D8">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565B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5E1C71E6">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477" w:type="pct"/>
                  <w:noWrap w:val="0"/>
                  <w:vAlign w:val="center"/>
                </w:tcPr>
                <w:p w14:paraId="436A5DEF">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630" w:type="pct"/>
                  <w:noWrap w:val="0"/>
                  <w:vAlign w:val="center"/>
                </w:tcPr>
                <w:p w14:paraId="23FA6DE0">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本项目不涉及长江流域河湖岸线。</w:t>
                  </w:r>
                </w:p>
              </w:tc>
              <w:tc>
                <w:tcPr>
                  <w:tcW w:w="511" w:type="pct"/>
                  <w:noWrap w:val="0"/>
                  <w:vAlign w:val="center"/>
                </w:tcPr>
                <w:p w14:paraId="613B4F34">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DE1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7758A9DC">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2477" w:type="pct"/>
                  <w:noWrap w:val="0"/>
                  <w:vAlign w:val="center"/>
                </w:tcPr>
                <w:p w14:paraId="040A2C27">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禁止在《全国重要江河湖泊水功能区划》划定的河段及湖泊保护区、保留区内投资建设不利于水资源及自然生态保护的项目。</w:t>
                  </w:r>
                </w:p>
              </w:tc>
              <w:tc>
                <w:tcPr>
                  <w:tcW w:w="1630" w:type="pct"/>
                  <w:noWrap w:val="0"/>
                  <w:vAlign w:val="center"/>
                </w:tcPr>
                <w:p w14:paraId="46C22B9E">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本项目不涉及河段及湖泊保护区、保留区。</w:t>
                  </w:r>
                </w:p>
              </w:tc>
              <w:tc>
                <w:tcPr>
                  <w:tcW w:w="511" w:type="pct"/>
                  <w:noWrap w:val="0"/>
                  <w:vAlign w:val="center"/>
                </w:tcPr>
                <w:p w14:paraId="20429C5A">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33B7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6DA31E4A">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2477" w:type="pct"/>
                  <w:noWrap w:val="0"/>
                  <w:vAlign w:val="center"/>
                </w:tcPr>
                <w:p w14:paraId="6F07C9F2">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禁止在长江流域江河、湖泊新设、改设或者扩大排污口，经有管辖权的生态环境主管部门或者长江流域生态环境监督管理机构同意的除外。</w:t>
                  </w:r>
                </w:p>
              </w:tc>
              <w:tc>
                <w:tcPr>
                  <w:tcW w:w="1630" w:type="pct"/>
                  <w:noWrap w:val="0"/>
                  <w:vAlign w:val="center"/>
                </w:tcPr>
                <w:p w14:paraId="59E1FCEA">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本项目不涉及新设、改设或者扩大排污口。</w:t>
                  </w:r>
                </w:p>
              </w:tc>
              <w:tc>
                <w:tcPr>
                  <w:tcW w:w="511" w:type="pct"/>
                  <w:noWrap w:val="0"/>
                  <w:vAlign w:val="center"/>
                </w:tcPr>
                <w:p w14:paraId="6B9CECD2">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978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533AD0D5">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2477" w:type="pct"/>
                  <w:noWrap w:val="0"/>
                  <w:vAlign w:val="center"/>
                </w:tcPr>
                <w:p w14:paraId="13704873">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禁止在长江干流、大渡河、岷江、赤水河、沱江、嘉陵江、乌江、汉江和51个(四川省45个、重庆市6个)水生生物保护区开展生产性捕捞。</w:t>
                  </w:r>
                </w:p>
              </w:tc>
              <w:tc>
                <w:tcPr>
                  <w:tcW w:w="1630" w:type="pct"/>
                  <w:noWrap w:val="0"/>
                  <w:vAlign w:val="center"/>
                </w:tcPr>
                <w:p w14:paraId="35936E92">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本项目不涉及生产性捕捞。</w:t>
                  </w:r>
                </w:p>
              </w:tc>
              <w:tc>
                <w:tcPr>
                  <w:tcW w:w="511" w:type="pct"/>
                  <w:noWrap w:val="0"/>
                  <w:vAlign w:val="center"/>
                </w:tcPr>
                <w:p w14:paraId="314B24BE">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CC1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291C7C19">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w:t>
                  </w:r>
                </w:p>
              </w:tc>
              <w:tc>
                <w:tcPr>
                  <w:tcW w:w="2477" w:type="pct"/>
                  <w:noWrap w:val="0"/>
                  <w:vAlign w:val="center"/>
                </w:tcPr>
                <w:p w14:paraId="113348D8">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禁止在长江干支流、重要湖泊岸线一公里范围内新建、扩建化工园区和化工项目。</w:t>
                  </w:r>
                </w:p>
              </w:tc>
              <w:tc>
                <w:tcPr>
                  <w:tcW w:w="1630" w:type="pct"/>
                  <w:noWrap w:val="0"/>
                  <w:vAlign w:val="center"/>
                </w:tcPr>
                <w:p w14:paraId="6CA9E31A">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本项目防洪治理工程，不属于化工项目。</w:t>
                  </w:r>
                </w:p>
              </w:tc>
              <w:tc>
                <w:tcPr>
                  <w:tcW w:w="511" w:type="pct"/>
                  <w:noWrap w:val="0"/>
                  <w:vAlign w:val="center"/>
                </w:tcPr>
                <w:p w14:paraId="64063B6F">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0C1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559B31D3">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2477" w:type="pct"/>
                  <w:noWrap w:val="0"/>
                  <w:vAlign w:val="center"/>
                </w:tcPr>
                <w:p w14:paraId="422AAE22">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禁止在长江干流岸线三公里范围内和重要支流岸线一公里范围内新建、改建、扩建尾矿库、冶炼渣库、磷石膏库，以提升安全、生态环境保护水平为目的的改建除外。</w:t>
                  </w:r>
                </w:p>
              </w:tc>
              <w:tc>
                <w:tcPr>
                  <w:tcW w:w="1630" w:type="pct"/>
                  <w:noWrap w:val="0"/>
                  <w:vAlign w:val="center"/>
                </w:tcPr>
                <w:p w14:paraId="3B214A3F">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本项目为防洪治理工程，不涉及尾矿库、冶炼渣库、磷石膏库等的建设。</w:t>
                  </w:r>
                </w:p>
              </w:tc>
              <w:tc>
                <w:tcPr>
                  <w:tcW w:w="511" w:type="pct"/>
                  <w:noWrap w:val="0"/>
                  <w:vAlign w:val="center"/>
                </w:tcPr>
                <w:p w14:paraId="20EF4815">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924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5D062C81">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w:t>
                  </w:r>
                </w:p>
              </w:tc>
              <w:tc>
                <w:tcPr>
                  <w:tcW w:w="2477" w:type="pct"/>
                  <w:noWrap w:val="0"/>
                  <w:vAlign w:val="center"/>
                </w:tcPr>
                <w:p w14:paraId="040A974E">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禁止在生态保护红线区域、永久基本农田集中区域和其他需要特别保护的区域内选址建设尾矿库、冶炼渣库、磷石膏库。</w:t>
                  </w:r>
                </w:p>
              </w:tc>
              <w:tc>
                <w:tcPr>
                  <w:tcW w:w="1630" w:type="pct"/>
                  <w:noWrap w:val="0"/>
                  <w:vAlign w:val="center"/>
                </w:tcPr>
                <w:p w14:paraId="7883F8C1">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本项目为防洪治理工程，不涉及尾矿库、冶炼渣库、磷石膏库等的建设。</w:t>
                  </w:r>
                </w:p>
              </w:tc>
              <w:tc>
                <w:tcPr>
                  <w:tcW w:w="511" w:type="pct"/>
                  <w:noWrap w:val="0"/>
                  <w:vAlign w:val="center"/>
                </w:tcPr>
                <w:p w14:paraId="439180C0">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963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4D2936F5">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w:t>
                  </w:r>
                </w:p>
              </w:tc>
              <w:tc>
                <w:tcPr>
                  <w:tcW w:w="2477" w:type="pct"/>
                  <w:noWrap w:val="0"/>
                  <w:vAlign w:val="center"/>
                </w:tcPr>
                <w:p w14:paraId="2C95ED82">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禁止在合规园区外新建、扩建钢铁、石化、化工、焦化、建材、有色、制浆造纸等高污染项目。</w:t>
                  </w:r>
                </w:p>
              </w:tc>
              <w:tc>
                <w:tcPr>
                  <w:tcW w:w="1630" w:type="pct"/>
                  <w:noWrap w:val="0"/>
                  <w:vAlign w:val="center"/>
                </w:tcPr>
                <w:p w14:paraId="09BF10C4">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511" w:type="pct"/>
                  <w:noWrap w:val="0"/>
                  <w:vAlign w:val="center"/>
                </w:tcPr>
                <w:p w14:paraId="03CF9C03">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494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3D0E26A2">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w:t>
                  </w:r>
                </w:p>
              </w:tc>
              <w:tc>
                <w:tcPr>
                  <w:tcW w:w="2477" w:type="pct"/>
                  <w:noWrap w:val="0"/>
                  <w:vAlign w:val="center"/>
                </w:tcPr>
                <w:p w14:paraId="78D569AF">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新建、扩建不符合国家石化、现代煤化工等产业布局规划的项目。(一)严格控制新增炼油产能，未列入《石化产业规划布局方案(修订版)》的新增炼油产能一律不得建设。(二)新建煤制烯烃、煤制芳烃项目必须列入《现代煤化工产业创新发展布局方案》，必须符合《现代煤化工建设项目环境准。</w:t>
                  </w:r>
                </w:p>
              </w:tc>
              <w:tc>
                <w:tcPr>
                  <w:tcW w:w="1630" w:type="pct"/>
                  <w:noWrap w:val="0"/>
                  <w:vAlign w:val="center"/>
                </w:tcPr>
                <w:p w14:paraId="58F23CB3">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511" w:type="pct"/>
                  <w:noWrap w:val="0"/>
                  <w:vAlign w:val="center"/>
                </w:tcPr>
                <w:p w14:paraId="0C1D24BD">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A1A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4A719B02">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w:t>
                  </w:r>
                </w:p>
              </w:tc>
              <w:tc>
                <w:tcPr>
                  <w:tcW w:w="2477" w:type="pct"/>
                  <w:noWrap w:val="0"/>
                  <w:vAlign w:val="center"/>
                </w:tcPr>
                <w:p w14:paraId="4C02CB65">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630" w:type="pct"/>
                  <w:noWrap w:val="0"/>
                  <w:vAlign w:val="center"/>
                </w:tcPr>
                <w:p w14:paraId="710DCAD0">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本项目为防洪治理工程，属于《产业结构调整指导目录（2024年本）》中鼓励类项目。</w:t>
                  </w:r>
                </w:p>
              </w:tc>
              <w:tc>
                <w:tcPr>
                  <w:tcW w:w="511" w:type="pct"/>
                  <w:noWrap w:val="0"/>
                  <w:vAlign w:val="center"/>
                </w:tcPr>
                <w:p w14:paraId="6303359F">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275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5B6C990D">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2477" w:type="pct"/>
                  <w:noWrap w:val="0"/>
                  <w:vAlign w:val="center"/>
                </w:tcPr>
                <w:p w14:paraId="3FB18301">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禁止新建、扩建不符合国家产能置换要求的严重过剩产能行业的项目。对于不符合国家产能置换要求的严重过剩产能行业，不得以其他任何名义、任何方式备案新增产能项目。</w:t>
                  </w:r>
                </w:p>
              </w:tc>
              <w:tc>
                <w:tcPr>
                  <w:tcW w:w="1630" w:type="pct"/>
                  <w:noWrap w:val="0"/>
                  <w:vAlign w:val="center"/>
                </w:tcPr>
                <w:p w14:paraId="2ED23657">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本项目不属于严重过剩产能行业。</w:t>
                  </w:r>
                </w:p>
              </w:tc>
              <w:tc>
                <w:tcPr>
                  <w:tcW w:w="511" w:type="pct"/>
                  <w:noWrap w:val="0"/>
                  <w:vAlign w:val="center"/>
                </w:tcPr>
                <w:p w14:paraId="68D4C15A">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41D4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1290112E">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w:t>
                  </w:r>
                </w:p>
              </w:tc>
              <w:tc>
                <w:tcPr>
                  <w:tcW w:w="2477" w:type="pct"/>
                  <w:noWrap w:val="0"/>
                  <w:vAlign w:val="center"/>
                </w:tcPr>
                <w:p w14:paraId="546286A9">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建设以下燃油汽车投资项目(不在中国境内销售产品的投资项目除外):(一)新建独立燃油汽车企业；(二)现有汽车企业跨乘用车、商用车类别建设燃油汽车生产能力；(三)外省现有燃油汽车企业整体搬迁至本省(列入国家级区域发展规划或不改变企业股权结构的项目除外)；(四)对行业管理部门特别公示的燃油汽车企业进行投资(企业原有股东投资或将该企业转为非独立法人的投资项目除外)。</w:t>
                  </w:r>
                </w:p>
              </w:tc>
              <w:tc>
                <w:tcPr>
                  <w:tcW w:w="1630" w:type="pct"/>
                  <w:noWrap w:val="0"/>
                  <w:vAlign w:val="center"/>
                </w:tcPr>
                <w:p w14:paraId="73E275CF">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511" w:type="pct"/>
                  <w:noWrap w:val="0"/>
                  <w:vAlign w:val="center"/>
                </w:tcPr>
                <w:p w14:paraId="01BBA29C">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A14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0" w:type="pct"/>
                  <w:noWrap w:val="0"/>
                  <w:vAlign w:val="center"/>
                </w:tcPr>
                <w:p w14:paraId="503A5A4A">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w:t>
                  </w:r>
                </w:p>
              </w:tc>
              <w:tc>
                <w:tcPr>
                  <w:tcW w:w="2477" w:type="pct"/>
                  <w:noWrap w:val="0"/>
                  <w:vAlign w:val="center"/>
                </w:tcPr>
                <w:p w14:paraId="304DEA63">
                  <w:pPr>
                    <w:adjustRightInd w:val="0"/>
                    <w:snapToGrid w:val="0"/>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禁止新建、扩建不符合要求的高耗能、高排放、低水平项目。</w:t>
                  </w:r>
                </w:p>
              </w:tc>
              <w:tc>
                <w:tcPr>
                  <w:tcW w:w="1630" w:type="pct"/>
                  <w:noWrap w:val="0"/>
                  <w:vAlign w:val="center"/>
                </w:tcPr>
                <w:p w14:paraId="52B29D73">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本项目不属于高耗能、高排放、低水平项目。</w:t>
                  </w:r>
                </w:p>
              </w:tc>
              <w:tc>
                <w:tcPr>
                  <w:tcW w:w="511" w:type="pct"/>
                  <w:noWrap w:val="0"/>
                  <w:vAlign w:val="center"/>
                </w:tcPr>
                <w:p w14:paraId="744E1908">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6A68A9E5">
            <w:pPr>
              <w:ind w:firstLine="480"/>
              <w:rPr>
                <w:rFonts w:hint="default" w:ascii="Times New Roman" w:hAnsi="Times New Roman" w:cs="Times New Roman"/>
                <w:b/>
                <w:bCs/>
                <w:color w:val="auto"/>
                <w:kern w:val="24"/>
                <w:highlight w:val="none"/>
              </w:rPr>
            </w:pPr>
            <w:r>
              <w:rPr>
                <w:rFonts w:hint="default" w:ascii="Times New Roman" w:hAnsi="Times New Roman" w:cs="Times New Roman"/>
                <w:color w:val="auto"/>
                <w:highlight w:val="none"/>
              </w:rPr>
              <w:t>由上表可知，本项目符合《四川省、重庆市长江经济带发展负面清单实施细则》（试行、2022年版）（川长江办发〔202</w:t>
            </w:r>
            <w:r>
              <w:rPr>
                <w:rFonts w:hint="eastAsia" w:cs="Times New Roman"/>
                <w:color w:val="auto"/>
                <w:highlight w:val="none"/>
                <w:lang w:val="en-US" w:eastAsia="zh-CN"/>
              </w:rPr>
              <w:t>2</w:t>
            </w:r>
            <w:r>
              <w:rPr>
                <w:rFonts w:hint="default" w:ascii="Times New Roman" w:hAnsi="Times New Roman" w:cs="Times New Roman"/>
                <w:color w:val="auto"/>
                <w:highlight w:val="none"/>
              </w:rPr>
              <w:t>〕17号）的相关要求。</w:t>
            </w:r>
          </w:p>
          <w:p w14:paraId="3D2C04CD">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kern w:val="24"/>
                <w:highlight w:val="none"/>
              </w:rPr>
              <w:t>1.8 与《水利建设项目（河湖整治与防洪除涝工程）环境影响评价文件审批原则（试行）》符合性分析</w:t>
            </w:r>
          </w:p>
          <w:p w14:paraId="7ACC547B">
            <w:pPr>
              <w:pStyle w:val="21"/>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表1.8-1 工程与《水利建设项目（河湖整治与防洪除涝工程）环境影响评价文件审批原则（试行）》符合性分析</w:t>
            </w: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6"/>
              <w:gridCol w:w="2731"/>
              <w:gridCol w:w="898"/>
            </w:tblGrid>
            <w:tr w14:paraId="5234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pct"/>
                  <w:noWrap w:val="0"/>
                  <w:vAlign w:val="center"/>
                </w:tcPr>
                <w:p w14:paraId="3023ACE3">
                  <w:pPr>
                    <w:pStyle w:val="22"/>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要求</w:t>
                  </w:r>
                </w:p>
              </w:tc>
              <w:tc>
                <w:tcPr>
                  <w:tcW w:w="1480" w:type="pct"/>
                  <w:noWrap w:val="0"/>
                  <w:vAlign w:val="center"/>
                </w:tcPr>
                <w:p w14:paraId="21BDAEF3">
                  <w:pPr>
                    <w:pStyle w:val="22"/>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w:t>
                  </w:r>
                </w:p>
              </w:tc>
              <w:tc>
                <w:tcPr>
                  <w:tcW w:w="487" w:type="pct"/>
                  <w:noWrap w:val="0"/>
                  <w:vAlign w:val="center"/>
                </w:tcPr>
                <w:p w14:paraId="686B2B62">
                  <w:pPr>
                    <w:pStyle w:val="22"/>
                    <w:spacing w:line="240" w:lineRule="auto"/>
                    <w:ind w:left="-120" w:leftChars="-50" w:right="-120" w:rightChars="-5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0074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pct"/>
                  <w:noWrap w:val="0"/>
                  <w:vAlign w:val="center"/>
                </w:tcPr>
                <w:p w14:paraId="371F3151">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二条：项目符合环境保护相关法律法规和政策要求，与主体功能区规划、生态功能区划、水环境功能区划、水功能区划、生态环境保护规划、流域综合规划、防洪规划等相协调，满足相关规划环评要求。工程涉及岸线调整（治导线变化）、截弯取直、围垦水面和占用河湖滩地等建设内容的，充分论证了方案环境可行性，最大程度保持了河湖自然形态，最大限度维护了河湖健康、生态系统功能和生物多样性。</w:t>
                  </w:r>
                </w:p>
              </w:tc>
              <w:tc>
                <w:tcPr>
                  <w:tcW w:w="1480" w:type="pct"/>
                  <w:noWrap w:val="0"/>
                  <w:vAlign w:val="center"/>
                </w:tcPr>
                <w:p w14:paraId="761B685D">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本项目符合环境保护相关法律法规和政策要求，符合主体功能区规划、生态功能区划等规划，不涉及岸线调整、截弯取直、围垦水面等工程。</w:t>
                  </w:r>
                </w:p>
              </w:tc>
              <w:tc>
                <w:tcPr>
                  <w:tcW w:w="487" w:type="pct"/>
                  <w:noWrap w:val="0"/>
                  <w:vAlign w:val="center"/>
                </w:tcPr>
                <w:p w14:paraId="7B77E41B">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04BB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pct"/>
                  <w:noWrap w:val="0"/>
                  <w:vAlign w:val="center"/>
                </w:tcPr>
                <w:p w14:paraId="775E2A88">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三条：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1480" w:type="pct"/>
                  <w:noWrap w:val="0"/>
                  <w:vAlign w:val="center"/>
                </w:tcPr>
                <w:p w14:paraId="3778AFC7">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本项目永久占地及临时占地不涉及饮用水水源保护区、自然保护区、风景名胜区、世界文化和自然遗产地以及其他生态保护红线等环境敏感区中法律法规禁止占用的区域。</w:t>
                  </w:r>
                </w:p>
              </w:tc>
              <w:tc>
                <w:tcPr>
                  <w:tcW w:w="487" w:type="pct"/>
                  <w:noWrap w:val="0"/>
                  <w:vAlign w:val="center"/>
                </w:tcPr>
                <w:p w14:paraId="4DE14936">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4442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pct"/>
                  <w:noWrap w:val="0"/>
                  <w:vAlign w:val="center"/>
                </w:tcPr>
                <w:p w14:paraId="4652FCE1">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四条：项目实施改变水动力条件或水文过程且对水质产生不利影响的，提出了工程优化调整、科学调度、实施区域流域水污染防治等措施。对地下水环境产生不利影响或次生环境影响的，提出了优化工程设计、导排、防护等针对性的防治措施。</w:t>
                  </w:r>
                </w:p>
              </w:tc>
              <w:tc>
                <w:tcPr>
                  <w:tcW w:w="1480" w:type="pct"/>
                  <w:noWrap w:val="0"/>
                  <w:vAlign w:val="center"/>
                </w:tcPr>
                <w:p w14:paraId="2C4C2CDC">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本项目为防洪治理</w:t>
                  </w:r>
                  <w:r>
                    <w:rPr>
                      <w:rFonts w:hint="eastAsia" w:cs="Times New Roman"/>
                      <w:color w:val="auto"/>
                      <w:highlight w:val="none"/>
                      <w:lang w:eastAsia="zh-CN"/>
                    </w:rPr>
                    <w:t>、</w:t>
                  </w:r>
                  <w:r>
                    <w:rPr>
                      <w:rFonts w:hint="eastAsia" w:cs="Times New Roman"/>
                      <w:color w:val="auto"/>
                      <w:highlight w:val="none"/>
                      <w:lang w:val="en-US" w:eastAsia="zh-CN"/>
                    </w:rPr>
                    <w:t>河湖整治</w:t>
                  </w:r>
                  <w:r>
                    <w:rPr>
                      <w:rFonts w:hint="default" w:ascii="Times New Roman" w:hAnsi="Times New Roman" w:cs="Times New Roman"/>
                      <w:color w:val="auto"/>
                      <w:szCs w:val="21"/>
                      <w:highlight w:val="none"/>
                    </w:rPr>
                    <w:t>工程，工程的实施改变水动力条件以及水质变浑浊，但工程施工期短，通过前期施工导流、施工围堰的设置，降低对环境的影响。</w:t>
                  </w:r>
                </w:p>
              </w:tc>
              <w:tc>
                <w:tcPr>
                  <w:tcW w:w="487" w:type="pct"/>
                  <w:noWrap w:val="0"/>
                  <w:vAlign w:val="center"/>
                </w:tcPr>
                <w:p w14:paraId="69984EC0">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4CD9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pct"/>
                  <w:noWrap w:val="0"/>
                  <w:vAlign w:val="center"/>
                </w:tcPr>
                <w:p w14:paraId="0EAF39CF">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五条：项目对鱼类等水生生物的洄游通道及“三场”等重要生境、物种多样性及资源量等产生不利影响的，提出了下泄生态流量、恢复鱼类洄游通道、采用生态友好型护岸（坡、底）、生态修复、增殖放流等措施。</w:t>
                  </w:r>
                </w:p>
              </w:tc>
              <w:tc>
                <w:tcPr>
                  <w:tcW w:w="1480" w:type="pct"/>
                  <w:noWrap w:val="0"/>
                  <w:vAlign w:val="center"/>
                </w:tcPr>
                <w:p w14:paraId="11D17DB7">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本项目不涉及鱼类等水生生物的洄游通道及“三场”。</w:t>
                  </w:r>
                </w:p>
              </w:tc>
              <w:tc>
                <w:tcPr>
                  <w:tcW w:w="487" w:type="pct"/>
                  <w:noWrap w:val="0"/>
                  <w:vAlign w:val="center"/>
                </w:tcPr>
                <w:p w14:paraId="6AF2F387">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6A49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pct"/>
                  <w:noWrap w:val="0"/>
                  <w:vAlign w:val="center"/>
                </w:tcPr>
                <w:p w14:paraId="5253460B">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六条：项目对湿地生态系统结构和功能、河湖生态缓冲带造成不利影响的，提出了优化工程设计及调度运行方案、生态修复等措施。对珍稀濒危保护植物造成不利影响的，提出了避让、原位防护、移栽等措施。对陆生珍稀濒危保护动物及其生境造成不利影响的，提出了避让、救护、迁徙廊道构建、生境再造等措施。对景观产生不利影响的，提出了避让、优化设计、景观塑造等措施。</w:t>
                  </w:r>
                </w:p>
              </w:tc>
              <w:tc>
                <w:tcPr>
                  <w:tcW w:w="1480" w:type="pct"/>
                  <w:noWrap w:val="0"/>
                  <w:vAlign w:val="center"/>
                </w:tcPr>
                <w:p w14:paraId="07F89812">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本项目评价范围内无珍稀濒危保护植物，本项目主体已设计护岸采取植草护坡，施工后期对临时占地范围内进行恢复。</w:t>
                  </w:r>
                </w:p>
              </w:tc>
              <w:tc>
                <w:tcPr>
                  <w:tcW w:w="487" w:type="pct"/>
                  <w:noWrap w:val="0"/>
                  <w:vAlign w:val="center"/>
                </w:tcPr>
                <w:p w14:paraId="27BB0BF5">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00E0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pct"/>
                  <w:noWrap w:val="0"/>
                  <w:vAlign w:val="center"/>
                </w:tcPr>
                <w:p w14:paraId="66A02B87">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七条：项目施工组织方案具有环境合理性，对料场、弃土（渣）场等施工场地提出了水土流失防治和生态修复等措施。根据环境保护相关标准和要求，对施工期各类废（污）水、扬尘、废气、噪声、固体废物等提出了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w:t>
                  </w:r>
                </w:p>
              </w:tc>
              <w:tc>
                <w:tcPr>
                  <w:tcW w:w="1480" w:type="pct"/>
                  <w:noWrap w:val="0"/>
                  <w:vAlign w:val="center"/>
                </w:tcPr>
                <w:p w14:paraId="3EA81EE7">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临时占地后期进行植被恢复，施工期临时推土按照先挡后填，裸露坡面采用防雨布遮盖及坡脚设置临时排水沉砂等水土保持措施；本项目不涉及饮用水水源保护区；本项项目涉水工序施工过程安排在枯水期，严格实行文明施工；</w:t>
                  </w:r>
                  <w:r>
                    <w:rPr>
                      <w:rFonts w:hint="eastAsia"/>
                      <w:b w:val="0"/>
                      <w:bCs w:val="0"/>
                      <w:color w:val="auto"/>
                      <w:highlight w:val="none"/>
                      <w:lang w:val="en-US" w:eastAsia="zh-CN"/>
                    </w:rPr>
                    <w:t>疏浚淤泥中可直接利用料就近堆放在基础开挖两侧，</w:t>
                  </w:r>
                  <w:r>
                    <w:rPr>
                      <w:rFonts w:hint="eastAsia" w:cs="Times New Roman"/>
                      <w:color w:val="auto"/>
                      <w:sz w:val="21"/>
                      <w:szCs w:val="21"/>
                      <w:highlight w:val="none"/>
                      <w:lang w:val="en-US" w:eastAsia="zh-CN"/>
                    </w:rPr>
                    <w:t>可直接利用的部分由周边居民用于农田做肥料，</w:t>
                  </w:r>
                  <w:r>
                    <w:rPr>
                      <w:rFonts w:hint="eastAsia"/>
                      <w:color w:val="auto"/>
                      <w:sz w:val="21"/>
                      <w:szCs w:val="21"/>
                      <w:highlight w:val="none"/>
                      <w:lang w:val="en-US" w:eastAsia="zh-CN"/>
                    </w:rPr>
                    <w:t>含砂石量多的疏浚砂石用于沿线低洼地区回填</w:t>
                  </w:r>
                  <w:r>
                    <w:rPr>
                      <w:rFonts w:hint="eastAsia" w:cs="Times New Roman"/>
                      <w:color w:val="auto"/>
                      <w:sz w:val="21"/>
                      <w:szCs w:val="21"/>
                      <w:highlight w:val="none"/>
                      <w:lang w:val="en-US" w:eastAsia="zh-CN"/>
                    </w:rPr>
                    <w:t>；经晾干后的不可直接利用清淤淤泥运往市政规划的弃渣场</w:t>
                  </w:r>
                  <w:r>
                    <w:rPr>
                      <w:rFonts w:hint="default" w:ascii="Times New Roman" w:hAnsi="Times New Roman" w:cs="Times New Roman"/>
                      <w:color w:val="auto"/>
                      <w:szCs w:val="21"/>
                      <w:highlight w:val="none"/>
                    </w:rPr>
                    <w:t>。</w:t>
                  </w:r>
                </w:p>
              </w:tc>
              <w:tc>
                <w:tcPr>
                  <w:tcW w:w="487" w:type="pct"/>
                  <w:noWrap w:val="0"/>
                  <w:vAlign w:val="center"/>
                </w:tcPr>
                <w:p w14:paraId="3C9806DA">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7A65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pct"/>
                  <w:noWrap w:val="0"/>
                  <w:vAlign w:val="center"/>
                </w:tcPr>
                <w:p w14:paraId="094CFD2C">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第九条：项目存在河湖水质污染、富营养化或外来物种入侵等环境风险的，提出了针对性的风险防范措施以及环境应急预案编制、建立必要的应急联动机制等要求。</w:t>
                  </w:r>
                </w:p>
              </w:tc>
              <w:tc>
                <w:tcPr>
                  <w:tcW w:w="1480" w:type="pct"/>
                  <w:noWrap w:val="0"/>
                  <w:vAlign w:val="center"/>
                </w:tcPr>
                <w:p w14:paraId="4EC19310">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本项目为防洪治理工程，河道本身不存在水质污染以及富营养化等风险。</w:t>
                  </w:r>
                </w:p>
              </w:tc>
              <w:tc>
                <w:tcPr>
                  <w:tcW w:w="487" w:type="pct"/>
                  <w:noWrap w:val="0"/>
                  <w:vAlign w:val="center"/>
                </w:tcPr>
                <w:p w14:paraId="4033AE97">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299F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pct"/>
                  <w:noWrap w:val="0"/>
                  <w:vAlign w:val="center"/>
                </w:tcPr>
                <w:p w14:paraId="1267C9C9">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十一条：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w:t>
                  </w:r>
                </w:p>
              </w:tc>
              <w:tc>
                <w:tcPr>
                  <w:tcW w:w="1480" w:type="pct"/>
                  <w:noWrap w:val="0"/>
                  <w:vAlign w:val="center"/>
                </w:tcPr>
                <w:p w14:paraId="2CEEE408">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已按照相关导则及规定要求提出环境管理要求。</w:t>
                  </w:r>
                </w:p>
              </w:tc>
              <w:tc>
                <w:tcPr>
                  <w:tcW w:w="487" w:type="pct"/>
                  <w:noWrap w:val="0"/>
                  <w:vAlign w:val="center"/>
                </w:tcPr>
                <w:p w14:paraId="3FDBFB53">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r w14:paraId="7970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2" w:type="pct"/>
                  <w:noWrap w:val="0"/>
                  <w:vAlign w:val="center"/>
                </w:tcPr>
                <w:p w14:paraId="3BEFA46E">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第十二条：对环境保护措施进行了深入论证，建设单位主体责任、投资估算、时间节点、预期效果明确，确保科学有效、安全可行、绿色协调。</w:t>
                  </w:r>
                </w:p>
              </w:tc>
              <w:tc>
                <w:tcPr>
                  <w:tcW w:w="1480" w:type="pct"/>
                  <w:noWrap w:val="0"/>
                  <w:vAlign w:val="center"/>
                </w:tcPr>
                <w:p w14:paraId="7E4E52DE">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本项目已充分论证环境保护措施，减少施工期、运营期环境污染问题。</w:t>
                  </w:r>
                </w:p>
              </w:tc>
              <w:tc>
                <w:tcPr>
                  <w:tcW w:w="487" w:type="pct"/>
                  <w:noWrap w:val="0"/>
                  <w:vAlign w:val="center"/>
                </w:tcPr>
                <w:p w14:paraId="13024EFB">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符合</w:t>
                  </w:r>
                </w:p>
              </w:tc>
            </w:tr>
          </w:tbl>
          <w:p w14:paraId="6DB49A27">
            <w:pPr>
              <w:pStyle w:val="18"/>
              <w:spacing w:line="360" w:lineRule="auto"/>
              <w:ind w:firstLine="0" w:firstLineChars="0"/>
              <w:rPr>
                <w:rFonts w:hint="default" w:ascii="Times New Roman" w:hAnsi="Times New Roman" w:cs="Times New Roman"/>
                <w:bCs/>
                <w:color w:val="auto"/>
                <w:kern w:val="24"/>
                <w:highlight w:val="none"/>
                <w:lang w:val="en-US" w:eastAsia="zh-CN"/>
              </w:rPr>
            </w:pPr>
            <w:r>
              <w:rPr>
                <w:rFonts w:hint="default" w:ascii="Times New Roman" w:hAnsi="Times New Roman" w:cs="Times New Roman"/>
                <w:bCs/>
                <w:color w:val="auto"/>
                <w:kern w:val="24"/>
                <w:highlight w:val="none"/>
              </w:rPr>
              <w:t>1.9</w:t>
            </w:r>
            <w:r>
              <w:rPr>
                <w:rFonts w:hint="eastAsia" w:hAnsi="Times New Roman" w:cs="Times New Roman"/>
                <w:bCs/>
                <w:color w:val="auto"/>
                <w:kern w:val="24"/>
                <w:highlight w:val="none"/>
                <w:lang w:val="en-US" w:eastAsia="zh-CN"/>
              </w:rPr>
              <w:t>与</w:t>
            </w:r>
            <w:r>
              <w:rPr>
                <w:rFonts w:hint="eastAsia" w:ascii="宋体" w:hAnsi="宋体" w:eastAsia="宋体" w:cs="宋体"/>
                <w:b/>
                <w:bCs/>
                <w:i w:val="0"/>
                <w:iCs w:val="0"/>
                <w:caps w:val="0"/>
                <w:color w:val="auto"/>
                <w:spacing w:val="0"/>
                <w:sz w:val="24"/>
                <w:szCs w:val="24"/>
                <w:highlight w:val="none"/>
                <w:shd w:val="clear" w:fill="FFFFFF"/>
              </w:rPr>
              <w:t>《</w:t>
            </w:r>
            <w:r>
              <w:rPr>
                <w:rFonts w:hint="default" w:ascii="Times New Roman" w:hAnsi="Times New Roman" w:eastAsia="宋体" w:cs="Times New Roman"/>
                <w:b/>
                <w:bCs/>
                <w:i w:val="0"/>
                <w:iCs w:val="0"/>
                <w:caps w:val="0"/>
                <w:color w:val="auto"/>
                <w:spacing w:val="0"/>
                <w:sz w:val="24"/>
                <w:szCs w:val="24"/>
                <w:highlight w:val="none"/>
                <w:shd w:val="clear" w:fill="FFFFFF"/>
              </w:rPr>
              <w:t>四川省人民政府关于印发</w:t>
            </w:r>
            <w:r>
              <w:rPr>
                <w:rFonts w:hint="default" w:ascii="Times New Roman" w:hAnsi="Times New Roman" w:cs="Times New Roman"/>
                <w:b/>
                <w:bCs/>
                <w:i w:val="0"/>
                <w:iCs w:val="0"/>
                <w:caps w:val="0"/>
                <w:color w:val="auto"/>
                <w:spacing w:val="0"/>
                <w:sz w:val="24"/>
                <w:szCs w:val="24"/>
                <w:highlight w:val="none"/>
                <w:shd w:val="clear" w:fill="FFFFFF"/>
                <w:lang w:val="en-US" w:eastAsia="zh-CN"/>
              </w:rPr>
              <w:t>&lt;</w:t>
            </w:r>
            <w:r>
              <w:rPr>
                <w:rFonts w:hint="default" w:ascii="Times New Roman" w:hAnsi="Times New Roman" w:eastAsia="宋体" w:cs="Times New Roman"/>
                <w:b/>
                <w:bCs/>
                <w:i w:val="0"/>
                <w:iCs w:val="0"/>
                <w:caps w:val="0"/>
                <w:color w:val="auto"/>
                <w:spacing w:val="0"/>
                <w:sz w:val="24"/>
                <w:szCs w:val="24"/>
                <w:highlight w:val="none"/>
                <w:shd w:val="clear" w:fill="FFFFFF"/>
              </w:rPr>
              <w:t>四川省空气质量持续改善行动计划实施方案</w:t>
            </w:r>
            <w:r>
              <w:rPr>
                <w:rFonts w:hint="default" w:ascii="Times New Roman" w:hAnsi="Times New Roman" w:cs="Times New Roman"/>
                <w:b/>
                <w:bCs/>
                <w:i w:val="0"/>
                <w:iCs w:val="0"/>
                <w:caps w:val="0"/>
                <w:color w:val="auto"/>
                <w:spacing w:val="0"/>
                <w:sz w:val="24"/>
                <w:szCs w:val="24"/>
                <w:highlight w:val="none"/>
                <w:shd w:val="clear" w:fill="FFFFFF"/>
                <w:lang w:val="en-US" w:eastAsia="zh-CN"/>
              </w:rPr>
              <w:t>&gt;</w:t>
            </w:r>
            <w:r>
              <w:rPr>
                <w:rFonts w:hint="default" w:ascii="Times New Roman" w:hAnsi="Times New Roman" w:eastAsia="宋体" w:cs="Times New Roman"/>
                <w:b/>
                <w:bCs/>
                <w:i w:val="0"/>
                <w:iCs w:val="0"/>
                <w:caps w:val="0"/>
                <w:color w:val="auto"/>
                <w:spacing w:val="0"/>
                <w:sz w:val="24"/>
                <w:szCs w:val="24"/>
                <w:highlight w:val="none"/>
                <w:shd w:val="clear" w:fill="FFFFFF"/>
              </w:rPr>
              <w:t>的通知</w:t>
            </w:r>
            <w:r>
              <w:rPr>
                <w:rFonts w:hint="eastAsia" w:ascii="Times New Roman" w:hAnsi="Times New Roman" w:cs="Times New Roman"/>
                <w:b/>
                <w:bCs/>
                <w:i w:val="0"/>
                <w:iCs w:val="0"/>
                <w:caps w:val="0"/>
                <w:color w:val="auto"/>
                <w:spacing w:val="0"/>
                <w:sz w:val="24"/>
                <w:szCs w:val="24"/>
                <w:highlight w:val="none"/>
                <w:shd w:val="clear" w:fill="FFFFFF"/>
                <w:lang w:eastAsia="zh-CN"/>
              </w:rPr>
              <w:t>》</w:t>
            </w:r>
            <w:r>
              <w:rPr>
                <w:rFonts w:hint="default" w:ascii="Times New Roman" w:hAnsi="Times New Roman" w:eastAsia="宋体" w:cs="Times New Roman"/>
                <w:b/>
                <w:bCs/>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川府发〔2024〕15号</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cs="Times New Roman"/>
                <w:i w:val="0"/>
                <w:iCs w:val="0"/>
                <w:caps w:val="0"/>
                <w:color w:val="auto"/>
                <w:spacing w:val="0"/>
                <w:sz w:val="24"/>
                <w:szCs w:val="24"/>
                <w:highlight w:val="none"/>
                <w:shd w:val="clear" w:fill="FFFFFF"/>
                <w:lang w:val="en-US" w:eastAsia="zh-CN"/>
              </w:rPr>
              <w:t>符合性分析</w:t>
            </w:r>
          </w:p>
          <w:p w14:paraId="1454A350">
            <w:pPr>
              <w:pStyle w:val="1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b w:val="0"/>
                <w:bCs/>
                <w:i w:val="0"/>
                <w:iCs w:val="0"/>
                <w:caps w:val="0"/>
                <w:color w:val="auto"/>
                <w:spacing w:val="0"/>
                <w:sz w:val="24"/>
                <w:szCs w:val="24"/>
                <w:highlight w:val="none"/>
                <w:shd w:val="clear" w:fill="FFFFFF"/>
                <w:lang w:val="en-US" w:eastAsia="zh-CN"/>
              </w:rPr>
            </w:pPr>
            <w:r>
              <w:rPr>
                <w:rFonts w:hint="default" w:ascii="Times New Roman" w:hAnsi="Times New Roman" w:cs="Times New Roman"/>
                <w:b w:val="0"/>
                <w:bCs/>
                <w:color w:val="auto"/>
                <w:highlight w:val="none"/>
                <w:lang w:val="en-US" w:eastAsia="zh-CN"/>
              </w:rPr>
              <w:t>本项目与</w:t>
            </w:r>
            <w:r>
              <w:rPr>
                <w:rFonts w:hint="default" w:ascii="Times New Roman" w:hAnsi="Times New Roman" w:eastAsia="宋体" w:cs="Times New Roman"/>
                <w:b w:val="0"/>
                <w:bCs/>
                <w:i w:val="0"/>
                <w:iCs w:val="0"/>
                <w:caps w:val="0"/>
                <w:color w:val="auto"/>
                <w:spacing w:val="0"/>
                <w:sz w:val="24"/>
                <w:szCs w:val="24"/>
                <w:highlight w:val="none"/>
                <w:shd w:val="clear" w:fill="FFFFFF"/>
              </w:rPr>
              <w:t>川府发〔2024〕15号</w:t>
            </w:r>
            <w:r>
              <w:rPr>
                <w:rFonts w:hint="default" w:ascii="Times New Roman" w:hAnsi="Times New Roman" w:cs="Times New Roman"/>
                <w:b w:val="0"/>
                <w:bCs/>
                <w:i w:val="0"/>
                <w:iCs w:val="0"/>
                <w:caps w:val="0"/>
                <w:color w:val="auto"/>
                <w:spacing w:val="0"/>
                <w:sz w:val="24"/>
                <w:szCs w:val="24"/>
                <w:highlight w:val="none"/>
                <w:shd w:val="clear" w:fill="FFFFFF"/>
                <w:lang w:val="en-US" w:eastAsia="zh-CN"/>
              </w:rPr>
              <w:t>符合性分析见表1.9-1。</w:t>
            </w:r>
          </w:p>
          <w:p w14:paraId="0492ECC9">
            <w:pPr>
              <w:pStyle w:val="18"/>
              <w:spacing w:line="360" w:lineRule="auto"/>
              <w:ind w:firstLine="0" w:firstLineChars="0"/>
              <w:jc w:val="center"/>
              <w:rPr>
                <w:rFonts w:hint="default" w:ascii="Times New Roman" w:hAnsi="Times New Roman" w:cs="Times New Roman"/>
                <w:b/>
                <w:bCs w:val="0"/>
                <w:i w:val="0"/>
                <w:iCs w:val="0"/>
                <w:caps w:val="0"/>
                <w:color w:val="auto"/>
                <w:spacing w:val="0"/>
                <w:sz w:val="24"/>
                <w:szCs w:val="24"/>
                <w:highlight w:val="none"/>
                <w:shd w:val="clear" w:fill="FFFFFF"/>
                <w:lang w:val="en-US" w:eastAsia="zh-CN"/>
              </w:rPr>
            </w:pPr>
            <w:r>
              <w:rPr>
                <w:rFonts w:hint="eastAsia" w:ascii="Times New Roman" w:hAnsi="Times New Roman" w:cs="Times New Roman"/>
                <w:b/>
                <w:bCs w:val="0"/>
                <w:i w:val="0"/>
                <w:iCs w:val="0"/>
                <w:caps w:val="0"/>
                <w:color w:val="auto"/>
                <w:spacing w:val="0"/>
                <w:sz w:val="24"/>
                <w:szCs w:val="24"/>
                <w:highlight w:val="none"/>
                <w:shd w:val="clear" w:fill="FFFFFF"/>
                <w:lang w:val="en-US" w:eastAsia="zh-CN"/>
              </w:rPr>
              <w:t xml:space="preserve">表1.9-1  </w:t>
            </w:r>
            <w:r>
              <w:rPr>
                <w:rFonts w:hint="default" w:ascii="Times New Roman" w:hAnsi="Times New Roman" w:cs="Times New Roman"/>
                <w:b/>
                <w:bCs w:val="0"/>
                <w:color w:val="auto"/>
                <w:highlight w:val="none"/>
                <w:lang w:val="en-US" w:eastAsia="zh-CN"/>
              </w:rPr>
              <w:t>项目与</w:t>
            </w:r>
            <w:r>
              <w:rPr>
                <w:rFonts w:hint="default" w:ascii="Times New Roman" w:hAnsi="Times New Roman" w:eastAsia="宋体" w:cs="Times New Roman"/>
                <w:b/>
                <w:bCs w:val="0"/>
                <w:i w:val="0"/>
                <w:iCs w:val="0"/>
                <w:caps w:val="0"/>
                <w:color w:val="auto"/>
                <w:spacing w:val="0"/>
                <w:sz w:val="24"/>
                <w:szCs w:val="24"/>
                <w:highlight w:val="none"/>
                <w:shd w:val="clear" w:fill="FFFFFF"/>
              </w:rPr>
              <w:t>川府发〔2024〕15号</w:t>
            </w:r>
            <w:r>
              <w:rPr>
                <w:rFonts w:hint="default" w:ascii="Times New Roman" w:hAnsi="Times New Roman" w:cs="Times New Roman"/>
                <w:b/>
                <w:bCs w:val="0"/>
                <w:i w:val="0"/>
                <w:iCs w:val="0"/>
                <w:caps w:val="0"/>
                <w:color w:val="auto"/>
                <w:spacing w:val="0"/>
                <w:sz w:val="24"/>
                <w:szCs w:val="24"/>
                <w:highlight w:val="none"/>
                <w:shd w:val="clear" w:fill="FFFFFF"/>
                <w:lang w:val="en-US" w:eastAsia="zh-CN"/>
              </w:rPr>
              <w:t>符合性分析</w:t>
            </w:r>
          </w:p>
          <w:tbl>
            <w:tblPr>
              <w:tblStyle w:val="12"/>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5"/>
              <w:gridCol w:w="2264"/>
              <w:gridCol w:w="940"/>
            </w:tblGrid>
            <w:tr w14:paraId="2955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35" w:type="dxa"/>
                  <w:shd w:val="clear" w:color="auto" w:fill="auto"/>
                  <w:vAlign w:val="center"/>
                </w:tcPr>
                <w:p w14:paraId="0F080F91">
                  <w:pPr>
                    <w:pStyle w:val="22"/>
                    <w:spacing w:line="240" w:lineRule="auto"/>
                    <w:ind w:firstLine="0" w:firstLineChars="0"/>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cs="Times New Roman"/>
                      <w:b/>
                      <w:bCs/>
                      <w:color w:val="auto"/>
                      <w:sz w:val="21"/>
                      <w:szCs w:val="21"/>
                      <w:highlight w:val="none"/>
                    </w:rPr>
                    <w:t>要求</w:t>
                  </w:r>
                </w:p>
              </w:tc>
              <w:tc>
                <w:tcPr>
                  <w:tcW w:w="2264" w:type="dxa"/>
                  <w:shd w:val="clear" w:color="auto" w:fill="auto"/>
                  <w:vAlign w:val="center"/>
                </w:tcPr>
                <w:p w14:paraId="4DE761E5">
                  <w:pPr>
                    <w:pStyle w:val="22"/>
                    <w:spacing w:line="240" w:lineRule="auto"/>
                    <w:ind w:firstLine="0" w:firstLineChars="0"/>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cs="Times New Roman"/>
                      <w:b/>
                      <w:bCs/>
                      <w:color w:val="auto"/>
                      <w:sz w:val="21"/>
                      <w:szCs w:val="21"/>
                      <w:highlight w:val="none"/>
                    </w:rPr>
                    <w:t>本项目</w:t>
                  </w:r>
                </w:p>
              </w:tc>
              <w:tc>
                <w:tcPr>
                  <w:tcW w:w="940" w:type="dxa"/>
                  <w:shd w:val="clear" w:color="auto" w:fill="auto"/>
                  <w:vAlign w:val="center"/>
                </w:tcPr>
                <w:p w14:paraId="4E38F140">
                  <w:pPr>
                    <w:pStyle w:val="22"/>
                    <w:spacing w:line="240" w:lineRule="auto"/>
                    <w:ind w:left="-120" w:leftChars="-50" w:right="-120" w:rightChars="-50" w:firstLine="0" w:firstLineChars="0"/>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cs="Times New Roman"/>
                      <w:b/>
                      <w:bCs/>
                      <w:color w:val="auto"/>
                      <w:sz w:val="21"/>
                      <w:szCs w:val="21"/>
                      <w:highlight w:val="none"/>
                    </w:rPr>
                    <w:t>符合性</w:t>
                  </w:r>
                </w:p>
              </w:tc>
            </w:tr>
            <w:tr w14:paraId="76C3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6035" w:type="dxa"/>
                  <w:shd w:val="clear" w:color="auto" w:fill="auto"/>
                  <w:vAlign w:val="center"/>
                </w:tcPr>
                <w:p w14:paraId="233EFDA9">
                  <w:pPr>
                    <w:spacing w:line="240" w:lineRule="auto"/>
                    <w:ind w:left="0" w:leftChars="0" w:firstLine="0" w:firstLineChars="0"/>
                    <w:rPr>
                      <w:rFonts w:hint="default" w:ascii="Times New Roman" w:hAnsi="Times New Roman" w:cs="Times New Roman"/>
                      <w:b/>
                      <w:bCs/>
                      <w:color w:val="auto"/>
                      <w:sz w:val="21"/>
                      <w:szCs w:val="21"/>
                      <w:highlight w:val="none"/>
                    </w:rPr>
                  </w:pPr>
                  <w:r>
                    <w:rPr>
                      <w:rFonts w:hint="eastAsia"/>
                      <w:color w:val="auto"/>
                      <w:sz w:val="21"/>
                      <w:szCs w:val="21"/>
                      <w:highlight w:val="none"/>
                    </w:rPr>
                    <w:t>(一)严格产业准入。坚决遏制高耗能、高排放、低水平项目盲目上马。新改扩建项目严格落实国家和四川省产业规划、产业政策、生态环境分区管控方案、规划环评、项目环评、节能审查、产能置换、重点污染物总量控制、污染物排放区域削减、碳排放达峰目标等相关要求</w:t>
                  </w:r>
                  <w:r>
                    <w:rPr>
                      <w:rFonts w:hint="eastAsia"/>
                      <w:color w:val="auto"/>
                      <w:sz w:val="21"/>
                      <w:szCs w:val="21"/>
                      <w:highlight w:val="none"/>
                      <w:lang w:eastAsia="zh-CN"/>
                    </w:rPr>
                    <w:t>，</w:t>
                  </w:r>
                  <w:r>
                    <w:rPr>
                      <w:rFonts w:hint="eastAsia"/>
                      <w:color w:val="auto"/>
                      <w:sz w:val="21"/>
                      <w:szCs w:val="21"/>
                      <w:highlight w:val="none"/>
                    </w:rPr>
                    <w:t>原则上采用清洁运输方式。从严控制高耗能项目节能审查</w:t>
                  </w:r>
                  <w:r>
                    <w:rPr>
                      <w:rFonts w:hint="eastAsia"/>
                      <w:color w:val="auto"/>
                      <w:sz w:val="21"/>
                      <w:szCs w:val="21"/>
                      <w:highlight w:val="none"/>
                      <w:lang w:eastAsia="zh-CN"/>
                    </w:rPr>
                    <w:t>，</w:t>
                  </w:r>
                  <w:r>
                    <w:rPr>
                      <w:rFonts w:hint="eastAsia"/>
                      <w:color w:val="auto"/>
                      <w:sz w:val="21"/>
                      <w:szCs w:val="21"/>
                      <w:highlight w:val="none"/>
                    </w:rPr>
                    <w:t>对年综合能耗5万吨标准煤以上的项目按要求开展能耗替代。涉及产能置换的项目，被置换产能及其配套设施关停后，新建项目方可投产，严禁违规新增钢铁产能。严格落实产能产量双控制度，推行钢铁、焦化、烧结一体化布局</w:t>
                  </w:r>
                  <w:r>
                    <w:rPr>
                      <w:rFonts w:hint="eastAsia"/>
                      <w:color w:val="auto"/>
                      <w:sz w:val="21"/>
                      <w:szCs w:val="21"/>
                      <w:highlight w:val="none"/>
                      <w:lang w:eastAsia="zh-CN"/>
                    </w:rPr>
                    <w:t>，</w:t>
                  </w:r>
                  <w:r>
                    <w:rPr>
                      <w:rFonts w:hint="eastAsia"/>
                      <w:color w:val="auto"/>
                      <w:sz w:val="21"/>
                      <w:szCs w:val="21"/>
                      <w:highlight w:val="none"/>
                    </w:rPr>
                    <w:t>减少独立焦化、烧结、球团和热轧企业及工序。达州钢铁集团有限责任公司、四川省煤焦化集团有限公司按时序完成退城搬迁。</w:t>
                  </w:r>
                </w:p>
              </w:tc>
              <w:tc>
                <w:tcPr>
                  <w:tcW w:w="2264" w:type="dxa"/>
                  <w:shd w:val="clear" w:color="auto" w:fill="auto"/>
                  <w:vAlign w:val="center"/>
                </w:tcPr>
                <w:p w14:paraId="40F0F16E">
                  <w:pPr>
                    <w:pStyle w:val="22"/>
                    <w:spacing w:line="240" w:lineRule="auto"/>
                    <w:ind w:left="-120" w:leftChars="-50" w:right="-120" w:rightChars="-5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本项目不属于高耗能、高排放、低水平项目。物料运输车辆和弃渣运输车辆均密闭运输。</w:t>
                  </w:r>
                </w:p>
              </w:tc>
              <w:tc>
                <w:tcPr>
                  <w:tcW w:w="940" w:type="dxa"/>
                  <w:shd w:val="clear" w:color="auto" w:fill="auto"/>
                  <w:vAlign w:val="center"/>
                </w:tcPr>
                <w:p w14:paraId="5EB41B17">
                  <w:pPr>
                    <w:pStyle w:val="22"/>
                    <w:spacing w:line="240" w:lineRule="auto"/>
                    <w:ind w:firstLine="0" w:firstLineChars="0"/>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符合</w:t>
                  </w:r>
                </w:p>
              </w:tc>
            </w:tr>
            <w:tr w14:paraId="1479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6035" w:type="dxa"/>
                  <w:shd w:val="clear" w:color="auto" w:fill="auto"/>
                  <w:vAlign w:val="center"/>
                </w:tcPr>
                <w:p w14:paraId="7C810BFC">
                  <w:pPr>
                    <w:spacing w:line="240" w:lineRule="auto"/>
                    <w:ind w:left="0" w:leftChars="0" w:firstLine="0" w:firstLineChars="0"/>
                    <w:rPr>
                      <w:rFonts w:hint="eastAsia"/>
                      <w:color w:val="auto"/>
                      <w:sz w:val="21"/>
                      <w:szCs w:val="21"/>
                      <w:highlight w:val="none"/>
                    </w:rPr>
                  </w:pPr>
                  <w:r>
                    <w:rPr>
                      <w:rFonts w:hint="eastAsia"/>
                      <w:color w:val="auto"/>
                      <w:sz w:val="21"/>
                      <w:szCs w:val="21"/>
                      <w:highlight w:val="none"/>
                    </w:rPr>
                    <w:t>(二)加快调整优化重点行业产能。严格执行《产业结构调整指导目录(2024年本)》制定实施年度推动落后产能退出工作方案。重点城市提高能耗、环保、质量、安全、技术等要求</w:t>
                  </w:r>
                  <w:r>
                    <w:rPr>
                      <w:rFonts w:hint="eastAsia"/>
                      <w:color w:val="auto"/>
                      <w:sz w:val="21"/>
                      <w:szCs w:val="21"/>
                      <w:highlight w:val="none"/>
                      <w:lang w:eastAsia="zh-CN"/>
                    </w:rPr>
                    <w:t>，</w:t>
                  </w:r>
                  <w:r>
                    <w:rPr>
                      <w:rFonts w:hint="eastAsia"/>
                      <w:color w:val="auto"/>
                      <w:sz w:val="21"/>
                      <w:szCs w:val="21"/>
                      <w:highlight w:val="none"/>
                    </w:rPr>
                    <w:t>支持限制类涉气行业工艺装备通过等量或减量置换退出。到2025年，推动一批烧结、高炉、转炉、焦炉等限制类装备退出或产品升级。逐步淘汰步进式烧结机和球团竖炉以及半封闭式硅锰合金、镍铁、高碳铬铁、高碳锰铁电炉。推动砖瓦行业兼并重组减量置换</w:t>
                  </w:r>
                  <w:r>
                    <w:rPr>
                      <w:rFonts w:hint="eastAsia"/>
                      <w:color w:val="auto"/>
                      <w:sz w:val="21"/>
                      <w:szCs w:val="21"/>
                      <w:highlight w:val="none"/>
                      <w:lang w:eastAsia="zh-CN"/>
                    </w:rPr>
                    <w:t>，</w:t>
                  </w:r>
                  <w:r>
                    <w:rPr>
                      <w:rFonts w:hint="eastAsia"/>
                      <w:color w:val="auto"/>
                      <w:sz w:val="21"/>
                      <w:szCs w:val="21"/>
                      <w:highlight w:val="none"/>
                    </w:rPr>
                    <w:t>到2025年，重点城市力争烧结砖瓦生产线数量压减40%以上，广元市、巴中市力争压减20%以上。推进城市建成区的烧结砖瓦企业关停退出。持续推动水泥行业压减过剩产能和产能置换改造升级。</w:t>
                  </w:r>
                </w:p>
              </w:tc>
              <w:tc>
                <w:tcPr>
                  <w:tcW w:w="2264" w:type="dxa"/>
                  <w:shd w:val="clear" w:color="auto" w:fill="auto"/>
                  <w:vAlign w:val="center"/>
                </w:tcPr>
                <w:p w14:paraId="6BB9F2E9">
                  <w:pPr>
                    <w:pStyle w:val="22"/>
                    <w:spacing w:line="240" w:lineRule="auto"/>
                    <w:ind w:left="-120" w:leftChars="-50" w:right="-120" w:rightChars="-50" w:firstLine="0" w:firstLineChars="0"/>
                    <w:rPr>
                      <w:rFonts w:hint="default"/>
                      <w:color w:val="auto"/>
                      <w:sz w:val="21"/>
                      <w:szCs w:val="21"/>
                      <w:highlight w:val="none"/>
                      <w:lang w:val="en-US" w:eastAsia="zh-CN"/>
                    </w:rPr>
                  </w:pPr>
                  <w:r>
                    <w:rPr>
                      <w:rFonts w:hint="default"/>
                      <w:color w:val="auto"/>
                      <w:sz w:val="21"/>
                      <w:szCs w:val="21"/>
                      <w:highlight w:val="none"/>
                      <w:lang w:val="en-US" w:eastAsia="zh-CN"/>
                    </w:rPr>
                    <w:t>本项目为防洪治理工程，属于《产业结构调整指导目录（2024年本）》中鼓励类项目。</w:t>
                  </w:r>
                </w:p>
              </w:tc>
              <w:tc>
                <w:tcPr>
                  <w:tcW w:w="940" w:type="dxa"/>
                  <w:shd w:val="clear" w:color="auto" w:fill="auto"/>
                  <w:vAlign w:val="center"/>
                </w:tcPr>
                <w:p w14:paraId="751FA47C">
                  <w:pPr>
                    <w:pStyle w:val="22"/>
                    <w:spacing w:line="240" w:lineRule="auto"/>
                    <w:ind w:firstLine="0" w:firstLineChars="0"/>
                    <w:rPr>
                      <w:rFonts w:hint="eastAsia"/>
                      <w:color w:val="auto"/>
                      <w:sz w:val="21"/>
                      <w:szCs w:val="21"/>
                      <w:highlight w:val="none"/>
                    </w:rPr>
                  </w:pPr>
                  <w:r>
                    <w:rPr>
                      <w:rFonts w:hint="eastAsia" w:cs="Times New Roman"/>
                      <w:b w:val="0"/>
                      <w:bCs w:val="0"/>
                      <w:color w:val="auto"/>
                      <w:sz w:val="21"/>
                      <w:szCs w:val="21"/>
                      <w:highlight w:val="none"/>
                      <w:lang w:val="en-US" w:eastAsia="zh-CN"/>
                    </w:rPr>
                    <w:t>符合</w:t>
                  </w:r>
                </w:p>
              </w:tc>
            </w:tr>
            <w:tr w14:paraId="6589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6035" w:type="dxa"/>
                  <w:shd w:val="clear" w:color="auto" w:fill="auto"/>
                  <w:vAlign w:val="center"/>
                </w:tcPr>
                <w:p w14:paraId="1E4B800F">
                  <w:pPr>
                    <w:spacing w:line="240" w:lineRule="auto"/>
                    <w:ind w:left="0" w:leftChars="0" w:firstLine="0" w:firstLineChars="0"/>
                    <w:rPr>
                      <w:rFonts w:hint="eastAsia"/>
                      <w:color w:val="auto"/>
                      <w:sz w:val="21"/>
                      <w:szCs w:val="21"/>
                      <w:highlight w:val="none"/>
                    </w:rPr>
                  </w:pPr>
                  <w:r>
                    <w:rPr>
                      <w:rFonts w:hint="eastAsia"/>
                      <w:color w:val="auto"/>
                      <w:sz w:val="21"/>
                      <w:szCs w:val="21"/>
                      <w:highlight w:val="none"/>
                    </w:rPr>
                    <w:t>(十)推动货物清洁运输。加快出川大通道建设和运能紧张铁路线路扩能改造</w:t>
                  </w:r>
                  <w:r>
                    <w:rPr>
                      <w:rFonts w:hint="eastAsia"/>
                      <w:color w:val="auto"/>
                      <w:sz w:val="21"/>
                      <w:szCs w:val="21"/>
                      <w:highlight w:val="none"/>
                      <w:lang w:eastAsia="zh-CN"/>
                    </w:rPr>
                    <w:t>，</w:t>
                  </w:r>
                  <w:r>
                    <w:rPr>
                      <w:rFonts w:hint="eastAsia"/>
                      <w:color w:val="auto"/>
                      <w:sz w:val="21"/>
                      <w:szCs w:val="21"/>
                      <w:highlight w:val="none"/>
                    </w:rPr>
                    <w:t>出台鼓励大宗货物运输“公转水”“公转铁”的配套政策。大宗货物运输优先采用铁路、水路、封闭式皮带廊道或新能源车船。将清洁运输作为钢铁、火电、有色冶炼、焦化、建材煤矿、煤化工等行业新改扩建项目审核和监管重点。推动重点城市采取公铁联运等“外集内配”生产生活物资物流方式。到2025年</w:t>
                  </w:r>
                  <w:r>
                    <w:rPr>
                      <w:rFonts w:hint="eastAsia"/>
                      <w:color w:val="auto"/>
                      <w:sz w:val="21"/>
                      <w:szCs w:val="21"/>
                      <w:highlight w:val="none"/>
                      <w:lang w:eastAsia="zh-CN"/>
                    </w:rPr>
                    <w:t>，</w:t>
                  </w:r>
                  <w:r>
                    <w:rPr>
                      <w:rFonts w:hint="eastAsia"/>
                      <w:color w:val="auto"/>
                      <w:sz w:val="21"/>
                      <w:szCs w:val="21"/>
                      <w:highlight w:val="none"/>
                    </w:rPr>
                    <w:t>全省铁路、水路货运量较2020年分别增长10%、12%左右，加快铁路专用线和联运转运衔接设施建设，新建及迁建大宗货物年运量150万吨以上的物流园区、工矿企业和储煤基地</w:t>
                  </w:r>
                  <w:r>
                    <w:rPr>
                      <w:rFonts w:hint="eastAsia"/>
                      <w:color w:val="auto"/>
                      <w:sz w:val="21"/>
                      <w:szCs w:val="21"/>
                      <w:highlight w:val="none"/>
                      <w:lang w:eastAsia="zh-CN"/>
                    </w:rPr>
                    <w:t>，</w:t>
                  </w:r>
                  <w:r>
                    <w:rPr>
                      <w:rFonts w:hint="eastAsia"/>
                      <w:color w:val="auto"/>
                      <w:sz w:val="21"/>
                      <w:szCs w:val="21"/>
                      <w:highlight w:val="none"/>
                    </w:rPr>
                    <w:t>原则上接入铁路专用线或管道</w:t>
                  </w:r>
                  <w:r>
                    <w:rPr>
                      <w:rFonts w:hint="eastAsia"/>
                      <w:color w:val="auto"/>
                      <w:sz w:val="21"/>
                      <w:szCs w:val="21"/>
                      <w:highlight w:val="none"/>
                      <w:lang w:eastAsia="zh-CN"/>
                    </w:rPr>
                    <w:t>，</w:t>
                  </w:r>
                  <w:r>
                    <w:rPr>
                      <w:rFonts w:hint="eastAsia"/>
                      <w:color w:val="auto"/>
                      <w:sz w:val="21"/>
                      <w:szCs w:val="21"/>
                      <w:highlight w:val="none"/>
                    </w:rPr>
                    <w:t>到2025年</w:t>
                  </w:r>
                  <w:r>
                    <w:rPr>
                      <w:rFonts w:hint="eastAsia"/>
                      <w:color w:val="auto"/>
                      <w:sz w:val="21"/>
                      <w:szCs w:val="21"/>
                      <w:highlight w:val="none"/>
                      <w:lang w:eastAsia="zh-CN"/>
                    </w:rPr>
                    <w:t>，</w:t>
                  </w:r>
                  <w:r>
                    <w:rPr>
                      <w:rFonts w:hint="eastAsia"/>
                      <w:color w:val="auto"/>
                      <w:sz w:val="21"/>
                      <w:szCs w:val="21"/>
                      <w:highlight w:val="none"/>
                    </w:rPr>
                    <w:t>接入比例达85%以上。积极推广元港进港铁路、泸州石龙岩码头铁路专用线、江北重装码头铁路专用线项目。实施嘉陵江、金沙江等沿线大宗散货“散改集”引导煤炭、金属矿石、农药、化肥等大宗货物优先使用水路运输。强化用地、验收投运、运力调配、铁路运价等措施保障。</w:t>
                  </w:r>
                </w:p>
              </w:tc>
              <w:tc>
                <w:tcPr>
                  <w:tcW w:w="2264" w:type="dxa"/>
                  <w:shd w:val="clear" w:color="auto" w:fill="auto"/>
                  <w:vAlign w:val="center"/>
                </w:tcPr>
                <w:p w14:paraId="74FC8023">
                  <w:pPr>
                    <w:pStyle w:val="22"/>
                    <w:spacing w:line="240" w:lineRule="auto"/>
                    <w:ind w:left="-120" w:leftChars="-50" w:right="-120" w:rightChars="-50" w:firstLine="0" w:firstLineChars="0"/>
                    <w:rPr>
                      <w:rFonts w:hint="eastAsia"/>
                      <w:color w:val="auto"/>
                      <w:sz w:val="21"/>
                      <w:szCs w:val="21"/>
                      <w:highlight w:val="none"/>
                    </w:rPr>
                  </w:pPr>
                  <w:r>
                    <w:rPr>
                      <w:rFonts w:hint="eastAsia" w:cs="Times New Roman"/>
                      <w:b w:val="0"/>
                      <w:bCs w:val="0"/>
                      <w:color w:val="auto"/>
                      <w:sz w:val="21"/>
                      <w:szCs w:val="21"/>
                      <w:highlight w:val="none"/>
                      <w:lang w:val="en-US" w:eastAsia="zh-CN"/>
                    </w:rPr>
                    <w:t>本项目物料运输车辆和弃渣运输车辆均密闭运输。</w:t>
                  </w:r>
                </w:p>
              </w:tc>
              <w:tc>
                <w:tcPr>
                  <w:tcW w:w="940" w:type="dxa"/>
                  <w:shd w:val="clear" w:color="auto" w:fill="auto"/>
                  <w:vAlign w:val="center"/>
                </w:tcPr>
                <w:p w14:paraId="4CFA183B">
                  <w:pPr>
                    <w:pStyle w:val="22"/>
                    <w:spacing w:line="240" w:lineRule="auto"/>
                    <w:ind w:firstLine="0" w:firstLineChars="0"/>
                    <w:rPr>
                      <w:rFonts w:hint="eastAsia"/>
                      <w:color w:val="auto"/>
                      <w:sz w:val="21"/>
                      <w:szCs w:val="21"/>
                      <w:highlight w:val="none"/>
                    </w:rPr>
                  </w:pPr>
                  <w:r>
                    <w:rPr>
                      <w:rFonts w:hint="eastAsia" w:cs="Times New Roman"/>
                      <w:b w:val="0"/>
                      <w:bCs w:val="0"/>
                      <w:color w:val="auto"/>
                      <w:sz w:val="21"/>
                      <w:szCs w:val="21"/>
                      <w:highlight w:val="none"/>
                      <w:lang w:val="en-US" w:eastAsia="zh-CN"/>
                    </w:rPr>
                    <w:t>符合</w:t>
                  </w:r>
                </w:p>
              </w:tc>
            </w:tr>
            <w:tr w14:paraId="630B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6035" w:type="dxa"/>
                  <w:shd w:val="clear" w:color="auto" w:fill="auto"/>
                  <w:vAlign w:val="center"/>
                </w:tcPr>
                <w:p w14:paraId="766E9ABF">
                  <w:pPr>
                    <w:spacing w:line="240" w:lineRule="auto"/>
                    <w:ind w:left="0" w:leftChars="0" w:firstLine="0" w:firstLineChars="0"/>
                    <w:rPr>
                      <w:rFonts w:hint="eastAsia"/>
                      <w:color w:val="auto"/>
                      <w:sz w:val="21"/>
                      <w:szCs w:val="21"/>
                      <w:highlight w:val="none"/>
                    </w:rPr>
                  </w:pPr>
                  <w:r>
                    <w:rPr>
                      <w:rFonts w:hint="eastAsia"/>
                      <w:color w:val="auto"/>
                      <w:sz w:val="21"/>
                      <w:szCs w:val="21"/>
                      <w:highlight w:val="none"/>
                    </w:rPr>
                    <w:t>(十一)提升机动车清洁化水平。全面落实大规模消费品以旧换新、提振新能源汽车消费政策</w:t>
                  </w:r>
                  <w:r>
                    <w:rPr>
                      <w:rFonts w:hint="eastAsia"/>
                      <w:color w:val="auto"/>
                      <w:sz w:val="21"/>
                      <w:szCs w:val="21"/>
                      <w:highlight w:val="none"/>
                      <w:lang w:eastAsia="zh-CN"/>
                    </w:rPr>
                    <w:t>，</w:t>
                  </w:r>
                  <w:r>
                    <w:rPr>
                      <w:rFonts w:hint="eastAsia"/>
                      <w:color w:val="auto"/>
                      <w:sz w:val="21"/>
                      <w:szCs w:val="21"/>
                      <w:highlight w:val="none"/>
                    </w:rPr>
                    <w:t>加快淘汰老旧汽车和高排放燃气货车。到2025年，基本淘汰国三及以下排放标准营运类柴油货车，全省新能源汽车市场渗透率达到全国平均水平。</w:t>
                  </w:r>
                </w:p>
              </w:tc>
              <w:tc>
                <w:tcPr>
                  <w:tcW w:w="2264" w:type="dxa"/>
                  <w:shd w:val="clear" w:color="auto" w:fill="auto"/>
                  <w:vAlign w:val="center"/>
                </w:tcPr>
                <w:p w14:paraId="7B7A6A5E">
                  <w:pPr>
                    <w:pStyle w:val="22"/>
                    <w:spacing w:line="240" w:lineRule="auto"/>
                    <w:ind w:left="-120" w:leftChars="-50" w:right="-120" w:rightChars="-5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本项目所用载重汽车不属于老旧汽车和高排放燃气货车。</w:t>
                  </w:r>
                </w:p>
              </w:tc>
              <w:tc>
                <w:tcPr>
                  <w:tcW w:w="940" w:type="dxa"/>
                  <w:shd w:val="clear" w:color="auto" w:fill="auto"/>
                  <w:vAlign w:val="center"/>
                </w:tcPr>
                <w:p w14:paraId="29603E63">
                  <w:pPr>
                    <w:pStyle w:val="22"/>
                    <w:spacing w:line="240" w:lineRule="auto"/>
                    <w:ind w:firstLine="0" w:firstLineChars="0"/>
                    <w:rPr>
                      <w:rFonts w:hint="eastAsia"/>
                      <w:color w:val="auto"/>
                      <w:sz w:val="21"/>
                      <w:szCs w:val="21"/>
                      <w:highlight w:val="none"/>
                    </w:rPr>
                  </w:pPr>
                  <w:r>
                    <w:rPr>
                      <w:rFonts w:hint="eastAsia" w:cs="Times New Roman"/>
                      <w:b w:val="0"/>
                      <w:bCs w:val="0"/>
                      <w:color w:val="auto"/>
                      <w:sz w:val="21"/>
                      <w:szCs w:val="21"/>
                      <w:highlight w:val="none"/>
                      <w:lang w:val="en-US" w:eastAsia="zh-CN"/>
                    </w:rPr>
                    <w:t>符合</w:t>
                  </w:r>
                </w:p>
              </w:tc>
            </w:tr>
            <w:tr w14:paraId="3EC3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6035" w:type="dxa"/>
                  <w:shd w:val="clear" w:color="auto" w:fill="auto"/>
                  <w:vAlign w:val="center"/>
                </w:tcPr>
                <w:p w14:paraId="77A675CE">
                  <w:pPr>
                    <w:spacing w:line="240" w:lineRule="auto"/>
                    <w:ind w:left="0" w:leftChars="0" w:firstLine="0" w:firstLineChars="0"/>
                    <w:rPr>
                      <w:rFonts w:hint="eastAsia"/>
                      <w:color w:val="auto"/>
                      <w:sz w:val="21"/>
                      <w:szCs w:val="21"/>
                      <w:highlight w:val="none"/>
                    </w:rPr>
                  </w:pPr>
                  <w:r>
                    <w:rPr>
                      <w:rFonts w:hint="eastAsia"/>
                      <w:color w:val="auto"/>
                      <w:sz w:val="21"/>
                      <w:szCs w:val="21"/>
                      <w:highlight w:val="none"/>
                    </w:rPr>
                    <w:t>(十四)深化扬尘污染综合治理。城市建成区范围内建设用地面积5000平方米及以上且施工周期6个月及以上的建筑工地安装视频监控并接入监管平台。重点区域道路、水务等长距离线性工程实行分段施工。将扬尘污染防治费用纳入工程造价。重点城市建立扬尘“以克论净”监测监管考核体系。到2025年</w:t>
                  </w:r>
                  <w:r>
                    <w:rPr>
                      <w:rFonts w:hint="eastAsia"/>
                      <w:color w:val="auto"/>
                      <w:sz w:val="21"/>
                      <w:szCs w:val="21"/>
                      <w:highlight w:val="none"/>
                      <w:lang w:eastAsia="zh-CN"/>
                    </w:rPr>
                    <w:t>，</w:t>
                  </w:r>
                  <w:r>
                    <w:rPr>
                      <w:rFonts w:hint="eastAsia"/>
                      <w:color w:val="auto"/>
                      <w:sz w:val="21"/>
                      <w:szCs w:val="21"/>
                      <w:highlight w:val="none"/>
                    </w:rPr>
                    <w:t>装配式建筑占新建建筑面积比例达40%</w:t>
                  </w:r>
                  <w:r>
                    <w:rPr>
                      <w:rFonts w:hint="eastAsia"/>
                      <w:color w:val="auto"/>
                      <w:sz w:val="21"/>
                      <w:szCs w:val="21"/>
                      <w:highlight w:val="none"/>
                      <w:lang w:eastAsia="zh-CN"/>
                    </w:rPr>
                    <w:t>：</w:t>
                  </w:r>
                  <w:r>
                    <w:rPr>
                      <w:rFonts w:hint="eastAsia"/>
                      <w:color w:val="auto"/>
                      <w:sz w:val="21"/>
                      <w:szCs w:val="21"/>
                      <w:highlight w:val="none"/>
                    </w:rPr>
                    <w:t>地级及以上城市建成区道路机械化清扫率达80%左右，县城达70%左右。各地对城市公共裸地进行排查建档并采取防尘措施。城市大型煤炭、矿石等干散货码头物料堆场基本完成抑尘设施建设和物料输送系统封闭改造。</w:t>
                  </w:r>
                </w:p>
              </w:tc>
              <w:tc>
                <w:tcPr>
                  <w:tcW w:w="2264" w:type="dxa"/>
                  <w:shd w:val="clear" w:color="auto" w:fill="auto"/>
                  <w:vAlign w:val="center"/>
                </w:tcPr>
                <w:p w14:paraId="76F8682D">
                  <w:pPr>
                    <w:pStyle w:val="22"/>
                    <w:spacing w:line="240" w:lineRule="auto"/>
                    <w:ind w:left="-120" w:leftChars="-50" w:right="-120" w:rightChars="-5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本项目建筑工地安装视频监控并接入监管平台，项目采取分段施工。</w:t>
                  </w:r>
                  <w:r>
                    <w:rPr>
                      <w:rFonts w:hint="default"/>
                      <w:color w:val="auto"/>
                      <w:sz w:val="21"/>
                      <w:szCs w:val="21"/>
                      <w:highlight w:val="none"/>
                      <w:lang w:val="en-US" w:eastAsia="zh-CN"/>
                    </w:rPr>
                    <w:t>本项目将采取场地洒水降尘、材料堆放篷布遮盖、车辆密闭运输等措施对施工废气进行治理</w:t>
                  </w:r>
                  <w:r>
                    <w:rPr>
                      <w:rFonts w:hint="eastAsia"/>
                      <w:color w:val="auto"/>
                      <w:sz w:val="21"/>
                      <w:szCs w:val="21"/>
                      <w:highlight w:val="none"/>
                      <w:lang w:val="en-US" w:eastAsia="zh-CN"/>
                    </w:rPr>
                    <w:t>。</w:t>
                  </w:r>
                </w:p>
              </w:tc>
              <w:tc>
                <w:tcPr>
                  <w:tcW w:w="940" w:type="dxa"/>
                  <w:shd w:val="clear" w:color="auto" w:fill="auto"/>
                  <w:vAlign w:val="center"/>
                </w:tcPr>
                <w:p w14:paraId="66378751">
                  <w:pPr>
                    <w:pStyle w:val="22"/>
                    <w:spacing w:line="240" w:lineRule="auto"/>
                    <w:ind w:firstLine="0" w:firstLineChars="0"/>
                    <w:rPr>
                      <w:rFonts w:hint="eastAsia"/>
                      <w:color w:val="auto"/>
                      <w:sz w:val="21"/>
                      <w:szCs w:val="21"/>
                      <w:highlight w:val="none"/>
                    </w:rPr>
                  </w:pPr>
                  <w:r>
                    <w:rPr>
                      <w:rFonts w:hint="eastAsia" w:cs="Times New Roman"/>
                      <w:b w:val="0"/>
                      <w:bCs w:val="0"/>
                      <w:color w:val="auto"/>
                      <w:sz w:val="21"/>
                      <w:szCs w:val="21"/>
                      <w:highlight w:val="none"/>
                      <w:lang w:val="en-US" w:eastAsia="zh-CN"/>
                    </w:rPr>
                    <w:t>符合</w:t>
                  </w:r>
                </w:p>
              </w:tc>
            </w:tr>
          </w:tbl>
          <w:p w14:paraId="1CA0E854">
            <w:pPr>
              <w:ind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由上表可知，本项目符合</w:t>
            </w:r>
            <w:r>
              <w:rPr>
                <w:rFonts w:hint="eastAsia" w:ascii="宋体" w:hAnsi="宋体" w:eastAsia="宋体" w:cs="宋体"/>
                <w:b w:val="0"/>
                <w:bCs w:val="0"/>
                <w:i w:val="0"/>
                <w:iCs w:val="0"/>
                <w:caps w:val="0"/>
                <w:color w:val="auto"/>
                <w:spacing w:val="0"/>
                <w:sz w:val="24"/>
                <w:szCs w:val="24"/>
                <w:highlight w:val="none"/>
                <w:shd w:val="clear" w:fill="FFFFFF"/>
              </w:rPr>
              <w:t>《</w:t>
            </w:r>
            <w:r>
              <w:rPr>
                <w:rFonts w:hint="default" w:ascii="Times New Roman" w:hAnsi="Times New Roman" w:eastAsia="宋体" w:cs="Times New Roman"/>
                <w:b w:val="0"/>
                <w:bCs w:val="0"/>
                <w:i w:val="0"/>
                <w:iCs w:val="0"/>
                <w:caps w:val="0"/>
                <w:color w:val="auto"/>
                <w:spacing w:val="0"/>
                <w:sz w:val="24"/>
                <w:szCs w:val="24"/>
                <w:highlight w:val="none"/>
                <w:shd w:val="clear" w:fill="FFFFFF"/>
              </w:rPr>
              <w:t>四川省人民政府关于印发</w:t>
            </w:r>
            <w:r>
              <w:rPr>
                <w:rFonts w:hint="default" w:ascii="Times New Roman" w:hAnsi="Times New Roman" w:cs="Times New Roman"/>
                <w:b w:val="0"/>
                <w:bCs w:val="0"/>
                <w:i w:val="0"/>
                <w:iCs w:val="0"/>
                <w:caps w:val="0"/>
                <w:color w:val="auto"/>
                <w:spacing w:val="0"/>
                <w:sz w:val="24"/>
                <w:szCs w:val="24"/>
                <w:highlight w:val="none"/>
                <w:shd w:val="clear" w:fill="FFFFFF"/>
                <w:lang w:val="en-US" w:eastAsia="zh-CN"/>
              </w:rPr>
              <w:t>&lt;</w:t>
            </w:r>
            <w:r>
              <w:rPr>
                <w:rFonts w:hint="default" w:ascii="Times New Roman" w:hAnsi="Times New Roman" w:eastAsia="宋体" w:cs="Times New Roman"/>
                <w:b w:val="0"/>
                <w:bCs w:val="0"/>
                <w:i w:val="0"/>
                <w:iCs w:val="0"/>
                <w:caps w:val="0"/>
                <w:color w:val="auto"/>
                <w:spacing w:val="0"/>
                <w:sz w:val="24"/>
                <w:szCs w:val="24"/>
                <w:highlight w:val="none"/>
                <w:shd w:val="clear" w:fill="FFFFFF"/>
              </w:rPr>
              <w:t>四川省空气质量持续改善行动计划实施方案</w:t>
            </w:r>
            <w:r>
              <w:rPr>
                <w:rFonts w:hint="default" w:ascii="Times New Roman" w:hAnsi="Times New Roman" w:cs="Times New Roman"/>
                <w:b w:val="0"/>
                <w:bCs w:val="0"/>
                <w:i w:val="0"/>
                <w:iCs w:val="0"/>
                <w:caps w:val="0"/>
                <w:color w:val="auto"/>
                <w:spacing w:val="0"/>
                <w:sz w:val="24"/>
                <w:szCs w:val="24"/>
                <w:highlight w:val="none"/>
                <w:shd w:val="clear" w:fill="FFFFFF"/>
                <w:lang w:val="en-US" w:eastAsia="zh-CN"/>
              </w:rPr>
              <w:t>&gt;</w:t>
            </w:r>
            <w:r>
              <w:rPr>
                <w:rFonts w:hint="default" w:ascii="Times New Roman" w:hAnsi="Times New Roman" w:eastAsia="宋体" w:cs="Times New Roman"/>
                <w:b w:val="0"/>
                <w:bCs w:val="0"/>
                <w:i w:val="0"/>
                <w:iCs w:val="0"/>
                <w:caps w:val="0"/>
                <w:color w:val="auto"/>
                <w:spacing w:val="0"/>
                <w:sz w:val="24"/>
                <w:szCs w:val="24"/>
                <w:highlight w:val="none"/>
                <w:shd w:val="clear" w:fill="FFFFFF"/>
              </w:rPr>
              <w:t>的通知</w:t>
            </w:r>
            <w:r>
              <w:rPr>
                <w:rFonts w:hint="eastAsia" w:cs="Times New Roman"/>
                <w:b w:val="0"/>
                <w:bCs w:val="0"/>
                <w:i w:val="0"/>
                <w:iCs w:val="0"/>
                <w:caps w:val="0"/>
                <w:color w:val="auto"/>
                <w:spacing w:val="0"/>
                <w:sz w:val="24"/>
                <w:szCs w:val="24"/>
                <w:highlight w:val="none"/>
                <w:shd w:val="clear" w:fill="FFFFFF"/>
                <w:lang w:eastAsia="zh-CN"/>
              </w:rPr>
              <w:t>》</w:t>
            </w:r>
            <w:r>
              <w:rPr>
                <w:rFonts w:hint="default" w:ascii="Times New Roman" w:hAnsi="Times New Roman" w:eastAsia="宋体" w:cs="Times New Roman"/>
                <w:b w:val="0"/>
                <w:bCs w:val="0"/>
                <w:i w:val="0"/>
                <w:iCs w:val="0"/>
                <w:caps w:val="0"/>
                <w:color w:val="auto"/>
                <w:spacing w:val="0"/>
                <w:sz w:val="24"/>
                <w:szCs w:val="24"/>
                <w:highlight w:val="none"/>
                <w:shd w:val="clear" w:fill="FFFFFF"/>
                <w:lang w:eastAsia="zh-CN"/>
              </w:rPr>
              <w:t>（</w:t>
            </w:r>
            <w:r>
              <w:rPr>
                <w:rFonts w:hint="default" w:ascii="Times New Roman" w:hAnsi="Times New Roman" w:eastAsia="宋体" w:cs="Times New Roman"/>
                <w:b w:val="0"/>
                <w:bCs w:val="0"/>
                <w:i w:val="0"/>
                <w:iCs w:val="0"/>
                <w:caps w:val="0"/>
                <w:color w:val="auto"/>
                <w:spacing w:val="0"/>
                <w:sz w:val="24"/>
                <w:szCs w:val="24"/>
                <w:highlight w:val="none"/>
                <w:shd w:val="clear" w:fill="FFFFFF"/>
              </w:rPr>
              <w:t>川府发〔2024〕15号</w:t>
            </w:r>
            <w:r>
              <w:rPr>
                <w:rFonts w:hint="default" w:ascii="Times New Roman" w:hAnsi="Times New Roman" w:eastAsia="宋体" w:cs="Times New Roman"/>
                <w:b w:val="0"/>
                <w:bCs w:val="0"/>
                <w:i w:val="0"/>
                <w:iCs w:val="0"/>
                <w:caps w:val="0"/>
                <w:color w:val="auto"/>
                <w:spacing w:val="0"/>
                <w:sz w:val="24"/>
                <w:szCs w:val="24"/>
                <w:highlight w:val="none"/>
                <w:shd w:val="clear" w:fill="FFFFFF"/>
                <w:lang w:eastAsia="zh-CN"/>
              </w:rPr>
              <w:t>）</w:t>
            </w:r>
            <w:r>
              <w:rPr>
                <w:rFonts w:hint="default" w:ascii="Times New Roman" w:hAnsi="Times New Roman" w:cs="Times New Roman"/>
                <w:color w:val="auto"/>
                <w:highlight w:val="none"/>
              </w:rPr>
              <w:t>的相关要求</w:t>
            </w:r>
            <w:r>
              <w:rPr>
                <w:rFonts w:hint="eastAsia" w:cs="Times New Roman"/>
                <w:color w:val="auto"/>
                <w:highlight w:val="none"/>
                <w:lang w:eastAsia="zh-CN"/>
              </w:rPr>
              <w:t>。</w:t>
            </w:r>
          </w:p>
          <w:p w14:paraId="5F6625E3">
            <w:pPr>
              <w:pStyle w:val="18"/>
              <w:spacing w:line="360" w:lineRule="auto"/>
              <w:ind w:firstLine="0" w:firstLineChars="0"/>
              <w:rPr>
                <w:rFonts w:hint="default" w:ascii="Times New Roman" w:hAnsi="Times New Roman" w:cs="Times New Roman"/>
                <w:color w:val="auto"/>
                <w:highlight w:val="none"/>
              </w:rPr>
            </w:pPr>
            <w:r>
              <w:rPr>
                <w:rFonts w:hint="eastAsia" w:hAnsi="Times New Roman" w:cs="Times New Roman"/>
                <w:color w:val="auto"/>
                <w:highlight w:val="none"/>
                <w:lang w:val="en-US" w:eastAsia="zh-CN"/>
              </w:rPr>
              <w:t>1.10</w:t>
            </w:r>
            <w:r>
              <w:rPr>
                <w:rFonts w:hint="default" w:ascii="Times New Roman" w:hAnsi="Times New Roman" w:cs="Times New Roman"/>
                <w:color w:val="auto"/>
                <w:highlight w:val="none"/>
              </w:rPr>
              <w:t>与《中华人民共和国大气污染防治法》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2018年修正</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符合性分析</w:t>
            </w:r>
          </w:p>
          <w:p w14:paraId="373CC064">
            <w:pPr>
              <w:pStyle w:val="18"/>
              <w:spacing w:line="360" w:lineRule="auto"/>
              <w:ind w:firstLine="480"/>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《中华人民共和国大气污染防治法》</w:t>
            </w:r>
            <w:r>
              <w:rPr>
                <w:rFonts w:hint="default" w:ascii="Times New Roman" w:hAnsi="Times New Roman" w:cs="Times New Roman"/>
                <w:b w:val="0"/>
                <w:bCs/>
                <w:color w:val="auto"/>
                <w:highlight w:val="none"/>
                <w:lang w:eastAsia="zh-CN"/>
              </w:rPr>
              <w:t>（</w:t>
            </w:r>
            <w:r>
              <w:rPr>
                <w:rFonts w:hint="default" w:ascii="Times New Roman" w:hAnsi="Times New Roman" w:cs="Times New Roman"/>
                <w:b w:val="0"/>
                <w:bCs/>
                <w:color w:val="auto"/>
                <w:highlight w:val="none"/>
                <w:lang w:val="en-US" w:eastAsia="zh-CN"/>
              </w:rPr>
              <w:t>2018年修正</w:t>
            </w:r>
            <w:r>
              <w:rPr>
                <w:rFonts w:hint="default" w:ascii="Times New Roman" w:hAnsi="Times New Roman" w:cs="Times New Roman"/>
                <w:b w:val="0"/>
                <w:bCs/>
                <w:color w:val="auto"/>
                <w:highlight w:val="none"/>
                <w:lang w:eastAsia="zh-CN"/>
              </w:rPr>
              <w:t>）</w:t>
            </w:r>
            <w:r>
              <w:rPr>
                <w:rFonts w:hint="default" w:ascii="Times New Roman" w:hAnsi="Times New Roman" w:cs="Times New Roman"/>
                <w:b w:val="0"/>
                <w:bCs/>
                <w:color w:val="auto"/>
                <w:highlight w:val="none"/>
              </w:rPr>
              <w:t>中规定：“第四节 扬尘污染防治”:建设单位应当将防治扬尘污染的费用列入工程造价，并在施工承包合同中明确施工单位扬尘污染防治责任。施工单位应当制定具体的施工扬尘污染防治实施方案。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运输煤炭、垃圾、渣土、砂石、土方、灰浆等散装、流体物料的车辆应当采取密闭或者其他措施防止物料遗撒造成扬尘污染，并按照规定路线行驶。装卸物料应当采取密闭或者喷淋等方式防治扬尘污染。</w:t>
            </w:r>
          </w:p>
          <w:p w14:paraId="5B6B2BFA">
            <w:pPr>
              <w:pStyle w:val="18"/>
              <w:spacing w:line="360" w:lineRule="auto"/>
              <w:ind w:firstLine="480"/>
              <w:rPr>
                <w:rFonts w:hint="default" w:ascii="Times New Roman" w:hAnsi="Times New Roman" w:cs="Times New Roman"/>
                <w:b w:val="0"/>
                <w:color w:val="auto"/>
                <w:highlight w:val="none"/>
              </w:rPr>
            </w:pPr>
            <w:r>
              <w:rPr>
                <w:rFonts w:hint="default" w:ascii="Times New Roman" w:hAnsi="Times New Roman" w:cs="Times New Roman"/>
                <w:b w:val="0"/>
                <w:bCs/>
                <w:color w:val="auto"/>
                <w:highlight w:val="none"/>
              </w:rPr>
              <w:t>本</w:t>
            </w:r>
            <w:r>
              <w:rPr>
                <w:rFonts w:hint="default" w:ascii="Times New Roman" w:hAnsi="Times New Roman" w:cs="Times New Roman"/>
                <w:b w:val="0"/>
                <w:bCs/>
                <w:color w:val="auto"/>
                <w:szCs w:val="24"/>
                <w:highlight w:val="none"/>
              </w:rPr>
              <w:t>项目为防洪治理工程，项</w:t>
            </w:r>
            <w:r>
              <w:rPr>
                <w:rFonts w:hint="default" w:ascii="Times New Roman" w:hAnsi="Times New Roman" w:cs="Times New Roman"/>
                <w:b w:val="0"/>
                <w:bCs/>
                <w:color w:val="auto"/>
                <w:highlight w:val="none"/>
              </w:rPr>
              <w:t>目运营期无废气产生，主要为施工期间的扬尘。本项目将采取场地洒水降尘、材料堆放篷布遮盖、车辆密闭运输等措施对施工废气进行治理，以减少对周边环境的影响。本项目带来的影响随着施工期的结束慢慢消失。因此，本项目符合《中华人民共和国大气污染防治法》中相关规定</w:t>
            </w:r>
            <w:r>
              <w:rPr>
                <w:rFonts w:hint="default" w:ascii="Times New Roman" w:hAnsi="Times New Roman" w:cs="Times New Roman"/>
                <w:b w:val="0"/>
                <w:color w:val="auto"/>
                <w:highlight w:val="none"/>
              </w:rPr>
              <w:t>。</w:t>
            </w:r>
          </w:p>
          <w:p w14:paraId="7997A430">
            <w:pPr>
              <w:pStyle w:val="18"/>
              <w:spacing w:line="360" w:lineRule="auto"/>
              <w:ind w:firstLine="0" w:firstLineChars="0"/>
              <w:rPr>
                <w:rFonts w:hint="default" w:ascii="Times New Roman" w:hAnsi="Times New Roman" w:cs="Times New Roman"/>
                <w:bCs/>
                <w:color w:val="auto"/>
                <w:kern w:val="24"/>
                <w:highlight w:val="none"/>
              </w:rPr>
            </w:pPr>
            <w:r>
              <w:rPr>
                <w:rFonts w:hint="default" w:ascii="Times New Roman" w:hAnsi="Times New Roman" w:cs="Times New Roman"/>
                <w:bCs/>
                <w:color w:val="auto"/>
                <w:kern w:val="24"/>
                <w:highlight w:val="none"/>
              </w:rPr>
              <w:t>1.1</w:t>
            </w:r>
            <w:r>
              <w:rPr>
                <w:rFonts w:hint="eastAsia" w:hAnsi="Times New Roman" w:cs="Times New Roman"/>
                <w:bCs/>
                <w:color w:val="auto"/>
                <w:kern w:val="24"/>
                <w:highlight w:val="none"/>
                <w:lang w:val="en-US" w:eastAsia="zh-CN"/>
              </w:rPr>
              <w:t>1</w:t>
            </w:r>
            <w:r>
              <w:rPr>
                <w:rFonts w:hint="default" w:ascii="Times New Roman" w:hAnsi="Times New Roman" w:cs="Times New Roman"/>
                <w:color w:val="auto"/>
                <w:highlight w:val="none"/>
              </w:rPr>
              <w:t>与《中华人民共和国</w:t>
            </w:r>
            <w:r>
              <w:rPr>
                <w:rFonts w:hint="default" w:ascii="Times New Roman" w:hAnsi="Times New Roman" w:cs="Times New Roman"/>
                <w:color w:val="auto"/>
                <w:highlight w:val="none"/>
                <w:lang w:val="en-US" w:eastAsia="zh-CN"/>
              </w:rPr>
              <w:t>水</w:t>
            </w:r>
            <w:r>
              <w:rPr>
                <w:rFonts w:hint="default" w:ascii="Times New Roman" w:hAnsi="Times New Roman" w:cs="Times New Roman"/>
                <w:color w:val="auto"/>
                <w:highlight w:val="none"/>
              </w:rPr>
              <w:t>污染防治法》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2018年修正</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符合性分析</w:t>
            </w:r>
          </w:p>
          <w:p w14:paraId="37F0F27D">
            <w:pPr>
              <w:pStyle w:val="25"/>
              <w:snapToGrid w:val="0"/>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根据《中华人民共和国水污染防治法</w:t>
            </w:r>
            <w:r>
              <w:rPr>
                <w:rFonts w:hint="default" w:ascii="Times New Roman" w:hAnsi="Times New Roman" w:eastAsia="宋体" w:cs="Times New Roman"/>
                <w:color w:val="auto"/>
                <w:highlight w:val="none"/>
              </w:rPr>
              <w:t>》第</w:t>
            </w:r>
            <w:r>
              <w:rPr>
                <w:rFonts w:hint="default" w:ascii="Times New Roman" w:hAnsi="Times New Roman" w:eastAsia="宋体" w:cs="Times New Roman"/>
                <w:color w:val="auto"/>
                <w:highlight w:val="none"/>
                <w:lang w:val="en-US" w:eastAsia="zh-CN"/>
              </w:rPr>
              <w:t>四章第一节</w:t>
            </w:r>
            <w:r>
              <w:rPr>
                <w:rFonts w:hint="default" w:ascii="Times New Roman" w:hAnsi="Times New Roman" w:eastAsia="宋体" w:cs="Times New Roman"/>
                <w:color w:val="auto"/>
                <w:highlight w:val="none"/>
              </w:rPr>
              <w:t>，“</w:t>
            </w:r>
            <w:r>
              <w:rPr>
                <w:rFonts w:hint="default" w:ascii="Times New Roman" w:hAnsi="Times New Roman" w:eastAsia="宋体" w:cs="Times New Roman"/>
                <w:i w:val="0"/>
                <w:iCs w:val="0"/>
                <w:caps w:val="0"/>
                <w:color w:val="auto"/>
                <w:spacing w:val="0"/>
                <w:sz w:val="24"/>
                <w:szCs w:val="22"/>
                <w:highlight w:val="none"/>
                <w:shd w:val="clear" w:color="auto" w:fill="auto"/>
              </w:rPr>
              <w:t>禁止向水体排放油类、酸液、碱液或者剧毒废液</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i w:val="0"/>
                <w:iCs w:val="0"/>
                <w:caps w:val="0"/>
                <w:color w:val="auto"/>
                <w:spacing w:val="0"/>
                <w:sz w:val="24"/>
                <w:szCs w:val="22"/>
                <w:highlight w:val="none"/>
                <w:shd w:val="clear" w:color="auto" w:fill="auto"/>
              </w:rPr>
              <w:t>禁止向水体排放、倾倒工业废渣、城镇垃圾和其他废弃物</w:t>
            </w:r>
            <w:r>
              <w:rPr>
                <w:rFonts w:hint="default" w:ascii="Times New Roman" w:hAnsi="Times New Roman" w:eastAsia="宋体" w:cs="Times New Roman"/>
                <w:color w:val="auto"/>
                <w:highlight w:val="none"/>
              </w:rPr>
              <w:t>。</w:t>
            </w:r>
            <w:r>
              <w:rPr>
                <w:rFonts w:hint="default" w:ascii="Times New Roman" w:hAnsi="Times New Roman" w:eastAsia="宋体" w:cs="Times New Roman"/>
                <w:i w:val="0"/>
                <w:iCs w:val="0"/>
                <w:caps w:val="0"/>
                <w:color w:val="auto"/>
                <w:spacing w:val="0"/>
                <w:sz w:val="24"/>
                <w:szCs w:val="22"/>
                <w:highlight w:val="none"/>
                <w:shd w:val="clear" w:color="auto" w:fill="auto"/>
              </w:rPr>
              <w:t>禁止在江河、湖泊、运河、渠道、水库最高水位线以下的滩地和岸坡堆放、存贮固体废弃物和其他污染物</w:t>
            </w:r>
            <w:r>
              <w:rPr>
                <w:rFonts w:hint="default" w:ascii="Times New Roman" w:hAnsi="Times New Roman" w:eastAsia="宋体" w:cs="Times New Roman"/>
                <w:color w:val="auto"/>
                <w:highlight w:val="none"/>
              </w:rPr>
              <w:t>。”</w:t>
            </w:r>
          </w:p>
          <w:p w14:paraId="7357F43F">
            <w:pPr>
              <w:pStyle w:val="25"/>
              <w:snapToGrid w:val="0"/>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本项目属于防洪除涝</w:t>
            </w:r>
            <w:r>
              <w:rPr>
                <w:rFonts w:hint="eastAsia" w:cs="Times New Roman"/>
                <w:color w:val="auto"/>
                <w:highlight w:val="none"/>
                <w:lang w:eastAsia="zh-CN"/>
              </w:rPr>
              <w:t>、</w:t>
            </w:r>
            <w:r>
              <w:rPr>
                <w:rFonts w:hint="eastAsia" w:cs="Times New Roman"/>
                <w:color w:val="auto"/>
                <w:highlight w:val="none"/>
                <w:lang w:val="en-US" w:eastAsia="zh-CN"/>
              </w:rPr>
              <w:t>河湖整治</w:t>
            </w:r>
            <w:r>
              <w:rPr>
                <w:rFonts w:hint="default" w:ascii="Times New Roman" w:hAnsi="Times New Roman" w:cs="Times New Roman"/>
                <w:color w:val="auto"/>
                <w:highlight w:val="none"/>
              </w:rPr>
              <w:t>工程，不属于排放污染物的建设项目。项目</w:t>
            </w:r>
            <w:r>
              <w:rPr>
                <w:rFonts w:hint="default" w:ascii="Times New Roman" w:hAnsi="Times New Roman" w:cs="Times New Roman"/>
                <w:bCs/>
                <w:color w:val="auto"/>
                <w:kern w:val="0"/>
                <w:szCs w:val="21"/>
                <w:highlight w:val="none"/>
              </w:rPr>
              <w:t>施工期做好废水污染防治</w:t>
            </w:r>
            <w:r>
              <w:rPr>
                <w:rFonts w:hint="default" w:ascii="Times New Roman" w:hAnsi="Times New Roman" w:cs="Times New Roman"/>
                <w:bCs/>
                <w:color w:val="auto"/>
                <w:kern w:val="0"/>
                <w:szCs w:val="21"/>
                <w:highlight w:val="none"/>
                <w:lang w:val="en-US" w:eastAsia="zh-CN"/>
              </w:rPr>
              <w:t>和固体废物污染防治</w:t>
            </w:r>
            <w:r>
              <w:rPr>
                <w:rFonts w:hint="default" w:ascii="Times New Roman" w:hAnsi="Times New Roman" w:cs="Times New Roman"/>
                <w:bCs/>
                <w:color w:val="auto"/>
                <w:kern w:val="0"/>
                <w:szCs w:val="21"/>
                <w:highlight w:val="none"/>
              </w:rPr>
              <w:t>，不会造成水体污染。</w:t>
            </w:r>
            <w:r>
              <w:rPr>
                <w:rFonts w:hint="default" w:ascii="Times New Roman" w:hAnsi="Times New Roman" w:cs="Times New Roman"/>
                <w:color w:val="auto"/>
                <w:highlight w:val="none"/>
              </w:rPr>
              <w:t>因此，本项目的建设符合《中华人民共和国水污染防治法》的要求。</w:t>
            </w:r>
          </w:p>
          <w:p w14:paraId="201AC5D4">
            <w:pPr>
              <w:pStyle w:val="18"/>
              <w:spacing w:line="360" w:lineRule="auto"/>
              <w:ind w:firstLine="0" w:firstLineChars="0"/>
              <w:rPr>
                <w:rFonts w:hint="default" w:hAnsi="Times New Roman" w:cs="Times New Roman"/>
                <w:bCs/>
                <w:color w:val="auto"/>
                <w:kern w:val="24"/>
                <w:highlight w:val="none"/>
                <w:lang w:val="en-US" w:eastAsia="zh-CN"/>
              </w:rPr>
            </w:pPr>
            <w:r>
              <w:rPr>
                <w:rFonts w:hint="eastAsia" w:hAnsi="Times New Roman" w:cs="Times New Roman"/>
                <w:bCs/>
                <w:color w:val="auto"/>
                <w:kern w:val="24"/>
                <w:highlight w:val="none"/>
                <w:lang w:val="en-US" w:eastAsia="zh-CN"/>
              </w:rPr>
              <w:t>1.12与《四川省水利厅转发&lt;水利部办公厅关于进一步落实中小河流系统治理工作要求的通知&gt;的通知》（川水函〔2024〕979号）的符合性分析</w:t>
            </w:r>
          </w:p>
          <w:p w14:paraId="7E69233B">
            <w:pPr>
              <w:pStyle w:val="18"/>
              <w:spacing w:line="360" w:lineRule="auto"/>
              <w:ind w:firstLine="480" w:firstLineChars="200"/>
              <w:rPr>
                <w:rFonts w:hint="default" w:hAnsi="Times New Roman" w:cs="Times New Roman"/>
                <w:b w:val="0"/>
                <w:bCs w:val="0"/>
                <w:color w:val="auto"/>
                <w:kern w:val="24"/>
                <w:highlight w:val="none"/>
                <w:lang w:val="en-US" w:eastAsia="zh-CN"/>
              </w:rPr>
            </w:pPr>
            <w:r>
              <w:rPr>
                <w:rFonts w:hint="eastAsia" w:hAnsi="Times New Roman" w:cs="Times New Roman"/>
                <w:b w:val="0"/>
                <w:bCs w:val="0"/>
                <w:color w:val="auto"/>
                <w:kern w:val="24"/>
                <w:highlight w:val="none"/>
                <w:lang w:val="en-US" w:eastAsia="zh-CN"/>
              </w:rPr>
              <w:t>项目与《四川省水利厅转发&lt;水利部办公厅关于进一步落实中小河流系统治理工作要求的通知&gt;的通知》（川水函〔2024〕979号）的符合性分析见表1.12-1。</w:t>
            </w:r>
          </w:p>
          <w:p w14:paraId="39EEABD3">
            <w:pPr>
              <w:pStyle w:val="18"/>
              <w:spacing w:line="360" w:lineRule="auto"/>
              <w:ind w:firstLine="0" w:firstLineChars="0"/>
              <w:jc w:val="center"/>
              <w:rPr>
                <w:rFonts w:hint="default" w:hAnsi="Times New Roman" w:cs="Times New Roman"/>
                <w:bCs/>
                <w:color w:val="auto"/>
                <w:kern w:val="24"/>
                <w:highlight w:val="none"/>
                <w:lang w:val="en-US" w:eastAsia="zh-CN"/>
              </w:rPr>
            </w:pPr>
            <w:r>
              <w:rPr>
                <w:rFonts w:hint="eastAsia" w:hAnsi="Times New Roman" w:cs="Times New Roman"/>
                <w:bCs/>
                <w:color w:val="auto"/>
                <w:kern w:val="24"/>
                <w:highlight w:val="none"/>
                <w:lang w:val="en-US" w:eastAsia="zh-CN"/>
              </w:rPr>
              <w:t>表12.-1  与川水函〔2024〕979号符合性分析</w:t>
            </w:r>
          </w:p>
          <w:tbl>
            <w:tblPr>
              <w:tblStyle w:val="12"/>
              <w:tblW w:w="923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9"/>
              <w:gridCol w:w="2413"/>
              <w:gridCol w:w="767"/>
            </w:tblGrid>
            <w:tr w14:paraId="0F3E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9" w:type="dxa"/>
                  <w:vAlign w:val="center"/>
                </w:tcPr>
                <w:p w14:paraId="744B7BE1">
                  <w:pPr>
                    <w:pStyle w:val="18"/>
                    <w:spacing w:line="360" w:lineRule="auto"/>
                    <w:rPr>
                      <w:rFonts w:hint="default" w:hAnsi="Times New Roman" w:cs="Times New Roman"/>
                      <w:bCs/>
                      <w:color w:val="auto"/>
                      <w:kern w:val="24"/>
                      <w:highlight w:val="none"/>
                      <w:vertAlign w:val="baseline"/>
                      <w:lang w:val="en-US" w:eastAsia="zh-CN"/>
                    </w:rPr>
                  </w:pPr>
                  <w:r>
                    <w:rPr>
                      <w:rFonts w:hint="eastAsia" w:hAnsi="Times New Roman" w:cs="Times New Roman"/>
                      <w:bCs/>
                      <w:color w:val="auto"/>
                      <w:kern w:val="24"/>
                      <w:highlight w:val="none"/>
                      <w:vertAlign w:val="baseline"/>
                      <w:lang w:val="en-US" w:eastAsia="zh-CN"/>
                    </w:rPr>
                    <w:t>相关要求</w:t>
                  </w:r>
                </w:p>
              </w:tc>
              <w:tc>
                <w:tcPr>
                  <w:tcW w:w="2413" w:type="dxa"/>
                  <w:vAlign w:val="center"/>
                </w:tcPr>
                <w:p w14:paraId="669EAB77">
                  <w:pPr>
                    <w:pStyle w:val="18"/>
                    <w:spacing w:line="360" w:lineRule="auto"/>
                    <w:rPr>
                      <w:rFonts w:hint="default" w:hAnsi="Times New Roman" w:cs="Times New Roman"/>
                      <w:bCs/>
                      <w:color w:val="auto"/>
                      <w:kern w:val="24"/>
                      <w:highlight w:val="none"/>
                      <w:vertAlign w:val="baseline"/>
                      <w:lang w:val="en-US" w:eastAsia="zh-CN"/>
                    </w:rPr>
                  </w:pPr>
                  <w:r>
                    <w:rPr>
                      <w:rFonts w:hint="eastAsia" w:hAnsi="Times New Roman" w:cs="Times New Roman"/>
                      <w:bCs/>
                      <w:color w:val="auto"/>
                      <w:kern w:val="24"/>
                      <w:highlight w:val="none"/>
                      <w:vertAlign w:val="baseline"/>
                      <w:lang w:val="en-US" w:eastAsia="zh-CN"/>
                    </w:rPr>
                    <w:t>本项目情况</w:t>
                  </w:r>
                </w:p>
              </w:tc>
              <w:tc>
                <w:tcPr>
                  <w:tcW w:w="767" w:type="dxa"/>
                  <w:shd w:val="clear" w:color="auto" w:fill="auto"/>
                  <w:vAlign w:val="center"/>
                </w:tcPr>
                <w:p w14:paraId="2CE91F95">
                  <w:pPr>
                    <w:pStyle w:val="22"/>
                    <w:spacing w:line="240" w:lineRule="auto"/>
                    <w:ind w:left="-120" w:leftChars="-50" w:right="-120" w:rightChars="-50" w:firstLine="0" w:firstLineChars="0"/>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cs="Times New Roman"/>
                      <w:b/>
                      <w:bCs/>
                      <w:color w:val="auto"/>
                      <w:sz w:val="21"/>
                      <w:szCs w:val="21"/>
                      <w:highlight w:val="none"/>
                    </w:rPr>
                    <w:t>符合性</w:t>
                  </w:r>
                </w:p>
              </w:tc>
            </w:tr>
            <w:tr w14:paraId="1175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9" w:type="dxa"/>
                  <w:vAlign w:val="center"/>
                </w:tcPr>
                <w:p w14:paraId="4E0ACC05">
                  <w:pPr>
                    <w:pStyle w:val="18"/>
                    <w:numPr>
                      <w:ilvl w:val="0"/>
                      <w:numId w:val="1"/>
                    </w:numPr>
                    <w:autoSpaceDE/>
                    <w:autoSpaceDN/>
                    <w:spacing w:line="240" w:lineRule="auto"/>
                    <w:ind w:firstLine="0" w:firstLineChars="0"/>
                    <w:jc w:val="left"/>
                    <w:rPr>
                      <w:rFonts w:hint="eastAsia" w:hAnsi="Times New Roman" w:cs="Times New Roman"/>
                      <w:b w:val="0"/>
                      <w:bCs w:val="0"/>
                      <w:color w:val="auto"/>
                      <w:kern w:val="24"/>
                      <w:sz w:val="21"/>
                      <w:szCs w:val="21"/>
                      <w:highlight w:val="none"/>
                      <w:vertAlign w:val="baseline"/>
                      <w:lang w:val="en-US" w:eastAsia="zh-CN"/>
                    </w:rPr>
                  </w:pPr>
                  <w:r>
                    <w:rPr>
                      <w:rFonts w:hint="eastAsia" w:hAnsi="Times New Roman" w:cs="Times New Roman"/>
                      <w:b w:val="0"/>
                      <w:bCs w:val="0"/>
                      <w:color w:val="auto"/>
                      <w:kern w:val="24"/>
                      <w:sz w:val="21"/>
                      <w:szCs w:val="21"/>
                      <w:highlight w:val="none"/>
                      <w:vertAlign w:val="baseline"/>
                      <w:lang w:val="en-US" w:eastAsia="zh-CN"/>
                    </w:rPr>
                    <w:t>以县域为单元开展初步设计编制。</w:t>
                  </w:r>
                </w:p>
                <w:p w14:paraId="709C5FEC">
                  <w:pPr>
                    <w:pStyle w:val="18"/>
                    <w:numPr>
                      <w:ilvl w:val="0"/>
                      <w:numId w:val="1"/>
                    </w:numPr>
                    <w:autoSpaceDE/>
                    <w:autoSpaceDN/>
                    <w:spacing w:line="240" w:lineRule="auto"/>
                    <w:ind w:firstLine="0" w:firstLineChars="0"/>
                    <w:jc w:val="left"/>
                    <w:rPr>
                      <w:rFonts w:hint="eastAsia" w:hAnsi="Times New Roman" w:cs="Times New Roman"/>
                      <w:b w:val="0"/>
                      <w:bCs w:val="0"/>
                      <w:color w:val="auto"/>
                      <w:kern w:val="24"/>
                      <w:sz w:val="21"/>
                      <w:szCs w:val="21"/>
                      <w:highlight w:val="none"/>
                      <w:vertAlign w:val="baseline"/>
                      <w:lang w:val="en-US" w:eastAsia="zh-CN"/>
                    </w:rPr>
                  </w:pPr>
                  <w:r>
                    <w:rPr>
                      <w:rFonts w:hint="eastAsia" w:hAnsi="Times New Roman" w:cs="Times New Roman"/>
                      <w:b w:val="0"/>
                      <w:bCs w:val="0"/>
                      <w:color w:val="auto"/>
                      <w:kern w:val="24"/>
                      <w:sz w:val="21"/>
                      <w:szCs w:val="21"/>
                      <w:highlight w:val="none"/>
                      <w:vertAlign w:val="baseline"/>
                      <w:lang w:val="en-US" w:eastAsia="zh-CN"/>
                    </w:rPr>
                    <w:t>中小河流治理项目应纳入全国中小河流治理方案，初步设计原则上由项目所在县级水行政主管部门组织编制。</w:t>
                  </w:r>
                </w:p>
              </w:tc>
              <w:tc>
                <w:tcPr>
                  <w:tcW w:w="2413" w:type="dxa"/>
                  <w:vAlign w:val="center"/>
                </w:tcPr>
                <w:p w14:paraId="3213DA40">
                  <w:pPr>
                    <w:pStyle w:val="18"/>
                    <w:numPr>
                      <w:ilvl w:val="0"/>
                      <w:numId w:val="1"/>
                    </w:numPr>
                    <w:autoSpaceDE/>
                    <w:autoSpaceDN/>
                    <w:spacing w:line="240" w:lineRule="auto"/>
                    <w:ind w:firstLine="0" w:firstLineChars="0"/>
                    <w:jc w:val="left"/>
                    <w:rPr>
                      <w:rFonts w:hint="eastAsia" w:hAnsi="Times New Roman" w:cs="Times New Roman"/>
                      <w:b w:val="0"/>
                      <w:bCs w:val="0"/>
                      <w:color w:val="auto"/>
                      <w:kern w:val="24"/>
                      <w:sz w:val="21"/>
                      <w:szCs w:val="21"/>
                      <w:highlight w:val="none"/>
                      <w:vertAlign w:val="baseline"/>
                      <w:lang w:val="en-US" w:eastAsia="zh-CN"/>
                    </w:rPr>
                  </w:pPr>
                  <w:r>
                    <w:rPr>
                      <w:rFonts w:hint="eastAsia" w:hAnsi="Times New Roman" w:cs="Times New Roman"/>
                      <w:b w:val="0"/>
                      <w:bCs w:val="0"/>
                      <w:color w:val="auto"/>
                      <w:kern w:val="24"/>
                      <w:sz w:val="21"/>
                      <w:szCs w:val="21"/>
                      <w:highlight w:val="none"/>
                      <w:vertAlign w:val="baseline"/>
                      <w:lang w:val="en-US" w:eastAsia="zh-CN"/>
                    </w:rPr>
                    <w:t>本项目初步设计由大竹县水务局组织设计单位编制。</w:t>
                  </w:r>
                </w:p>
              </w:tc>
              <w:tc>
                <w:tcPr>
                  <w:tcW w:w="767" w:type="dxa"/>
                  <w:vAlign w:val="center"/>
                </w:tcPr>
                <w:p w14:paraId="7E45D2FB">
                  <w:pPr>
                    <w:pStyle w:val="18"/>
                    <w:spacing w:line="360" w:lineRule="auto"/>
                    <w:rPr>
                      <w:rFonts w:hint="default" w:hAnsi="Times New Roman" w:cs="Times New Roman"/>
                      <w:bCs/>
                      <w:color w:val="auto"/>
                      <w:kern w:val="24"/>
                      <w:highlight w:val="none"/>
                      <w:vertAlign w:val="baseline"/>
                      <w:lang w:val="en-US" w:eastAsia="zh-CN"/>
                    </w:rPr>
                  </w:pPr>
                  <w:r>
                    <w:rPr>
                      <w:rFonts w:hint="eastAsia" w:hAnsi="Times New Roman" w:cs="Times New Roman"/>
                      <w:bCs/>
                      <w:color w:val="auto"/>
                      <w:kern w:val="24"/>
                      <w:sz w:val="21"/>
                      <w:szCs w:val="21"/>
                      <w:highlight w:val="none"/>
                      <w:vertAlign w:val="baseline"/>
                      <w:lang w:val="en-US" w:eastAsia="zh-CN"/>
                    </w:rPr>
                    <w:t>符合</w:t>
                  </w:r>
                </w:p>
              </w:tc>
            </w:tr>
            <w:tr w14:paraId="6BB4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59" w:type="dxa"/>
                  <w:vAlign w:val="center"/>
                </w:tcPr>
                <w:p w14:paraId="678107E5">
                  <w:pPr>
                    <w:pStyle w:val="18"/>
                    <w:numPr>
                      <w:ilvl w:val="0"/>
                      <w:numId w:val="1"/>
                    </w:numPr>
                    <w:autoSpaceDE/>
                    <w:autoSpaceDN/>
                    <w:spacing w:line="240" w:lineRule="auto"/>
                    <w:ind w:firstLine="0" w:firstLineChars="0"/>
                    <w:jc w:val="left"/>
                    <w:rPr>
                      <w:rFonts w:hint="eastAsia" w:hAnsi="Times New Roman" w:cs="Times New Roman"/>
                      <w:b w:val="0"/>
                      <w:bCs w:val="0"/>
                      <w:color w:val="auto"/>
                      <w:kern w:val="24"/>
                      <w:sz w:val="21"/>
                      <w:szCs w:val="21"/>
                      <w:highlight w:val="none"/>
                      <w:vertAlign w:val="baseline"/>
                      <w:lang w:val="en-US" w:eastAsia="zh-CN"/>
                    </w:rPr>
                  </w:pPr>
                  <w:r>
                    <w:rPr>
                      <w:rFonts w:hint="eastAsia" w:hAnsi="Times New Roman" w:cs="Times New Roman"/>
                      <w:b w:val="0"/>
                      <w:bCs w:val="0"/>
                      <w:color w:val="auto"/>
                      <w:kern w:val="24"/>
                      <w:sz w:val="21"/>
                      <w:szCs w:val="21"/>
                      <w:highlight w:val="none"/>
                      <w:vertAlign w:val="baseline"/>
                      <w:lang w:val="en-US" w:eastAsia="zh-CN"/>
                    </w:rPr>
                    <w:t>分级加强初步设计审核。</w:t>
                  </w:r>
                </w:p>
                <w:p w14:paraId="4CF85CCA">
                  <w:pPr>
                    <w:pStyle w:val="18"/>
                    <w:numPr>
                      <w:ilvl w:val="-1"/>
                      <w:numId w:val="0"/>
                    </w:numPr>
                    <w:autoSpaceDE/>
                    <w:autoSpaceDN/>
                    <w:spacing w:line="240" w:lineRule="auto"/>
                    <w:ind w:firstLine="0" w:firstLineChars="0"/>
                    <w:jc w:val="left"/>
                    <w:rPr>
                      <w:rFonts w:hint="default" w:hAnsi="Times New Roman" w:cs="Times New Roman"/>
                      <w:b w:val="0"/>
                      <w:bCs w:val="0"/>
                      <w:color w:val="auto"/>
                      <w:kern w:val="24"/>
                      <w:sz w:val="21"/>
                      <w:szCs w:val="21"/>
                      <w:highlight w:val="none"/>
                      <w:vertAlign w:val="baseline"/>
                      <w:lang w:val="en-US" w:eastAsia="zh-CN"/>
                    </w:rPr>
                  </w:pPr>
                  <w:r>
                    <w:rPr>
                      <w:rFonts w:hint="default" w:hAnsi="Times New Roman" w:cs="Times New Roman"/>
                      <w:b w:val="0"/>
                      <w:bCs w:val="0"/>
                      <w:color w:val="auto"/>
                      <w:kern w:val="24"/>
                      <w:sz w:val="21"/>
                      <w:szCs w:val="21"/>
                      <w:highlight w:val="none"/>
                      <w:vertAlign w:val="baseline"/>
                      <w:lang w:val="en-US" w:eastAsia="zh-CN"/>
                    </w:rPr>
                    <w:t>中小河流治理项目原则上由项目所在县级水行政主管部门按照逐河流治理方案批复。其中</w:t>
                  </w:r>
                  <w:r>
                    <w:rPr>
                      <w:rFonts w:hint="eastAsia" w:hAnsi="Times New Roman" w:cs="Times New Roman"/>
                      <w:b w:val="0"/>
                      <w:bCs w:val="0"/>
                      <w:color w:val="auto"/>
                      <w:kern w:val="24"/>
                      <w:sz w:val="21"/>
                      <w:szCs w:val="21"/>
                      <w:highlight w:val="none"/>
                      <w:vertAlign w:val="baseline"/>
                      <w:lang w:val="en-US" w:eastAsia="zh-CN"/>
                    </w:rPr>
                    <w:t>：</w:t>
                  </w:r>
                  <w:r>
                    <w:rPr>
                      <w:rFonts w:hint="default" w:hAnsi="Times New Roman" w:cs="Times New Roman"/>
                      <w:b w:val="0"/>
                      <w:bCs w:val="0"/>
                      <w:color w:val="auto"/>
                      <w:kern w:val="24"/>
                      <w:sz w:val="21"/>
                      <w:szCs w:val="21"/>
                      <w:highlight w:val="none"/>
                      <w:vertAlign w:val="baseline"/>
                      <w:lang w:val="en-US" w:eastAsia="zh-CN"/>
                    </w:rPr>
                    <w:t>不跨市(州的中小河流,其治理项目由市(州)水行政主管部门组织技术审查:跨市(州)和省管的中小河流，其治理项目由水利厅组织技术审查;跨省的中小河流，其治理项目由水利厅组织技术审查并报流域机构审核</w:t>
                  </w:r>
                  <w:r>
                    <w:rPr>
                      <w:rFonts w:hint="eastAsia" w:hAnsi="Times New Roman" w:cs="Times New Roman"/>
                      <w:b w:val="0"/>
                      <w:bCs w:val="0"/>
                      <w:color w:val="auto"/>
                      <w:kern w:val="24"/>
                      <w:sz w:val="21"/>
                      <w:szCs w:val="21"/>
                      <w:highlight w:val="none"/>
                      <w:vertAlign w:val="baseline"/>
                      <w:lang w:val="en-US" w:eastAsia="zh-CN"/>
                    </w:rPr>
                    <w:t>同意。</w:t>
                  </w:r>
                </w:p>
              </w:tc>
              <w:tc>
                <w:tcPr>
                  <w:tcW w:w="2413" w:type="dxa"/>
                  <w:vAlign w:val="center"/>
                </w:tcPr>
                <w:p w14:paraId="3039D8DA">
                  <w:pPr>
                    <w:pStyle w:val="18"/>
                    <w:autoSpaceDE/>
                    <w:autoSpaceDN/>
                    <w:spacing w:line="240" w:lineRule="auto"/>
                    <w:ind w:firstLine="0" w:firstLineChars="0"/>
                    <w:jc w:val="left"/>
                    <w:rPr>
                      <w:rFonts w:hint="eastAsia" w:hAnsi="Times New Roman" w:cs="Times New Roman"/>
                      <w:b w:val="0"/>
                      <w:bCs w:val="0"/>
                      <w:color w:val="auto"/>
                      <w:kern w:val="24"/>
                      <w:sz w:val="21"/>
                      <w:szCs w:val="21"/>
                      <w:highlight w:val="none"/>
                      <w:vertAlign w:val="baseline"/>
                      <w:lang w:val="en-US" w:eastAsia="zh-CN"/>
                    </w:rPr>
                  </w:pPr>
                  <w:r>
                    <w:rPr>
                      <w:rFonts w:hint="eastAsia" w:hAnsi="Times New Roman" w:cs="Times New Roman"/>
                      <w:b w:val="0"/>
                      <w:bCs w:val="0"/>
                      <w:color w:val="auto"/>
                      <w:kern w:val="24"/>
                      <w:sz w:val="21"/>
                      <w:szCs w:val="21"/>
                      <w:highlight w:val="none"/>
                      <w:vertAlign w:val="baseline"/>
                      <w:lang w:val="en-US" w:eastAsia="zh-CN"/>
                    </w:rPr>
                    <w:t>本项目治理河段位于石河镇、清河镇和杨家镇，属于不跨市(州)的中小河流，初步设计经大竹县水务局批复。</w:t>
                  </w:r>
                </w:p>
              </w:tc>
              <w:tc>
                <w:tcPr>
                  <w:tcW w:w="767" w:type="dxa"/>
                  <w:vAlign w:val="center"/>
                </w:tcPr>
                <w:p w14:paraId="304EC8F0">
                  <w:pPr>
                    <w:pStyle w:val="18"/>
                    <w:autoSpaceDE/>
                    <w:autoSpaceDN/>
                    <w:spacing w:line="240" w:lineRule="auto"/>
                    <w:ind w:firstLine="0" w:firstLineChars="0"/>
                    <w:jc w:val="center"/>
                    <w:rPr>
                      <w:rFonts w:hint="default" w:hAnsi="Times New Roman" w:cs="Times New Roman"/>
                      <w:b w:val="0"/>
                      <w:bCs w:val="0"/>
                      <w:color w:val="auto"/>
                      <w:kern w:val="24"/>
                      <w:sz w:val="21"/>
                      <w:szCs w:val="21"/>
                      <w:highlight w:val="none"/>
                      <w:vertAlign w:val="baseline"/>
                      <w:lang w:val="en-US" w:eastAsia="zh-CN"/>
                    </w:rPr>
                  </w:pPr>
                  <w:r>
                    <w:rPr>
                      <w:rFonts w:hint="eastAsia" w:hAnsi="Times New Roman" w:cs="Times New Roman"/>
                      <w:b w:val="0"/>
                      <w:bCs w:val="0"/>
                      <w:color w:val="auto"/>
                      <w:kern w:val="24"/>
                      <w:sz w:val="21"/>
                      <w:szCs w:val="21"/>
                      <w:highlight w:val="none"/>
                      <w:vertAlign w:val="baseline"/>
                      <w:lang w:val="en-US" w:eastAsia="zh-CN"/>
                    </w:rPr>
                    <w:t>符合</w:t>
                  </w:r>
                </w:p>
              </w:tc>
            </w:tr>
          </w:tbl>
          <w:p w14:paraId="0CF6986B">
            <w:pPr>
              <w:pStyle w:val="18"/>
              <w:spacing w:line="360" w:lineRule="auto"/>
              <w:ind w:firstLine="480" w:firstLineChars="200"/>
              <w:rPr>
                <w:rFonts w:hint="eastAsia" w:hAnsi="Times New Roman" w:cs="Times New Roman"/>
                <w:bCs/>
                <w:color w:val="auto"/>
                <w:kern w:val="24"/>
                <w:highlight w:val="none"/>
                <w:lang w:val="en-US" w:eastAsia="zh-CN"/>
              </w:rPr>
            </w:pPr>
            <w:r>
              <w:rPr>
                <w:rFonts w:hint="eastAsia" w:hAnsi="Times New Roman" w:cs="Times New Roman"/>
                <w:b w:val="0"/>
                <w:bCs w:val="0"/>
                <w:color w:val="auto"/>
                <w:kern w:val="24"/>
                <w:highlight w:val="none"/>
                <w:lang w:val="en-US" w:eastAsia="zh-CN"/>
              </w:rPr>
              <w:t>由上表可知，项目的建设符合《四川省水利厅转发&lt;水利部办公厅关于进一步落实中小河流系统治理工作要求的通知&gt;的通知》（川水函〔2024〕979号）的相关要求。</w:t>
            </w:r>
          </w:p>
          <w:p w14:paraId="4191C248">
            <w:pPr>
              <w:pStyle w:val="18"/>
              <w:spacing w:line="360" w:lineRule="auto"/>
              <w:ind w:firstLine="0" w:firstLineChars="0"/>
              <w:rPr>
                <w:rFonts w:hint="default" w:ascii="Times New Roman" w:hAnsi="Times New Roman" w:cs="Times New Roman"/>
                <w:bCs/>
                <w:color w:val="auto"/>
                <w:kern w:val="24"/>
                <w:highlight w:val="none"/>
              </w:rPr>
            </w:pPr>
            <w:r>
              <w:rPr>
                <w:rFonts w:hint="eastAsia" w:hAnsi="Times New Roman" w:cs="Times New Roman"/>
                <w:bCs/>
                <w:color w:val="auto"/>
                <w:kern w:val="24"/>
                <w:highlight w:val="none"/>
                <w:lang w:val="en-US" w:eastAsia="zh-CN"/>
              </w:rPr>
              <w:t>1.13</w:t>
            </w:r>
            <w:r>
              <w:rPr>
                <w:rFonts w:hint="default" w:ascii="Times New Roman" w:hAnsi="Times New Roman" w:cs="Times New Roman"/>
                <w:bCs/>
                <w:color w:val="auto"/>
                <w:kern w:val="24"/>
                <w:highlight w:val="none"/>
              </w:rPr>
              <w:t>项目用地符合性分析</w:t>
            </w:r>
          </w:p>
          <w:p w14:paraId="0FD0F74F">
            <w:pPr>
              <w:pStyle w:val="18"/>
              <w:spacing w:line="360" w:lineRule="auto"/>
              <w:ind w:firstLine="480"/>
              <w:rPr>
                <w:rFonts w:hint="eastAsia"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rPr>
              <w:t>本项目</w:t>
            </w:r>
            <w:r>
              <w:rPr>
                <w:rFonts w:hint="eastAsia" w:cs="Times New Roman"/>
                <w:b w:val="0"/>
                <w:bCs/>
                <w:color w:val="auto"/>
                <w:sz w:val="24"/>
                <w:szCs w:val="24"/>
                <w:highlight w:val="none"/>
                <w:lang w:val="en-US" w:eastAsia="zh-CN"/>
              </w:rPr>
              <w:t>二郎、福兴段和石河、双拱段均</w:t>
            </w:r>
            <w:r>
              <w:rPr>
                <w:rFonts w:hint="default" w:ascii="Times New Roman" w:hAnsi="Times New Roman" w:cs="Times New Roman"/>
                <w:b w:val="0"/>
                <w:bCs/>
                <w:color w:val="auto"/>
                <w:sz w:val="24"/>
                <w:szCs w:val="24"/>
                <w:highlight w:val="none"/>
              </w:rPr>
              <w:t>位于</w:t>
            </w:r>
            <w:r>
              <w:rPr>
                <w:rFonts w:hint="eastAsia" w:cs="Times New Roman"/>
                <w:b w:val="0"/>
                <w:bCs/>
                <w:color w:val="auto"/>
                <w:sz w:val="24"/>
                <w:szCs w:val="24"/>
                <w:highlight w:val="none"/>
                <w:lang w:eastAsia="zh-CN"/>
              </w:rPr>
              <w:t>石河镇</w:t>
            </w:r>
            <w:r>
              <w:rPr>
                <w:rFonts w:hint="default" w:ascii="Times New Roman" w:hAnsi="Times New Roman" w:cs="Times New Roman"/>
                <w:b w:val="0"/>
                <w:bCs/>
                <w:color w:val="auto"/>
                <w:sz w:val="24"/>
                <w:szCs w:val="24"/>
                <w:highlight w:val="none"/>
              </w:rPr>
              <w:t>，</w:t>
            </w:r>
            <w:r>
              <w:rPr>
                <w:rFonts w:hint="eastAsia" w:cs="Times New Roman"/>
                <w:b w:val="0"/>
                <w:bCs/>
                <w:color w:val="auto"/>
                <w:sz w:val="24"/>
                <w:szCs w:val="24"/>
                <w:highlight w:val="none"/>
                <w:lang w:val="en-US" w:eastAsia="zh-CN"/>
              </w:rPr>
              <w:t>杨家镇段位于杨家镇、清河镇段位于清河镇。项目系防洪治理工程，项目二郎、福兴段总长</w:t>
            </w:r>
            <w:r>
              <w:rPr>
                <w:rFonts w:hint="eastAsia"/>
                <w:b w:val="0"/>
                <w:bCs/>
                <w:color w:val="auto"/>
                <w:sz w:val="24"/>
                <w:szCs w:val="24"/>
                <w:highlight w:val="none"/>
              </w:rPr>
              <w:t>7.429km</w:t>
            </w:r>
            <w:r>
              <w:rPr>
                <w:rFonts w:hint="eastAsia" w:cs="Times New Roman"/>
                <w:b w:val="0"/>
                <w:bCs/>
                <w:color w:val="auto"/>
                <w:sz w:val="24"/>
                <w:szCs w:val="24"/>
                <w:highlight w:val="none"/>
                <w:lang w:val="en-US" w:eastAsia="zh-CN"/>
              </w:rPr>
              <w:t>，石河、双拱段总长</w:t>
            </w:r>
            <w:r>
              <w:rPr>
                <w:rFonts w:hint="eastAsia"/>
                <w:b w:val="0"/>
                <w:bCs/>
                <w:color w:val="auto"/>
                <w:sz w:val="24"/>
                <w:szCs w:val="24"/>
                <w:highlight w:val="none"/>
                <w:lang w:val="en-US" w:eastAsia="zh-CN"/>
              </w:rPr>
              <w:t>4.6</w:t>
            </w:r>
            <w:r>
              <w:rPr>
                <w:rFonts w:hint="eastAsia"/>
                <w:b w:val="0"/>
                <w:bCs/>
                <w:color w:val="auto"/>
                <w:sz w:val="24"/>
                <w:szCs w:val="24"/>
                <w:highlight w:val="none"/>
              </w:rPr>
              <w:t>km</w:t>
            </w:r>
            <w:r>
              <w:rPr>
                <w:rFonts w:hint="eastAsia" w:cs="Times New Roman"/>
                <w:b w:val="0"/>
                <w:bCs/>
                <w:color w:val="auto"/>
                <w:sz w:val="24"/>
                <w:szCs w:val="24"/>
                <w:highlight w:val="none"/>
                <w:lang w:val="en-US" w:eastAsia="zh-CN"/>
              </w:rPr>
              <w:t>，清河、杨家镇段总长</w:t>
            </w:r>
            <w:r>
              <w:rPr>
                <w:rFonts w:hint="eastAsia"/>
                <w:b w:val="0"/>
                <w:bCs/>
                <w:color w:val="auto"/>
                <w:sz w:val="24"/>
                <w:szCs w:val="24"/>
                <w:highlight w:val="none"/>
                <w:lang w:val="en-US" w:eastAsia="zh-CN"/>
              </w:rPr>
              <w:t>9.258</w:t>
            </w:r>
            <w:r>
              <w:rPr>
                <w:rFonts w:hint="eastAsia"/>
                <w:b w:val="0"/>
                <w:bCs/>
                <w:color w:val="auto"/>
                <w:sz w:val="24"/>
                <w:szCs w:val="24"/>
                <w:highlight w:val="none"/>
              </w:rPr>
              <w:t>km</w:t>
            </w:r>
            <w:r>
              <w:rPr>
                <w:rFonts w:hint="eastAsia" w:cs="Times New Roman"/>
                <w:b w:val="0"/>
                <w:bCs/>
                <w:color w:val="auto"/>
                <w:sz w:val="24"/>
                <w:szCs w:val="24"/>
                <w:highlight w:val="none"/>
                <w:lang w:val="en-US" w:eastAsia="zh-CN"/>
              </w:rPr>
              <w:t>，总占地面积334.51亩</w:t>
            </w:r>
            <w:r>
              <w:rPr>
                <w:rFonts w:hint="default" w:ascii="Times New Roman" w:hAnsi="Times New Roman" w:cs="Times New Roman"/>
                <w:b w:val="0"/>
                <w:bCs/>
                <w:color w:val="auto"/>
                <w:highlight w:val="none"/>
                <w:lang w:eastAsia="zh-CN"/>
              </w:rPr>
              <w:t>，</w:t>
            </w:r>
            <w:r>
              <w:rPr>
                <w:rFonts w:hint="default" w:ascii="Times New Roman" w:hAnsi="Times New Roman" w:cs="Times New Roman"/>
                <w:b w:val="0"/>
                <w:bCs/>
                <w:color w:val="auto"/>
                <w:highlight w:val="none"/>
                <w:lang w:val="en-US" w:eastAsia="zh-CN"/>
              </w:rPr>
              <w:t>其中：</w:t>
            </w:r>
            <w:r>
              <w:rPr>
                <w:rFonts w:hint="default" w:ascii="Times New Roman" w:hAnsi="Times New Roman" w:cs="Times New Roman"/>
                <w:b w:val="0"/>
                <w:bCs/>
                <w:color w:val="auto"/>
                <w:highlight w:val="none"/>
              </w:rPr>
              <w:t>永久占地共</w:t>
            </w:r>
            <w:r>
              <w:rPr>
                <w:rFonts w:hint="eastAsia"/>
                <w:b w:val="0"/>
                <w:bCs/>
                <w:color w:val="auto"/>
                <w:highlight w:val="none"/>
                <w:lang w:val="en-US" w:eastAsia="zh-CN"/>
              </w:rPr>
              <w:t>277.57</w:t>
            </w:r>
            <w:r>
              <w:rPr>
                <w:rFonts w:hint="default" w:ascii="Times New Roman" w:hAnsi="Times New Roman" w:cs="Times New Roman"/>
                <w:b w:val="0"/>
                <w:bCs/>
                <w:color w:val="auto"/>
                <w:highlight w:val="none"/>
              </w:rPr>
              <w:t>亩</w:t>
            </w:r>
            <w:r>
              <w:rPr>
                <w:rFonts w:hint="default" w:ascii="Times New Roman" w:hAnsi="Times New Roman" w:cs="Times New Roman"/>
                <w:b w:val="0"/>
                <w:bCs/>
                <w:color w:val="auto"/>
                <w:highlight w:val="none"/>
                <w:lang w:eastAsia="zh-CN"/>
              </w:rPr>
              <w:t>，</w:t>
            </w:r>
            <w:r>
              <w:rPr>
                <w:rFonts w:hint="default" w:ascii="Times New Roman" w:hAnsi="Times New Roman" w:cs="Times New Roman"/>
                <w:b w:val="0"/>
                <w:bCs/>
                <w:color w:val="auto"/>
                <w:highlight w:val="none"/>
              </w:rPr>
              <w:t>临时占地共</w:t>
            </w:r>
            <w:r>
              <w:rPr>
                <w:rFonts w:hint="eastAsia" w:cs="Times New Roman"/>
                <w:b w:val="0"/>
                <w:bCs/>
                <w:color w:val="auto"/>
                <w:highlight w:val="none"/>
                <w:lang w:val="en-US" w:eastAsia="zh-CN"/>
              </w:rPr>
              <w:t>56.94亩</w:t>
            </w:r>
            <w:r>
              <w:rPr>
                <w:rFonts w:hint="eastAsia" w:cs="Times New Roman"/>
                <w:b w:val="0"/>
                <w:bCs/>
                <w:color w:val="auto"/>
                <w:sz w:val="24"/>
                <w:szCs w:val="24"/>
                <w:highlight w:val="none"/>
                <w:lang w:val="en-US" w:eastAsia="zh-CN"/>
              </w:rPr>
              <w:t>。</w:t>
            </w:r>
          </w:p>
          <w:p w14:paraId="114791A3">
            <w:pPr>
              <w:pStyle w:val="18"/>
              <w:spacing w:line="360" w:lineRule="auto"/>
              <w:ind w:firstLine="480"/>
              <w:rPr>
                <w:rFonts w:hint="default"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根据大竹县自然资源局出具的</w:t>
            </w:r>
            <w:r>
              <w:rPr>
                <w:rFonts w:hint="eastAsia" w:cs="Times New Roman"/>
                <w:b w:val="0"/>
                <w:bCs/>
                <w:color w:val="auto"/>
                <w:highlight w:val="none"/>
                <w:lang w:eastAsia="zh-CN"/>
              </w:rPr>
              <w:t>大竹县柳城河石河镇二郎、福兴防洪治理工程</w:t>
            </w:r>
            <w:r>
              <w:rPr>
                <w:rFonts w:hint="eastAsia" w:cs="Times New Roman"/>
                <w:b w:val="0"/>
                <w:bCs/>
                <w:color w:val="auto"/>
                <w:highlight w:val="none"/>
                <w:lang w:val="en-US" w:eastAsia="zh-CN"/>
              </w:rPr>
              <w:t>土地利用项目占用永久基本农田数据对比情况</w:t>
            </w:r>
            <w:r>
              <w:rPr>
                <w:rFonts w:hint="eastAsia" w:cs="Times New Roman"/>
                <w:b w:val="0"/>
                <w:bCs/>
                <w:color w:val="auto"/>
                <w:highlight w:val="none"/>
                <w:lang w:eastAsia="zh-CN"/>
              </w:rPr>
              <w:t>，</w:t>
            </w:r>
            <w:r>
              <w:rPr>
                <w:rFonts w:hint="eastAsia" w:cs="Times New Roman"/>
                <w:b w:val="0"/>
                <w:bCs/>
                <w:color w:val="auto"/>
                <w:highlight w:val="none"/>
                <w:lang w:val="en-US" w:eastAsia="zh-CN"/>
              </w:rPr>
              <w:t>以及</w:t>
            </w:r>
            <w:r>
              <w:rPr>
                <w:rFonts w:hint="eastAsia" w:cs="Times New Roman"/>
                <w:b w:val="0"/>
                <w:bCs/>
                <w:color w:val="auto"/>
                <w:highlight w:val="none"/>
                <w:lang w:eastAsia="zh-CN"/>
              </w:rPr>
              <w:t>大竹县柳城河石河镇防洪治理工程、四川省大竹县东柳河清河镇防洪治理工程和东柳河杨家镇防洪治理工程与永久基本农田位置示意图</w:t>
            </w:r>
            <w:r>
              <w:rPr>
                <w:rFonts w:hint="eastAsia" w:cs="Times New Roman"/>
                <w:b w:val="0"/>
                <w:bCs/>
                <w:color w:val="auto"/>
                <w:highlight w:val="none"/>
                <w:lang w:val="en-US" w:eastAsia="zh-CN"/>
              </w:rPr>
              <w:t>，明确本项目拟用地范围内均不涉及占用永久基本农田。本项目与永久基本农田位置示意图详见附件5。</w:t>
            </w:r>
          </w:p>
          <w:p w14:paraId="0097F97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宋体" w:eastAsia="宋体" w:cs="Times New Roman"/>
                <w:b w:val="0"/>
                <w:bCs/>
                <w:snapToGrid w:val="0"/>
                <w:color w:val="auto"/>
                <w:kern w:val="0"/>
                <w:sz w:val="24"/>
                <w:szCs w:val="22"/>
                <w:highlight w:val="none"/>
                <w:lang w:val="en-US" w:eastAsia="zh-CN" w:bidi="ar-SA"/>
              </w:rPr>
            </w:pPr>
            <w:r>
              <w:rPr>
                <w:rFonts w:hint="eastAsia" w:ascii="Times New Roman" w:hAnsi="宋体" w:eastAsia="宋体" w:cs="Times New Roman"/>
                <w:b w:val="0"/>
                <w:bCs/>
                <w:snapToGrid w:val="0"/>
                <w:color w:val="auto"/>
                <w:kern w:val="0"/>
                <w:sz w:val="24"/>
                <w:szCs w:val="22"/>
                <w:highlight w:val="none"/>
                <w:lang w:val="en-US" w:eastAsia="zh-CN" w:bidi="ar-SA"/>
              </w:rPr>
              <w:t>由于工程实施范围内永久占地需使用耕地101.33亩，临时占地需使用耕地22.06亩，共123.39亩，根据《四川省自然资源厅四川省农业农村厅四川省林业和草原局关于严格根底用途管制实行耕地年度进出平衡的通知》(川自然资发〔202</w:t>
            </w:r>
            <w:r>
              <w:rPr>
                <w:rFonts w:hint="eastAsia" w:hAnsi="宋体" w:cs="Times New Roman"/>
                <w:b w:val="0"/>
                <w:bCs/>
                <w:snapToGrid w:val="0"/>
                <w:color w:val="auto"/>
                <w:kern w:val="0"/>
                <w:sz w:val="24"/>
                <w:szCs w:val="22"/>
                <w:highlight w:val="none"/>
                <w:lang w:val="en-US" w:eastAsia="zh-CN" w:bidi="ar-SA"/>
              </w:rPr>
              <w:t>2</w:t>
            </w:r>
            <w:r>
              <w:rPr>
                <w:rFonts w:hint="eastAsia" w:ascii="Times New Roman" w:hAnsi="宋体" w:eastAsia="宋体" w:cs="Times New Roman"/>
                <w:b w:val="0"/>
                <w:bCs/>
                <w:snapToGrid w:val="0"/>
                <w:color w:val="auto"/>
                <w:kern w:val="0"/>
                <w:sz w:val="24"/>
                <w:szCs w:val="22"/>
                <w:highlight w:val="none"/>
                <w:lang w:val="en-US" w:eastAsia="zh-CN" w:bidi="ar-SA"/>
              </w:rPr>
              <w:t>〕35号)文件规定，本次环评要求占用永久耕地进行“进出平衡”后再动工建设；占用临时耕地期满后应当拆除临时建(构)筑物，使用耕地的应当复垦为耕地，确保耕地面积不减少质量不降低。</w:t>
            </w:r>
          </w:p>
          <w:p w14:paraId="5B0BCFD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宋体" w:eastAsia="宋体" w:cs="Times New Roman"/>
                <w:b w:val="0"/>
                <w:bCs/>
                <w:snapToGrid w:val="0"/>
                <w:color w:val="auto"/>
                <w:kern w:val="0"/>
                <w:sz w:val="24"/>
                <w:szCs w:val="22"/>
                <w:highlight w:val="none"/>
                <w:lang w:val="en-US" w:eastAsia="zh-CN" w:bidi="ar-SA"/>
              </w:rPr>
            </w:pPr>
            <w:r>
              <w:rPr>
                <w:rFonts w:hint="default" w:ascii="Times New Roman" w:hAnsi="宋体" w:eastAsia="宋体" w:cs="Times New Roman"/>
                <w:b w:val="0"/>
                <w:bCs/>
                <w:snapToGrid w:val="0"/>
                <w:color w:val="auto"/>
                <w:kern w:val="0"/>
                <w:sz w:val="24"/>
                <w:szCs w:val="22"/>
                <w:highlight w:val="none"/>
                <w:lang w:val="en-US" w:eastAsia="zh-CN" w:bidi="ar-SA"/>
              </w:rPr>
              <w:t>本项目工程建设占地包括工程永久占地和施工临时占地</w:t>
            </w:r>
            <w:r>
              <w:rPr>
                <w:rFonts w:hint="eastAsia" w:ascii="Times New Roman" w:hAnsi="宋体" w:eastAsia="宋体" w:cs="Times New Roman"/>
                <w:b w:val="0"/>
                <w:bCs/>
                <w:snapToGrid w:val="0"/>
                <w:color w:val="auto"/>
                <w:kern w:val="0"/>
                <w:sz w:val="24"/>
                <w:szCs w:val="22"/>
                <w:highlight w:val="none"/>
                <w:lang w:val="en-US" w:eastAsia="zh-CN" w:bidi="ar-SA"/>
              </w:rPr>
              <w:t>，</w:t>
            </w:r>
            <w:r>
              <w:rPr>
                <w:rFonts w:hint="default" w:ascii="Times New Roman" w:hAnsi="宋体" w:eastAsia="宋体" w:cs="Times New Roman"/>
                <w:b w:val="0"/>
                <w:bCs/>
                <w:snapToGrid w:val="0"/>
                <w:color w:val="auto"/>
                <w:kern w:val="0"/>
                <w:sz w:val="24"/>
                <w:szCs w:val="22"/>
                <w:highlight w:val="none"/>
                <w:lang w:val="en-US" w:eastAsia="zh-CN" w:bidi="ar-SA"/>
              </w:rPr>
              <w:t>其中工程永久占地为堤防工程、</w:t>
            </w:r>
            <w:r>
              <w:rPr>
                <w:rFonts w:hint="eastAsia" w:ascii="Times New Roman" w:hAnsi="宋体" w:eastAsia="宋体" w:cs="Times New Roman"/>
                <w:b w:val="0"/>
                <w:bCs/>
                <w:snapToGrid w:val="0"/>
                <w:color w:val="auto"/>
                <w:kern w:val="0"/>
                <w:sz w:val="24"/>
                <w:szCs w:val="22"/>
                <w:highlight w:val="none"/>
                <w:lang w:val="en-US" w:eastAsia="zh-CN" w:bidi="ar-SA"/>
              </w:rPr>
              <w:t>疏浚</w:t>
            </w:r>
            <w:r>
              <w:rPr>
                <w:rFonts w:hint="default" w:ascii="Times New Roman" w:hAnsi="宋体" w:eastAsia="宋体" w:cs="Times New Roman"/>
                <w:b w:val="0"/>
                <w:bCs/>
                <w:snapToGrid w:val="0"/>
                <w:color w:val="auto"/>
                <w:kern w:val="0"/>
                <w:sz w:val="24"/>
                <w:szCs w:val="22"/>
                <w:highlight w:val="none"/>
                <w:lang w:val="en-US" w:eastAsia="zh-CN" w:bidi="ar-SA"/>
              </w:rPr>
              <w:t>工程，临时工程占地为临时施工场地、施工便道。占地范围内均不涉及拆迁房屋和人口迁移。根据国土资源部和国家发展和改革委员会“关于发布实施《限制项目用地项目目录(2012年本)》和《禁止用地项目目录(2012年本)的通知(国土资发〔20</w:t>
            </w:r>
            <w:r>
              <w:rPr>
                <w:rFonts w:hint="eastAsia" w:hAnsi="宋体" w:cs="Times New Roman"/>
                <w:b w:val="0"/>
                <w:bCs/>
                <w:snapToGrid w:val="0"/>
                <w:color w:val="auto"/>
                <w:kern w:val="0"/>
                <w:sz w:val="24"/>
                <w:szCs w:val="22"/>
                <w:highlight w:val="none"/>
                <w:lang w:val="en-US" w:eastAsia="zh-CN" w:bidi="ar-SA"/>
              </w:rPr>
              <w:t>1</w:t>
            </w:r>
            <w:r>
              <w:rPr>
                <w:rFonts w:hint="default" w:ascii="Times New Roman" w:hAnsi="宋体" w:eastAsia="宋体" w:cs="Times New Roman"/>
                <w:b w:val="0"/>
                <w:bCs/>
                <w:snapToGrid w:val="0"/>
                <w:color w:val="auto"/>
                <w:kern w:val="0"/>
                <w:sz w:val="24"/>
                <w:szCs w:val="22"/>
                <w:highlight w:val="none"/>
                <w:lang w:val="en-US" w:eastAsia="zh-CN" w:bidi="ar-SA"/>
              </w:rPr>
              <w:t>2〕198号)”中相关规定，本项目选址用地不在其限制用地和禁止用地名录内。</w:t>
            </w:r>
          </w:p>
          <w:p w14:paraId="7DC2808C">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宋体" w:eastAsia="宋体" w:cs="Times New Roman"/>
                <w:b w:val="0"/>
                <w:bCs/>
                <w:snapToGrid w:val="0"/>
                <w:color w:val="auto"/>
                <w:kern w:val="0"/>
                <w:sz w:val="24"/>
                <w:szCs w:val="22"/>
                <w:highlight w:val="none"/>
                <w:lang w:val="en-US" w:eastAsia="zh-CN" w:bidi="ar-SA"/>
              </w:rPr>
            </w:pPr>
            <w:r>
              <w:rPr>
                <w:rFonts w:hint="default" w:ascii="Times New Roman" w:hAnsi="宋体" w:eastAsia="宋体" w:cs="Times New Roman"/>
                <w:b w:val="0"/>
                <w:bCs/>
                <w:snapToGrid w:val="0"/>
                <w:color w:val="auto"/>
                <w:kern w:val="0"/>
                <w:sz w:val="24"/>
                <w:szCs w:val="22"/>
                <w:highlight w:val="none"/>
                <w:lang w:val="en-US" w:eastAsia="zh-CN" w:bidi="ar-SA"/>
              </w:rPr>
              <w:t>同时，本项目为河道治理工程，根据大竹县林业局《关于</w:t>
            </w:r>
            <w:r>
              <w:rPr>
                <w:rFonts w:hint="eastAsia" w:ascii="Times New Roman" w:hAnsi="宋体" w:eastAsia="宋体" w:cs="Times New Roman"/>
                <w:b w:val="0"/>
                <w:bCs/>
                <w:snapToGrid w:val="0"/>
                <w:color w:val="auto"/>
                <w:kern w:val="0"/>
                <w:sz w:val="24"/>
                <w:szCs w:val="22"/>
                <w:highlight w:val="none"/>
                <w:lang w:val="en-US" w:eastAsia="zh-CN" w:bidi="ar-SA"/>
              </w:rPr>
              <w:t>四川省大竹县石河镇二郎、福兴防洪治理工程等四个项目</w:t>
            </w:r>
            <w:r>
              <w:rPr>
                <w:rFonts w:hint="default" w:ascii="Times New Roman" w:hAnsi="宋体" w:eastAsia="宋体" w:cs="Times New Roman"/>
                <w:b w:val="0"/>
                <w:bCs/>
                <w:snapToGrid w:val="0"/>
                <w:color w:val="auto"/>
                <w:kern w:val="0"/>
                <w:sz w:val="24"/>
                <w:szCs w:val="22"/>
                <w:highlight w:val="none"/>
                <w:lang w:val="en-US" w:eastAsia="zh-CN" w:bidi="ar-SA"/>
              </w:rPr>
              <w:t>的情况说明》，本项目不涉及珍稀保护鱼类，也不涉及珍稀保护鱼类的产卵场、索饵场、越冬场及洄游通道。</w:t>
            </w:r>
          </w:p>
          <w:p w14:paraId="11C0887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宋体" w:eastAsia="宋体" w:cs="Times New Roman"/>
                <w:b w:val="0"/>
                <w:bCs/>
                <w:snapToGrid w:val="0"/>
                <w:color w:val="auto"/>
                <w:kern w:val="0"/>
                <w:sz w:val="24"/>
                <w:szCs w:val="22"/>
                <w:highlight w:val="none"/>
                <w:lang w:val="en-US" w:eastAsia="zh-CN" w:bidi="ar-SA"/>
              </w:rPr>
            </w:pPr>
            <w:r>
              <w:rPr>
                <w:rFonts w:hint="eastAsia" w:ascii="Times New Roman" w:hAnsi="宋体" w:eastAsia="宋体" w:cs="Times New Roman"/>
                <w:b w:val="0"/>
                <w:bCs/>
                <w:snapToGrid w:val="0"/>
                <w:color w:val="auto"/>
                <w:kern w:val="0"/>
                <w:sz w:val="24"/>
                <w:szCs w:val="22"/>
                <w:highlight w:val="none"/>
                <w:lang w:val="en-US" w:eastAsia="zh-CN" w:bidi="ar-SA"/>
              </w:rPr>
              <w:t>综上，本项目建设符合大竹县土地利用总体规划。</w:t>
            </w:r>
          </w:p>
          <w:p w14:paraId="25048F93">
            <w:pPr>
              <w:pStyle w:val="7"/>
              <w:rPr>
                <w:rFonts w:hint="default" w:ascii="Times New Roman" w:hAnsi="Times New Roman" w:cs="Times New Roman"/>
                <w:color w:val="auto"/>
                <w:highlight w:val="none"/>
              </w:rPr>
            </w:pPr>
          </w:p>
          <w:p w14:paraId="62A10EFB">
            <w:pPr>
              <w:ind w:left="0" w:leftChars="0" w:firstLine="0" w:firstLineChars="0"/>
              <w:rPr>
                <w:rFonts w:hint="default"/>
                <w:color w:val="auto"/>
                <w:highlight w:val="none"/>
              </w:rPr>
            </w:pPr>
          </w:p>
          <w:p w14:paraId="1253E6CB">
            <w:pPr>
              <w:ind w:left="0" w:leftChars="0" w:firstLine="0" w:firstLineChars="0"/>
              <w:rPr>
                <w:color w:val="auto"/>
                <w:highlight w:val="none"/>
              </w:rPr>
            </w:pPr>
          </w:p>
          <w:p w14:paraId="68DAFF87">
            <w:pPr>
              <w:ind w:left="0" w:leftChars="0" w:firstLine="0" w:firstLineChars="0"/>
              <w:rPr>
                <w:rFonts w:hint="default"/>
                <w:color w:val="auto"/>
                <w:highlight w:val="none"/>
              </w:rPr>
            </w:pPr>
          </w:p>
        </w:tc>
      </w:tr>
    </w:tbl>
    <w:p w14:paraId="1BEACED0">
      <w:pPr>
        <w:pStyle w:val="10"/>
        <w:spacing w:beforeAutospacing="0" w:afterAutospacing="0"/>
        <w:ind w:firstLine="600"/>
        <w:jc w:val="center"/>
        <w:outlineLvl w:val="0"/>
        <w:rPr>
          <w:rFonts w:hint="default" w:ascii="Times New Roman" w:hAnsi="Times New Roman" w:eastAsia="黑体" w:cs="Times New Roman"/>
          <w:color w:val="auto"/>
          <w:sz w:val="30"/>
          <w:szCs w:val="30"/>
          <w:highlight w:val="none"/>
        </w:rPr>
      </w:pPr>
      <w:r>
        <w:rPr>
          <w:rFonts w:hint="default" w:ascii="Times New Roman" w:hAnsi="Times New Roman" w:eastAsia="黑体" w:cs="Times New Roman"/>
          <w:color w:val="auto"/>
          <w:sz w:val="30"/>
          <w:szCs w:val="30"/>
          <w:highlight w:val="none"/>
        </w:rPr>
        <w:t>二、建设</w:t>
      </w:r>
      <w:r>
        <w:rPr>
          <w:rFonts w:hint="default" w:ascii="Times New Roman" w:hAnsi="Times New Roman" w:eastAsia="黑体" w:cs="Times New Roman"/>
          <w:color w:val="auto"/>
          <w:sz w:val="30"/>
          <w:szCs w:val="30"/>
          <w:highlight w:val="none"/>
          <w:lang w:val="en-US" w:eastAsia="zh-CN"/>
        </w:rPr>
        <w:t>内容</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9271"/>
      </w:tblGrid>
      <w:tr w14:paraId="6248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noWrap w:val="0"/>
            <w:vAlign w:val="center"/>
          </w:tcPr>
          <w:p w14:paraId="0DDAA6BD">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地理位置</w:t>
            </w:r>
          </w:p>
        </w:tc>
        <w:tc>
          <w:tcPr>
            <w:tcW w:w="9271" w:type="dxa"/>
            <w:noWrap w:val="0"/>
            <w:vAlign w:val="top"/>
          </w:tcPr>
          <w:p w14:paraId="35A50C4A">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2.1 地理位置</w:t>
            </w:r>
          </w:p>
          <w:p w14:paraId="38FFC9DB">
            <w:pPr>
              <w:adjustRightInd w:val="0"/>
              <w:snapToGrid w:val="0"/>
              <w:spacing w:line="360" w:lineRule="auto"/>
              <w:ind w:firstLine="480" w:firstLineChars="200"/>
              <w:rPr>
                <w:bCs/>
                <w:color w:val="auto"/>
                <w:sz w:val="24"/>
                <w:highlight w:val="none"/>
              </w:rPr>
            </w:pPr>
            <w:r>
              <w:rPr>
                <w:rFonts w:hint="eastAsia" w:cs="Times New Roman"/>
                <w:color w:val="auto"/>
                <w:highlight w:val="none"/>
                <w:lang w:val="en-US" w:eastAsia="zh-CN"/>
              </w:rPr>
              <w:t>本项目位于</w:t>
            </w:r>
            <w:r>
              <w:rPr>
                <w:rFonts w:hint="eastAsia"/>
                <w:bCs/>
                <w:color w:val="auto"/>
                <w:sz w:val="24"/>
                <w:highlight w:val="none"/>
              </w:rPr>
              <w:t>达州市大竹县</w:t>
            </w:r>
            <w:r>
              <w:rPr>
                <w:rFonts w:hint="eastAsia"/>
                <w:bCs/>
                <w:color w:val="auto"/>
                <w:sz w:val="24"/>
                <w:highlight w:val="none"/>
                <w:lang w:val="en-US" w:eastAsia="zh-CN"/>
              </w:rPr>
              <w:t>石河镇、清河镇、杨家镇</w:t>
            </w:r>
            <w:r>
              <w:rPr>
                <w:rFonts w:hint="eastAsia"/>
                <w:bCs/>
                <w:color w:val="auto"/>
                <w:sz w:val="24"/>
                <w:highlight w:val="none"/>
              </w:rPr>
              <w:t>。大竹县隶属四川省达州市，位于四川省东部、达州市南部，达州建设的经济副中心、城市副中心。东邻重庆市梁平区、垫江县，南接广安邻水县，西界前锋区、渠县，北连达川区。地处川东丘陵地区，属亚热带湿润气候，总面积2078.8km</w:t>
            </w:r>
            <w:r>
              <w:rPr>
                <w:bCs/>
                <w:color w:val="auto"/>
                <w:sz w:val="24"/>
                <w:highlight w:val="none"/>
                <w:vertAlign w:val="superscript"/>
              </w:rPr>
              <w:t>2</w:t>
            </w:r>
            <w:r>
              <w:rPr>
                <w:rFonts w:hint="eastAsia"/>
                <w:bCs/>
                <w:color w:val="auto"/>
                <w:sz w:val="24"/>
                <w:highlight w:val="none"/>
              </w:rPr>
              <w:t>。</w:t>
            </w:r>
            <w:r>
              <w:rPr>
                <w:rFonts w:hint="default" w:ascii="Times New Roman" w:hAnsi="Times New Roman" w:cs="Times New Roman"/>
                <w:color w:val="auto"/>
                <w:highlight w:val="none"/>
              </w:rPr>
              <w:t>地理位置详见附图1。</w:t>
            </w:r>
          </w:p>
          <w:p w14:paraId="68789450">
            <w:pPr>
              <w:adjustRightInd w:val="0"/>
              <w:snapToGrid w:val="0"/>
              <w:spacing w:line="360" w:lineRule="auto"/>
              <w:ind w:firstLine="480" w:firstLineChars="200"/>
              <w:rPr>
                <w:color w:val="auto"/>
                <w:sz w:val="24"/>
                <w:highlight w:val="none"/>
              </w:rPr>
            </w:pPr>
            <w:r>
              <w:rPr>
                <w:rFonts w:hint="eastAsia"/>
                <w:bCs/>
                <w:color w:val="auto"/>
                <w:sz w:val="24"/>
                <w:highlight w:val="none"/>
              </w:rPr>
              <w:t>本项目的具体分布位置和所在河流情况如下表所示</w:t>
            </w:r>
            <w:r>
              <w:rPr>
                <w:rFonts w:hint="eastAsia"/>
                <w:color w:val="auto"/>
                <w:sz w:val="24"/>
                <w:highlight w:val="none"/>
              </w:rPr>
              <w:t>：</w:t>
            </w:r>
          </w:p>
          <w:p w14:paraId="5A29E2B3">
            <w:pPr>
              <w:wordWrap w:val="0"/>
              <w:jc w:val="center"/>
              <w:rPr>
                <w:b/>
                <w:bCs/>
                <w:color w:val="auto"/>
                <w:sz w:val="24"/>
                <w:highlight w:val="none"/>
              </w:rPr>
            </w:pPr>
            <w:r>
              <w:rPr>
                <w:rFonts w:hint="eastAsia"/>
                <w:b/>
                <w:bCs/>
                <w:color w:val="auto"/>
                <w:sz w:val="24"/>
                <w:highlight w:val="none"/>
              </w:rPr>
              <w:t>表</w:t>
            </w:r>
            <w:r>
              <w:rPr>
                <w:b/>
                <w:bCs/>
                <w:color w:val="auto"/>
                <w:sz w:val="24"/>
                <w:highlight w:val="none"/>
              </w:rPr>
              <w:t xml:space="preserve">2.1-1  </w:t>
            </w:r>
            <w:r>
              <w:rPr>
                <w:rFonts w:hint="eastAsia"/>
                <w:b/>
                <w:bCs/>
                <w:color w:val="auto"/>
                <w:sz w:val="24"/>
                <w:highlight w:val="none"/>
                <w:lang w:val="en-US" w:eastAsia="zh-CN"/>
              </w:rPr>
              <w:t>本项目工程</w:t>
            </w:r>
            <w:r>
              <w:rPr>
                <w:rFonts w:hint="eastAsia"/>
                <w:b/>
                <w:bCs/>
                <w:color w:val="auto"/>
                <w:sz w:val="24"/>
                <w:highlight w:val="none"/>
              </w:rPr>
              <w:t>河段概况</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5"/>
              <w:gridCol w:w="982"/>
              <w:gridCol w:w="1931"/>
              <w:gridCol w:w="1150"/>
              <w:gridCol w:w="1063"/>
              <w:gridCol w:w="3475"/>
            </w:tblGrid>
            <w:tr w14:paraId="37C3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245" w:type="pct"/>
                  <w:noWrap w:val="0"/>
                  <w:tcMar>
                    <w:top w:w="15" w:type="dxa"/>
                    <w:left w:w="15" w:type="dxa"/>
                    <w:right w:w="15" w:type="dxa"/>
                  </w:tcMar>
                  <w:vAlign w:val="center"/>
                </w:tcPr>
                <w:p w14:paraId="3BF6B5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highlight w:val="none"/>
                    </w:rPr>
                  </w:pPr>
                  <w:r>
                    <w:rPr>
                      <w:b/>
                      <w:bCs/>
                      <w:color w:val="auto"/>
                      <w:sz w:val="21"/>
                      <w:szCs w:val="21"/>
                      <w:highlight w:val="none"/>
                    </w:rPr>
                    <w:t>序号</w:t>
                  </w:r>
                </w:p>
              </w:tc>
              <w:tc>
                <w:tcPr>
                  <w:tcW w:w="542" w:type="pct"/>
                  <w:noWrap w:val="0"/>
                  <w:tcMar>
                    <w:top w:w="15" w:type="dxa"/>
                    <w:left w:w="15" w:type="dxa"/>
                    <w:right w:w="15" w:type="dxa"/>
                  </w:tcMar>
                  <w:vAlign w:val="center"/>
                </w:tcPr>
                <w:p w14:paraId="17BB22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highlight w:val="none"/>
                    </w:rPr>
                  </w:pPr>
                  <w:r>
                    <w:rPr>
                      <w:b/>
                      <w:bCs/>
                      <w:color w:val="auto"/>
                      <w:sz w:val="21"/>
                      <w:szCs w:val="21"/>
                      <w:highlight w:val="none"/>
                    </w:rPr>
                    <w:t>乡镇</w:t>
                  </w:r>
                </w:p>
              </w:tc>
              <w:tc>
                <w:tcPr>
                  <w:tcW w:w="1067" w:type="pct"/>
                  <w:noWrap w:val="0"/>
                  <w:tcMar>
                    <w:top w:w="15" w:type="dxa"/>
                    <w:left w:w="15" w:type="dxa"/>
                    <w:right w:w="15" w:type="dxa"/>
                  </w:tcMar>
                  <w:vAlign w:val="center"/>
                </w:tcPr>
                <w:p w14:paraId="3254B9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bCs/>
                      <w:color w:val="auto"/>
                      <w:sz w:val="21"/>
                      <w:szCs w:val="21"/>
                      <w:highlight w:val="none"/>
                      <w:lang w:eastAsia="zh-CN"/>
                    </w:rPr>
                  </w:pPr>
                  <w:r>
                    <w:rPr>
                      <w:b/>
                      <w:bCs/>
                      <w:color w:val="auto"/>
                      <w:sz w:val="21"/>
                      <w:szCs w:val="21"/>
                      <w:highlight w:val="none"/>
                    </w:rPr>
                    <w:t>工程</w:t>
                  </w:r>
                  <w:r>
                    <w:rPr>
                      <w:rFonts w:hint="eastAsia"/>
                      <w:b/>
                      <w:bCs/>
                      <w:color w:val="auto"/>
                      <w:sz w:val="21"/>
                      <w:szCs w:val="21"/>
                      <w:highlight w:val="none"/>
                      <w:lang w:val="en-US" w:eastAsia="zh-CN"/>
                    </w:rPr>
                    <w:t>组成</w:t>
                  </w:r>
                </w:p>
              </w:tc>
              <w:tc>
                <w:tcPr>
                  <w:tcW w:w="635" w:type="pct"/>
                  <w:noWrap w:val="0"/>
                  <w:tcMar>
                    <w:top w:w="15" w:type="dxa"/>
                    <w:left w:w="15" w:type="dxa"/>
                    <w:right w:w="15" w:type="dxa"/>
                  </w:tcMar>
                  <w:vAlign w:val="center"/>
                </w:tcPr>
                <w:p w14:paraId="323B54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highlight w:val="none"/>
                    </w:rPr>
                  </w:pPr>
                  <w:r>
                    <w:rPr>
                      <w:b/>
                      <w:bCs/>
                      <w:color w:val="auto"/>
                      <w:sz w:val="21"/>
                      <w:szCs w:val="21"/>
                      <w:highlight w:val="none"/>
                    </w:rPr>
                    <w:t>所在</w:t>
                  </w:r>
                  <w:r>
                    <w:rPr>
                      <w:rFonts w:hint="eastAsia"/>
                      <w:b/>
                      <w:bCs/>
                      <w:color w:val="auto"/>
                      <w:sz w:val="21"/>
                      <w:szCs w:val="21"/>
                      <w:highlight w:val="none"/>
                    </w:rPr>
                    <w:t>流域</w:t>
                  </w:r>
                </w:p>
              </w:tc>
              <w:tc>
                <w:tcPr>
                  <w:tcW w:w="587" w:type="pct"/>
                  <w:noWrap w:val="0"/>
                  <w:tcMar>
                    <w:top w:w="15" w:type="dxa"/>
                    <w:left w:w="15" w:type="dxa"/>
                    <w:right w:w="15" w:type="dxa"/>
                  </w:tcMar>
                  <w:vAlign w:val="center"/>
                </w:tcPr>
                <w:p w14:paraId="21BFAF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sz w:val="21"/>
                      <w:szCs w:val="21"/>
                      <w:highlight w:val="none"/>
                    </w:rPr>
                  </w:pPr>
                  <w:r>
                    <w:rPr>
                      <w:rFonts w:hint="eastAsia"/>
                      <w:b/>
                      <w:bCs/>
                      <w:color w:val="auto"/>
                      <w:sz w:val="21"/>
                      <w:szCs w:val="21"/>
                      <w:highlight w:val="none"/>
                    </w:rPr>
                    <w:t>工程河段</w:t>
                  </w:r>
                </w:p>
              </w:tc>
              <w:tc>
                <w:tcPr>
                  <w:tcW w:w="1920" w:type="pct"/>
                  <w:noWrap w:val="0"/>
                  <w:tcMar>
                    <w:top w:w="15" w:type="dxa"/>
                    <w:left w:w="15" w:type="dxa"/>
                    <w:right w:w="15" w:type="dxa"/>
                  </w:tcMar>
                  <w:vAlign w:val="center"/>
                </w:tcPr>
                <w:p w14:paraId="629A16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建设内容</w:t>
                  </w:r>
                </w:p>
              </w:tc>
            </w:tr>
            <w:tr w14:paraId="5189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5" w:type="pct"/>
                  <w:noWrap w:val="0"/>
                  <w:tcMar>
                    <w:top w:w="15" w:type="dxa"/>
                    <w:left w:w="15" w:type="dxa"/>
                    <w:right w:w="15" w:type="dxa"/>
                  </w:tcMar>
                  <w:vAlign w:val="center"/>
                </w:tcPr>
                <w:p w14:paraId="042B37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olor w:val="auto"/>
                      <w:sz w:val="21"/>
                      <w:szCs w:val="21"/>
                      <w:highlight w:val="none"/>
                    </w:rPr>
                    <w:t>1</w:t>
                  </w:r>
                </w:p>
              </w:tc>
              <w:tc>
                <w:tcPr>
                  <w:tcW w:w="542" w:type="pct"/>
                  <w:vMerge w:val="restart"/>
                  <w:noWrap/>
                  <w:tcMar>
                    <w:top w:w="15" w:type="dxa"/>
                    <w:left w:w="15" w:type="dxa"/>
                    <w:right w:w="15" w:type="dxa"/>
                  </w:tcMar>
                  <w:vAlign w:val="center"/>
                </w:tcPr>
                <w:p w14:paraId="2A9A68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石河镇</w:t>
                  </w:r>
                </w:p>
              </w:tc>
              <w:tc>
                <w:tcPr>
                  <w:tcW w:w="1067" w:type="pct"/>
                  <w:noWrap/>
                  <w:tcMar>
                    <w:top w:w="15" w:type="dxa"/>
                    <w:left w:w="15" w:type="dxa"/>
                    <w:right w:w="15" w:type="dxa"/>
                  </w:tcMar>
                  <w:vAlign w:val="center"/>
                </w:tcPr>
                <w:p w14:paraId="31CF57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olor w:val="auto"/>
                      <w:sz w:val="21"/>
                      <w:szCs w:val="21"/>
                      <w:highlight w:val="none"/>
                    </w:rPr>
                    <w:t>新建</w:t>
                  </w:r>
                  <w:r>
                    <w:rPr>
                      <w:rFonts w:hint="eastAsia"/>
                      <w:color w:val="auto"/>
                      <w:sz w:val="21"/>
                      <w:szCs w:val="21"/>
                      <w:highlight w:val="none"/>
                      <w:lang w:val="en-US" w:eastAsia="zh-CN"/>
                    </w:rPr>
                    <w:t>堤防</w:t>
                  </w:r>
                  <w:r>
                    <w:rPr>
                      <w:rFonts w:hint="default" w:ascii="Times New Roman" w:hAnsi="Times New Roman" w:cs="Times New Roman"/>
                      <w:color w:val="auto"/>
                      <w:sz w:val="21"/>
                      <w:szCs w:val="21"/>
                      <w:highlight w:val="none"/>
                      <w:lang w:eastAsia="zh-CN"/>
                    </w:rPr>
                    <w:t>3651.65m</w:t>
                  </w:r>
                </w:p>
              </w:tc>
              <w:tc>
                <w:tcPr>
                  <w:tcW w:w="635" w:type="pct"/>
                  <w:vMerge w:val="restart"/>
                  <w:noWrap w:val="0"/>
                  <w:tcMar>
                    <w:top w:w="15" w:type="dxa"/>
                    <w:left w:w="15" w:type="dxa"/>
                    <w:right w:w="15" w:type="dxa"/>
                  </w:tcMar>
                  <w:vAlign w:val="center"/>
                </w:tcPr>
                <w:p w14:paraId="674765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olor w:val="auto"/>
                      <w:sz w:val="21"/>
                      <w:szCs w:val="21"/>
                      <w:highlight w:val="none"/>
                    </w:rPr>
                    <w:t>柳城河</w:t>
                  </w:r>
                </w:p>
              </w:tc>
              <w:tc>
                <w:tcPr>
                  <w:tcW w:w="587" w:type="pct"/>
                  <w:vMerge w:val="restart"/>
                  <w:noWrap w:val="0"/>
                  <w:tcMar>
                    <w:top w:w="15" w:type="dxa"/>
                    <w:left w:w="15" w:type="dxa"/>
                    <w:right w:w="15" w:type="dxa"/>
                  </w:tcMar>
                  <w:vAlign w:val="center"/>
                </w:tcPr>
                <w:p w14:paraId="176404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二郎段</w:t>
                  </w:r>
                </w:p>
              </w:tc>
              <w:tc>
                <w:tcPr>
                  <w:tcW w:w="1920" w:type="pct"/>
                  <w:shd w:val="clear" w:color="auto" w:fill="auto"/>
                  <w:noWrap w:val="0"/>
                  <w:tcMar>
                    <w:top w:w="15" w:type="dxa"/>
                    <w:left w:w="15" w:type="dxa"/>
                    <w:right w:w="15" w:type="dxa"/>
                  </w:tcMar>
                  <w:vAlign w:val="center"/>
                </w:tcPr>
                <w:p w14:paraId="7687A5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eastAsia="zh-CN"/>
                    </w:rPr>
                    <w:t>主河左岸上段931.79m，主河左岸下段390.00m，主河右岸1934.38m，河口段左岸200.35m，河口段右岸195.13m</w:t>
                  </w:r>
                </w:p>
              </w:tc>
            </w:tr>
            <w:tr w14:paraId="74D2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5" w:type="pct"/>
                  <w:noWrap w:val="0"/>
                  <w:tcMar>
                    <w:top w:w="15" w:type="dxa"/>
                    <w:left w:w="15" w:type="dxa"/>
                    <w:right w:w="15" w:type="dxa"/>
                  </w:tcMar>
                  <w:vAlign w:val="center"/>
                </w:tcPr>
                <w:p w14:paraId="63CEF5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2</w:t>
                  </w:r>
                </w:p>
              </w:tc>
              <w:tc>
                <w:tcPr>
                  <w:tcW w:w="542" w:type="pct"/>
                  <w:vMerge w:val="continue"/>
                  <w:noWrap/>
                  <w:tcMar>
                    <w:top w:w="15" w:type="dxa"/>
                    <w:left w:w="15" w:type="dxa"/>
                    <w:right w:w="15" w:type="dxa"/>
                  </w:tcMar>
                  <w:vAlign w:val="center"/>
                </w:tcPr>
                <w:p w14:paraId="50617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p>
              </w:tc>
              <w:tc>
                <w:tcPr>
                  <w:tcW w:w="1067" w:type="pct"/>
                  <w:noWrap/>
                  <w:tcMar>
                    <w:top w:w="15" w:type="dxa"/>
                    <w:left w:w="15" w:type="dxa"/>
                    <w:right w:w="15" w:type="dxa"/>
                  </w:tcMar>
                  <w:vAlign w:val="center"/>
                </w:tcPr>
                <w:p w14:paraId="29FB4D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河道疏浚</w:t>
                  </w:r>
                  <w:r>
                    <w:rPr>
                      <w:rFonts w:hint="default" w:ascii="Times New Roman" w:hAnsi="Times New Roman" w:cs="Times New Roman"/>
                      <w:color w:val="auto"/>
                      <w:sz w:val="21"/>
                      <w:szCs w:val="21"/>
                      <w:highlight w:val="none"/>
                      <w:lang w:eastAsia="zh-CN"/>
                    </w:rPr>
                    <w:t>5.634km</w:t>
                  </w:r>
                </w:p>
              </w:tc>
              <w:tc>
                <w:tcPr>
                  <w:tcW w:w="635" w:type="pct"/>
                  <w:vMerge w:val="continue"/>
                  <w:noWrap w:val="0"/>
                  <w:tcMar>
                    <w:top w:w="15" w:type="dxa"/>
                    <w:left w:w="15" w:type="dxa"/>
                    <w:right w:w="15" w:type="dxa"/>
                  </w:tcMar>
                  <w:vAlign w:val="center"/>
                </w:tcPr>
                <w:p w14:paraId="219A8D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587" w:type="pct"/>
                  <w:vMerge w:val="continue"/>
                  <w:noWrap w:val="0"/>
                  <w:tcMar>
                    <w:top w:w="15" w:type="dxa"/>
                    <w:left w:w="15" w:type="dxa"/>
                    <w:right w:w="15" w:type="dxa"/>
                  </w:tcMar>
                  <w:vAlign w:val="center"/>
                </w:tcPr>
                <w:p w14:paraId="491141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p>
              </w:tc>
              <w:tc>
                <w:tcPr>
                  <w:tcW w:w="1920" w:type="pct"/>
                  <w:shd w:val="clear" w:color="auto" w:fill="auto"/>
                  <w:noWrap w:val="0"/>
                  <w:tcMar>
                    <w:top w:w="15" w:type="dxa"/>
                    <w:left w:w="15" w:type="dxa"/>
                    <w:right w:w="15" w:type="dxa"/>
                  </w:tcMar>
                  <w:vAlign w:val="center"/>
                </w:tcPr>
                <w:p w14:paraId="479613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eastAsia="zh-CN"/>
                    </w:rPr>
                    <w:t>二郎段河道治理范围从店子坝为起点，猫儿咀为终点，二郎段河道综合治理长度5.634km</w:t>
                  </w:r>
                </w:p>
              </w:tc>
            </w:tr>
            <w:tr w14:paraId="451C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245" w:type="pct"/>
                  <w:noWrap w:val="0"/>
                  <w:tcMar>
                    <w:top w:w="15" w:type="dxa"/>
                    <w:left w:w="15" w:type="dxa"/>
                    <w:right w:w="15" w:type="dxa"/>
                  </w:tcMar>
                  <w:vAlign w:val="center"/>
                </w:tcPr>
                <w:p w14:paraId="30C8CA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olor w:val="auto"/>
                      <w:sz w:val="21"/>
                      <w:szCs w:val="21"/>
                      <w:highlight w:val="none"/>
                    </w:rPr>
                    <w:t>3</w:t>
                  </w:r>
                </w:p>
              </w:tc>
              <w:tc>
                <w:tcPr>
                  <w:tcW w:w="542" w:type="pct"/>
                  <w:vMerge w:val="continue"/>
                  <w:noWrap/>
                  <w:tcMar>
                    <w:top w:w="15" w:type="dxa"/>
                    <w:left w:w="15" w:type="dxa"/>
                    <w:right w:w="15" w:type="dxa"/>
                  </w:tcMar>
                  <w:vAlign w:val="center"/>
                </w:tcPr>
                <w:p w14:paraId="4994D0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1067" w:type="pct"/>
                  <w:noWrap/>
                  <w:tcMar>
                    <w:top w:w="15" w:type="dxa"/>
                    <w:left w:w="15" w:type="dxa"/>
                    <w:right w:w="15" w:type="dxa"/>
                  </w:tcMar>
                  <w:vAlign w:val="center"/>
                </w:tcPr>
                <w:p w14:paraId="15B966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olor w:val="auto"/>
                      <w:sz w:val="21"/>
                      <w:szCs w:val="21"/>
                      <w:highlight w:val="none"/>
                    </w:rPr>
                    <w:t>新建</w:t>
                  </w:r>
                  <w:r>
                    <w:rPr>
                      <w:rFonts w:hint="eastAsia"/>
                      <w:color w:val="auto"/>
                      <w:sz w:val="21"/>
                      <w:szCs w:val="21"/>
                      <w:highlight w:val="none"/>
                      <w:lang w:val="en-US" w:eastAsia="zh-CN"/>
                    </w:rPr>
                    <w:t>堤防</w:t>
                  </w:r>
                  <w:r>
                    <w:rPr>
                      <w:rFonts w:hint="default" w:ascii="Times New Roman" w:hAnsi="Times New Roman" w:cs="Times New Roman"/>
                      <w:color w:val="auto"/>
                      <w:sz w:val="21"/>
                      <w:szCs w:val="21"/>
                      <w:highlight w:val="none"/>
                      <w:lang w:eastAsia="zh-CN"/>
                    </w:rPr>
                    <w:t>1413.35m</w:t>
                  </w:r>
                </w:p>
              </w:tc>
              <w:tc>
                <w:tcPr>
                  <w:tcW w:w="635" w:type="pct"/>
                  <w:vMerge w:val="continue"/>
                  <w:noWrap w:val="0"/>
                  <w:tcMar>
                    <w:top w:w="15" w:type="dxa"/>
                    <w:left w:w="15" w:type="dxa"/>
                    <w:right w:w="15" w:type="dxa"/>
                  </w:tcMar>
                  <w:vAlign w:val="center"/>
                </w:tcPr>
                <w:p w14:paraId="7C14A9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587" w:type="pct"/>
                  <w:vMerge w:val="restart"/>
                  <w:noWrap w:val="0"/>
                  <w:tcMar>
                    <w:top w:w="15" w:type="dxa"/>
                    <w:left w:w="15" w:type="dxa"/>
                    <w:right w:w="15" w:type="dxa"/>
                  </w:tcMar>
                  <w:vAlign w:val="center"/>
                </w:tcPr>
                <w:p w14:paraId="4C6D4C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福兴段</w:t>
                  </w:r>
                </w:p>
              </w:tc>
              <w:tc>
                <w:tcPr>
                  <w:tcW w:w="1920" w:type="pct"/>
                  <w:shd w:val="clear" w:color="auto" w:fill="auto"/>
                  <w:noWrap w:val="0"/>
                  <w:tcMar>
                    <w:top w:w="15" w:type="dxa"/>
                    <w:left w:w="15" w:type="dxa"/>
                    <w:right w:w="15" w:type="dxa"/>
                  </w:tcMar>
                  <w:vAlign w:val="center"/>
                </w:tcPr>
                <w:p w14:paraId="567208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eastAsia="zh-CN"/>
                    </w:rPr>
                    <w:t>左岸117.46m，右岸1295.89m</w:t>
                  </w:r>
                </w:p>
              </w:tc>
            </w:tr>
            <w:tr w14:paraId="59FA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5" w:type="pct"/>
                  <w:noWrap w:val="0"/>
                  <w:tcMar>
                    <w:top w:w="15" w:type="dxa"/>
                    <w:left w:w="15" w:type="dxa"/>
                    <w:right w:w="15" w:type="dxa"/>
                  </w:tcMar>
                  <w:vAlign w:val="center"/>
                </w:tcPr>
                <w:p w14:paraId="6C4A24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olor w:val="auto"/>
                      <w:sz w:val="21"/>
                      <w:szCs w:val="21"/>
                      <w:highlight w:val="none"/>
                    </w:rPr>
                    <w:t>4</w:t>
                  </w:r>
                </w:p>
              </w:tc>
              <w:tc>
                <w:tcPr>
                  <w:tcW w:w="542" w:type="pct"/>
                  <w:vMerge w:val="continue"/>
                  <w:noWrap/>
                  <w:tcMar>
                    <w:top w:w="15" w:type="dxa"/>
                    <w:left w:w="15" w:type="dxa"/>
                    <w:right w:w="15" w:type="dxa"/>
                  </w:tcMar>
                  <w:vAlign w:val="center"/>
                </w:tcPr>
                <w:p w14:paraId="1B8E38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1067" w:type="pct"/>
                  <w:noWrap/>
                  <w:tcMar>
                    <w:top w:w="15" w:type="dxa"/>
                    <w:left w:w="15" w:type="dxa"/>
                    <w:right w:w="15" w:type="dxa"/>
                  </w:tcMar>
                  <w:vAlign w:val="center"/>
                </w:tcPr>
                <w:p w14:paraId="34E05A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rPr>
                    <w:t>河道疏浚</w:t>
                  </w:r>
                  <w:r>
                    <w:rPr>
                      <w:rFonts w:hint="eastAsia" w:cs="Times New Roman"/>
                      <w:color w:val="auto"/>
                      <w:sz w:val="21"/>
                      <w:szCs w:val="21"/>
                      <w:highlight w:val="none"/>
                      <w:lang w:eastAsia="zh-CN"/>
                    </w:rPr>
                    <w:t>1.795km</w:t>
                  </w:r>
                </w:p>
              </w:tc>
              <w:tc>
                <w:tcPr>
                  <w:tcW w:w="635" w:type="pct"/>
                  <w:vMerge w:val="continue"/>
                  <w:noWrap w:val="0"/>
                  <w:tcMar>
                    <w:top w:w="15" w:type="dxa"/>
                    <w:left w:w="15" w:type="dxa"/>
                    <w:right w:w="15" w:type="dxa"/>
                  </w:tcMar>
                  <w:vAlign w:val="center"/>
                </w:tcPr>
                <w:p w14:paraId="1403F4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587" w:type="pct"/>
                  <w:vMerge w:val="continue"/>
                  <w:noWrap w:val="0"/>
                  <w:tcMar>
                    <w:top w:w="15" w:type="dxa"/>
                    <w:left w:w="15" w:type="dxa"/>
                    <w:right w:w="15" w:type="dxa"/>
                  </w:tcMar>
                  <w:vAlign w:val="center"/>
                </w:tcPr>
                <w:p w14:paraId="79FFCE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p>
              </w:tc>
              <w:tc>
                <w:tcPr>
                  <w:tcW w:w="1920" w:type="pct"/>
                  <w:noWrap w:val="0"/>
                  <w:tcMar>
                    <w:top w:w="15" w:type="dxa"/>
                    <w:left w:w="15" w:type="dxa"/>
                    <w:right w:w="15" w:type="dxa"/>
                  </w:tcMar>
                  <w:vAlign w:val="center"/>
                </w:tcPr>
                <w:p w14:paraId="1E1E04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default" w:ascii="Times New Roman" w:hAnsi="Times New Roman" w:cs="Times New Roman"/>
                      <w:color w:val="auto"/>
                      <w:sz w:val="21"/>
                      <w:szCs w:val="21"/>
                      <w:highlight w:val="none"/>
                      <w:lang w:eastAsia="zh-CN"/>
                    </w:rPr>
                    <w:t>福兴段河道治理范围从银钱坝机耕桥为起点，福兴社区李家场为终点，</w:t>
                  </w:r>
                  <w:r>
                    <w:rPr>
                      <w:rFonts w:hint="eastAsia" w:cs="Times New Roman"/>
                      <w:color w:val="auto"/>
                      <w:sz w:val="21"/>
                      <w:szCs w:val="21"/>
                      <w:highlight w:val="none"/>
                      <w:lang w:eastAsia="zh-CN"/>
                    </w:rPr>
                    <w:t>福兴段河道综合治理长度1.795km</w:t>
                  </w:r>
                </w:p>
              </w:tc>
            </w:tr>
            <w:tr w14:paraId="239F4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5" w:type="pct"/>
                  <w:noWrap w:val="0"/>
                  <w:tcMar>
                    <w:top w:w="15" w:type="dxa"/>
                    <w:left w:w="15" w:type="dxa"/>
                    <w:right w:w="15" w:type="dxa"/>
                  </w:tcMar>
                  <w:vAlign w:val="center"/>
                </w:tcPr>
                <w:p w14:paraId="056A4C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542" w:type="pct"/>
                  <w:vMerge w:val="restart"/>
                  <w:shd w:val="clear" w:color="auto" w:fill="auto"/>
                  <w:noWrap/>
                  <w:tcMar>
                    <w:top w:w="15" w:type="dxa"/>
                    <w:left w:w="15" w:type="dxa"/>
                    <w:right w:w="15" w:type="dxa"/>
                  </w:tcMar>
                  <w:vAlign w:val="center"/>
                </w:tcPr>
                <w:p w14:paraId="363998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lang w:val="en-US" w:eastAsia="zh-CN"/>
                    </w:rPr>
                    <w:t>石河镇</w:t>
                  </w:r>
                </w:p>
              </w:tc>
              <w:tc>
                <w:tcPr>
                  <w:tcW w:w="1067" w:type="pct"/>
                  <w:shd w:val="clear" w:color="auto" w:fill="auto"/>
                  <w:noWrap/>
                  <w:tcMar>
                    <w:top w:w="15" w:type="dxa"/>
                    <w:left w:w="15" w:type="dxa"/>
                    <w:right w:w="15" w:type="dxa"/>
                  </w:tcMar>
                  <w:vAlign w:val="center"/>
                </w:tcPr>
                <w:p w14:paraId="2177DC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新建护岸</w:t>
                  </w:r>
                  <w:r>
                    <w:rPr>
                      <w:rFonts w:hint="eastAsia" w:cs="Times New Roman"/>
                      <w:color w:val="auto"/>
                      <w:sz w:val="21"/>
                      <w:szCs w:val="21"/>
                      <w:highlight w:val="none"/>
                      <w:lang w:eastAsia="zh-CN"/>
                    </w:rPr>
                    <w:t>2038m</w:t>
                  </w:r>
                </w:p>
              </w:tc>
              <w:tc>
                <w:tcPr>
                  <w:tcW w:w="635" w:type="pct"/>
                  <w:vMerge w:val="restart"/>
                  <w:shd w:val="clear" w:color="auto" w:fill="auto"/>
                  <w:noWrap w:val="0"/>
                  <w:tcMar>
                    <w:top w:w="15" w:type="dxa"/>
                    <w:left w:w="15" w:type="dxa"/>
                    <w:right w:w="15" w:type="dxa"/>
                  </w:tcMar>
                  <w:vAlign w:val="center"/>
                </w:tcPr>
                <w:p w14:paraId="440082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柳城河</w:t>
                  </w:r>
                </w:p>
              </w:tc>
              <w:tc>
                <w:tcPr>
                  <w:tcW w:w="587" w:type="pct"/>
                  <w:vMerge w:val="restart"/>
                  <w:noWrap w:val="0"/>
                  <w:tcMar>
                    <w:top w:w="15" w:type="dxa"/>
                    <w:left w:w="15" w:type="dxa"/>
                    <w:right w:w="15" w:type="dxa"/>
                  </w:tcMar>
                  <w:vAlign w:val="center"/>
                </w:tcPr>
                <w:p w14:paraId="0D092D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石河镇段</w:t>
                  </w:r>
                </w:p>
              </w:tc>
              <w:tc>
                <w:tcPr>
                  <w:tcW w:w="1920" w:type="pct"/>
                  <w:noWrap w:val="0"/>
                  <w:tcMar>
                    <w:top w:w="15" w:type="dxa"/>
                    <w:left w:w="15" w:type="dxa"/>
                    <w:right w:w="15" w:type="dxa"/>
                  </w:tcMar>
                  <w:vAlign w:val="center"/>
                </w:tcPr>
                <w:p w14:paraId="041D77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s="Times New Roman"/>
                      <w:color w:val="auto"/>
                      <w:sz w:val="21"/>
                      <w:szCs w:val="21"/>
                      <w:highlight w:val="none"/>
                      <w:lang w:eastAsia="zh-CN"/>
                    </w:rPr>
                    <w:t>左岸394m，右岸1644m</w:t>
                  </w:r>
                </w:p>
              </w:tc>
            </w:tr>
            <w:tr w14:paraId="2C5F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5" w:type="pct"/>
                  <w:noWrap w:val="0"/>
                  <w:tcMar>
                    <w:top w:w="15" w:type="dxa"/>
                    <w:left w:w="15" w:type="dxa"/>
                    <w:right w:w="15" w:type="dxa"/>
                  </w:tcMar>
                  <w:vAlign w:val="center"/>
                </w:tcPr>
                <w:p w14:paraId="5907EB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6</w:t>
                  </w:r>
                </w:p>
              </w:tc>
              <w:tc>
                <w:tcPr>
                  <w:tcW w:w="542" w:type="pct"/>
                  <w:vMerge w:val="continue"/>
                  <w:noWrap/>
                  <w:tcMar>
                    <w:top w:w="15" w:type="dxa"/>
                    <w:left w:w="15" w:type="dxa"/>
                    <w:right w:w="15" w:type="dxa"/>
                  </w:tcMar>
                  <w:vAlign w:val="center"/>
                </w:tcPr>
                <w:p w14:paraId="4AB7B2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1067" w:type="pct"/>
                  <w:shd w:val="clear" w:color="auto" w:fill="auto"/>
                  <w:noWrap/>
                  <w:tcMar>
                    <w:top w:w="15" w:type="dxa"/>
                    <w:left w:w="15" w:type="dxa"/>
                    <w:right w:w="15" w:type="dxa"/>
                  </w:tcMar>
                  <w:vAlign w:val="center"/>
                </w:tcPr>
                <w:p w14:paraId="474C8E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河道疏浚</w:t>
                  </w:r>
                  <w:r>
                    <w:rPr>
                      <w:rFonts w:hint="eastAsia"/>
                      <w:color w:val="auto"/>
                      <w:sz w:val="21"/>
                      <w:szCs w:val="21"/>
                      <w:highlight w:val="none"/>
                      <w:lang w:val="en-US" w:eastAsia="zh-CN"/>
                    </w:rPr>
                    <w:t>2450m</w:t>
                  </w:r>
                </w:p>
              </w:tc>
              <w:tc>
                <w:tcPr>
                  <w:tcW w:w="635" w:type="pct"/>
                  <w:vMerge w:val="continue"/>
                  <w:noWrap w:val="0"/>
                  <w:tcMar>
                    <w:top w:w="15" w:type="dxa"/>
                    <w:left w:w="15" w:type="dxa"/>
                    <w:right w:w="15" w:type="dxa"/>
                  </w:tcMar>
                  <w:vAlign w:val="center"/>
                </w:tcPr>
                <w:p w14:paraId="35E68D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587" w:type="pct"/>
                  <w:vMerge w:val="continue"/>
                  <w:noWrap w:val="0"/>
                  <w:tcMar>
                    <w:top w:w="15" w:type="dxa"/>
                    <w:left w:w="15" w:type="dxa"/>
                    <w:right w:w="15" w:type="dxa"/>
                  </w:tcMar>
                  <w:vAlign w:val="center"/>
                </w:tcPr>
                <w:p w14:paraId="12455B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p>
              </w:tc>
              <w:tc>
                <w:tcPr>
                  <w:tcW w:w="1920" w:type="pct"/>
                  <w:noWrap w:val="0"/>
                  <w:tcMar>
                    <w:top w:w="15" w:type="dxa"/>
                    <w:left w:w="15" w:type="dxa"/>
                    <w:right w:w="15" w:type="dxa"/>
                  </w:tcMar>
                  <w:vAlign w:val="center"/>
                </w:tcPr>
                <w:p w14:paraId="0DDF58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s="Times New Roman"/>
                      <w:color w:val="auto"/>
                      <w:sz w:val="21"/>
                      <w:szCs w:val="21"/>
                      <w:highlight w:val="none"/>
                      <w:lang w:eastAsia="zh-CN"/>
                    </w:rPr>
                    <w:t>石河镇段上游起于罗汉山处，下游止于后河坝处，对应中心桩号石0+000~石2+450，河道中心治理长度2450m</w:t>
                  </w:r>
                </w:p>
              </w:tc>
            </w:tr>
            <w:tr w14:paraId="3315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5" w:type="pct"/>
                  <w:noWrap w:val="0"/>
                  <w:tcMar>
                    <w:top w:w="15" w:type="dxa"/>
                    <w:left w:w="15" w:type="dxa"/>
                    <w:right w:w="15" w:type="dxa"/>
                  </w:tcMar>
                  <w:vAlign w:val="center"/>
                </w:tcPr>
                <w:p w14:paraId="41E18B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7</w:t>
                  </w:r>
                </w:p>
              </w:tc>
              <w:tc>
                <w:tcPr>
                  <w:tcW w:w="542" w:type="pct"/>
                  <w:vMerge w:val="continue"/>
                  <w:noWrap/>
                  <w:tcMar>
                    <w:top w:w="15" w:type="dxa"/>
                    <w:left w:w="15" w:type="dxa"/>
                    <w:right w:w="15" w:type="dxa"/>
                  </w:tcMar>
                  <w:vAlign w:val="center"/>
                </w:tcPr>
                <w:p w14:paraId="67249D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1067" w:type="pct"/>
                  <w:shd w:val="clear" w:color="auto" w:fill="auto"/>
                  <w:noWrap/>
                  <w:tcMar>
                    <w:top w:w="15" w:type="dxa"/>
                    <w:left w:w="15" w:type="dxa"/>
                    <w:right w:w="15" w:type="dxa"/>
                  </w:tcMar>
                  <w:vAlign w:val="center"/>
                </w:tcPr>
                <w:p w14:paraId="3F5DD2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河岸清理</w:t>
                  </w:r>
                  <w:r>
                    <w:rPr>
                      <w:color w:val="auto"/>
                      <w:sz w:val="21"/>
                      <w:szCs w:val="21"/>
                      <w:highlight w:val="none"/>
                    </w:rPr>
                    <w:t>2786m</w:t>
                  </w:r>
                </w:p>
              </w:tc>
              <w:tc>
                <w:tcPr>
                  <w:tcW w:w="635" w:type="pct"/>
                  <w:vMerge w:val="continue"/>
                  <w:noWrap w:val="0"/>
                  <w:tcMar>
                    <w:top w:w="15" w:type="dxa"/>
                    <w:left w:w="15" w:type="dxa"/>
                    <w:right w:w="15" w:type="dxa"/>
                  </w:tcMar>
                  <w:vAlign w:val="center"/>
                </w:tcPr>
                <w:p w14:paraId="1EF1BA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587" w:type="pct"/>
                  <w:vMerge w:val="continue"/>
                  <w:noWrap w:val="0"/>
                  <w:tcMar>
                    <w:top w:w="15" w:type="dxa"/>
                    <w:left w:w="15" w:type="dxa"/>
                    <w:right w:w="15" w:type="dxa"/>
                  </w:tcMar>
                  <w:vAlign w:val="center"/>
                </w:tcPr>
                <w:p w14:paraId="125F97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p>
              </w:tc>
              <w:tc>
                <w:tcPr>
                  <w:tcW w:w="1920" w:type="pct"/>
                  <w:noWrap w:val="0"/>
                  <w:tcMar>
                    <w:top w:w="15" w:type="dxa"/>
                    <w:left w:w="15" w:type="dxa"/>
                    <w:right w:w="15" w:type="dxa"/>
                  </w:tcMar>
                  <w:vAlign w:val="center"/>
                </w:tcPr>
                <w:p w14:paraId="3362F2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lang w:eastAsia="zh-CN"/>
                    </w:rPr>
                  </w:pPr>
                  <w:r>
                    <w:rPr>
                      <w:color w:val="auto"/>
                      <w:sz w:val="21"/>
                      <w:szCs w:val="21"/>
                      <w:highlight w:val="none"/>
                    </w:rPr>
                    <w:t>左岸1992m，右岸317m</w:t>
                  </w:r>
                </w:p>
              </w:tc>
            </w:tr>
            <w:tr w14:paraId="378E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5" w:type="pct"/>
                  <w:noWrap w:val="0"/>
                  <w:tcMar>
                    <w:top w:w="15" w:type="dxa"/>
                    <w:left w:w="15" w:type="dxa"/>
                    <w:right w:w="15" w:type="dxa"/>
                  </w:tcMar>
                  <w:vAlign w:val="center"/>
                </w:tcPr>
                <w:p w14:paraId="166939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8</w:t>
                  </w:r>
                </w:p>
              </w:tc>
              <w:tc>
                <w:tcPr>
                  <w:tcW w:w="542" w:type="pct"/>
                  <w:vMerge w:val="continue"/>
                  <w:noWrap/>
                  <w:tcMar>
                    <w:top w:w="15" w:type="dxa"/>
                    <w:left w:w="15" w:type="dxa"/>
                    <w:right w:w="15" w:type="dxa"/>
                  </w:tcMar>
                  <w:vAlign w:val="center"/>
                </w:tcPr>
                <w:p w14:paraId="6EC937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1067" w:type="pct"/>
                  <w:shd w:val="clear" w:color="auto" w:fill="auto"/>
                  <w:noWrap/>
                  <w:tcMar>
                    <w:top w:w="15" w:type="dxa"/>
                    <w:left w:w="15" w:type="dxa"/>
                    <w:right w:w="15" w:type="dxa"/>
                  </w:tcMar>
                  <w:vAlign w:val="center"/>
                </w:tcPr>
                <w:p w14:paraId="0847CB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新建护岸</w:t>
                  </w:r>
                  <w:r>
                    <w:rPr>
                      <w:rFonts w:hint="eastAsia" w:cs="Times New Roman"/>
                      <w:color w:val="auto"/>
                      <w:sz w:val="21"/>
                      <w:szCs w:val="21"/>
                      <w:highlight w:val="none"/>
                      <w:lang w:eastAsia="zh-CN"/>
                    </w:rPr>
                    <w:t>1672m</w:t>
                  </w:r>
                </w:p>
              </w:tc>
              <w:tc>
                <w:tcPr>
                  <w:tcW w:w="635" w:type="pct"/>
                  <w:vMerge w:val="continue"/>
                  <w:noWrap w:val="0"/>
                  <w:tcMar>
                    <w:top w:w="15" w:type="dxa"/>
                    <w:left w:w="15" w:type="dxa"/>
                    <w:right w:w="15" w:type="dxa"/>
                  </w:tcMar>
                  <w:vAlign w:val="center"/>
                </w:tcPr>
                <w:p w14:paraId="0B91D0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587" w:type="pct"/>
                  <w:vMerge w:val="restart"/>
                  <w:shd w:val="clear" w:color="auto" w:fill="auto"/>
                  <w:noWrap w:val="0"/>
                  <w:tcMar>
                    <w:top w:w="15" w:type="dxa"/>
                    <w:left w:w="15" w:type="dxa"/>
                    <w:right w:w="15" w:type="dxa"/>
                  </w:tcMar>
                  <w:vAlign w:val="center"/>
                </w:tcPr>
                <w:p w14:paraId="604C1F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lang w:val="en-US" w:eastAsia="zh-CN"/>
                    </w:rPr>
                    <w:t>双拱场段</w:t>
                  </w:r>
                </w:p>
              </w:tc>
              <w:tc>
                <w:tcPr>
                  <w:tcW w:w="1920" w:type="pct"/>
                  <w:noWrap w:val="0"/>
                  <w:tcMar>
                    <w:top w:w="15" w:type="dxa"/>
                    <w:left w:w="15" w:type="dxa"/>
                    <w:right w:w="15" w:type="dxa"/>
                  </w:tcMar>
                  <w:vAlign w:val="center"/>
                </w:tcPr>
                <w:p w14:paraId="72B05B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s="Times New Roman"/>
                      <w:color w:val="auto"/>
                      <w:sz w:val="21"/>
                      <w:szCs w:val="21"/>
                      <w:highlight w:val="none"/>
                      <w:lang w:eastAsia="zh-CN"/>
                    </w:rPr>
                    <w:t>左岸823m，右岸849m</w:t>
                  </w:r>
                </w:p>
              </w:tc>
            </w:tr>
            <w:tr w14:paraId="3C90C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5" w:type="pct"/>
                  <w:noWrap w:val="0"/>
                  <w:tcMar>
                    <w:top w:w="15" w:type="dxa"/>
                    <w:left w:w="15" w:type="dxa"/>
                    <w:right w:w="15" w:type="dxa"/>
                  </w:tcMar>
                  <w:vAlign w:val="center"/>
                </w:tcPr>
                <w:p w14:paraId="6326F3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9</w:t>
                  </w:r>
                </w:p>
              </w:tc>
              <w:tc>
                <w:tcPr>
                  <w:tcW w:w="542" w:type="pct"/>
                  <w:vMerge w:val="continue"/>
                  <w:noWrap/>
                  <w:tcMar>
                    <w:top w:w="15" w:type="dxa"/>
                    <w:left w:w="15" w:type="dxa"/>
                    <w:right w:w="15" w:type="dxa"/>
                  </w:tcMar>
                  <w:vAlign w:val="center"/>
                </w:tcPr>
                <w:p w14:paraId="3D0043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1067" w:type="pct"/>
                  <w:shd w:val="clear" w:color="auto" w:fill="auto"/>
                  <w:noWrap/>
                  <w:tcMar>
                    <w:top w:w="15" w:type="dxa"/>
                    <w:left w:w="15" w:type="dxa"/>
                    <w:right w:w="15" w:type="dxa"/>
                  </w:tcMar>
                  <w:vAlign w:val="center"/>
                </w:tcPr>
                <w:p w14:paraId="2F1DFD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河道疏浚</w:t>
                  </w:r>
                  <w:r>
                    <w:rPr>
                      <w:rFonts w:hint="eastAsia"/>
                      <w:color w:val="auto"/>
                      <w:sz w:val="21"/>
                      <w:szCs w:val="21"/>
                      <w:highlight w:val="none"/>
                      <w:lang w:val="en-US" w:eastAsia="zh-CN"/>
                    </w:rPr>
                    <w:t>2150m</w:t>
                  </w:r>
                </w:p>
              </w:tc>
              <w:tc>
                <w:tcPr>
                  <w:tcW w:w="635" w:type="pct"/>
                  <w:vMerge w:val="continue"/>
                  <w:noWrap w:val="0"/>
                  <w:tcMar>
                    <w:top w:w="15" w:type="dxa"/>
                    <w:left w:w="15" w:type="dxa"/>
                    <w:right w:w="15" w:type="dxa"/>
                  </w:tcMar>
                  <w:vAlign w:val="center"/>
                </w:tcPr>
                <w:p w14:paraId="0E8104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587" w:type="pct"/>
                  <w:vMerge w:val="continue"/>
                  <w:shd w:val="clear" w:color="auto" w:fill="auto"/>
                  <w:noWrap w:val="0"/>
                  <w:tcMar>
                    <w:top w:w="15" w:type="dxa"/>
                    <w:left w:w="15" w:type="dxa"/>
                    <w:right w:w="15" w:type="dxa"/>
                  </w:tcMar>
                  <w:vAlign w:val="center"/>
                </w:tcPr>
                <w:p w14:paraId="6563BB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p>
              </w:tc>
              <w:tc>
                <w:tcPr>
                  <w:tcW w:w="1920" w:type="pct"/>
                  <w:noWrap w:val="0"/>
                  <w:tcMar>
                    <w:top w:w="15" w:type="dxa"/>
                    <w:left w:w="15" w:type="dxa"/>
                    <w:right w:w="15" w:type="dxa"/>
                  </w:tcMar>
                  <w:vAlign w:val="center"/>
                </w:tcPr>
                <w:p w14:paraId="31B4B6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auto"/>
                      <w:sz w:val="21"/>
                      <w:szCs w:val="21"/>
                      <w:highlight w:val="none"/>
                    </w:rPr>
                  </w:pPr>
                  <w:r>
                    <w:rPr>
                      <w:rFonts w:hint="eastAsia" w:cs="Times New Roman"/>
                      <w:color w:val="auto"/>
                      <w:sz w:val="21"/>
                      <w:szCs w:val="21"/>
                      <w:highlight w:val="none"/>
                      <w:lang w:eastAsia="zh-CN"/>
                    </w:rPr>
                    <w:t>双拱场段上游起于小湾处，下游止于观音咀处，对应中心桩号双0+000~双2+150，河道中心治理长度2150m</w:t>
                  </w:r>
                </w:p>
              </w:tc>
            </w:tr>
            <w:tr w14:paraId="17A6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5" w:type="pct"/>
                  <w:noWrap w:val="0"/>
                  <w:tcMar>
                    <w:top w:w="15" w:type="dxa"/>
                    <w:left w:w="15" w:type="dxa"/>
                    <w:right w:w="15" w:type="dxa"/>
                  </w:tcMar>
                  <w:vAlign w:val="center"/>
                </w:tcPr>
                <w:p w14:paraId="15034D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542" w:type="pct"/>
                  <w:vMerge w:val="continue"/>
                  <w:noWrap/>
                  <w:tcMar>
                    <w:top w:w="15" w:type="dxa"/>
                    <w:left w:w="15" w:type="dxa"/>
                    <w:right w:w="15" w:type="dxa"/>
                  </w:tcMar>
                  <w:vAlign w:val="center"/>
                </w:tcPr>
                <w:p w14:paraId="5751BC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1067" w:type="pct"/>
                  <w:shd w:val="clear" w:color="auto" w:fill="auto"/>
                  <w:noWrap/>
                  <w:tcMar>
                    <w:top w:w="15" w:type="dxa"/>
                    <w:left w:w="15" w:type="dxa"/>
                    <w:right w:w="15" w:type="dxa"/>
                  </w:tcMar>
                  <w:vAlign w:val="center"/>
                </w:tcPr>
                <w:p w14:paraId="1AF3A0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rPr>
                  </w:pPr>
                  <w:r>
                    <w:rPr>
                      <w:rFonts w:hint="eastAsia"/>
                      <w:color w:val="auto"/>
                      <w:sz w:val="21"/>
                      <w:szCs w:val="21"/>
                      <w:highlight w:val="none"/>
                      <w:lang w:val="en-US" w:eastAsia="zh-CN"/>
                    </w:rPr>
                    <w:t>河岸清理</w:t>
                  </w:r>
                  <w:r>
                    <w:rPr>
                      <w:color w:val="auto"/>
                      <w:sz w:val="21"/>
                      <w:szCs w:val="21"/>
                      <w:highlight w:val="none"/>
                    </w:rPr>
                    <w:t>2650m</w:t>
                  </w:r>
                </w:p>
              </w:tc>
              <w:tc>
                <w:tcPr>
                  <w:tcW w:w="635" w:type="pct"/>
                  <w:vMerge w:val="continue"/>
                  <w:noWrap w:val="0"/>
                  <w:tcMar>
                    <w:top w:w="15" w:type="dxa"/>
                    <w:left w:w="15" w:type="dxa"/>
                    <w:right w:w="15" w:type="dxa"/>
                  </w:tcMar>
                  <w:vAlign w:val="center"/>
                </w:tcPr>
                <w:p w14:paraId="4E97CA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587" w:type="pct"/>
                  <w:vMerge w:val="continue"/>
                  <w:shd w:val="clear" w:color="auto" w:fill="auto"/>
                  <w:noWrap w:val="0"/>
                  <w:tcMar>
                    <w:top w:w="15" w:type="dxa"/>
                    <w:left w:w="15" w:type="dxa"/>
                    <w:right w:w="15" w:type="dxa"/>
                  </w:tcMar>
                  <w:vAlign w:val="center"/>
                </w:tcPr>
                <w:p w14:paraId="504449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p>
              </w:tc>
              <w:tc>
                <w:tcPr>
                  <w:tcW w:w="1920" w:type="pct"/>
                  <w:noWrap w:val="0"/>
                  <w:tcMar>
                    <w:top w:w="15" w:type="dxa"/>
                    <w:left w:w="15" w:type="dxa"/>
                    <w:right w:w="15" w:type="dxa"/>
                  </w:tcMar>
                  <w:vAlign w:val="center"/>
                </w:tcPr>
                <w:p w14:paraId="6C8783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highlight w:val="none"/>
                      <w:lang w:eastAsia="zh-CN"/>
                    </w:rPr>
                  </w:pPr>
                  <w:r>
                    <w:rPr>
                      <w:color w:val="auto"/>
                      <w:sz w:val="21"/>
                      <w:szCs w:val="21"/>
                      <w:highlight w:val="none"/>
                    </w:rPr>
                    <w:t>左岸1582m，右岸1453m</w:t>
                  </w:r>
                </w:p>
              </w:tc>
            </w:tr>
            <w:tr w14:paraId="5301C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5" w:type="pct"/>
                  <w:noWrap w:val="0"/>
                  <w:tcMar>
                    <w:top w:w="15" w:type="dxa"/>
                    <w:left w:w="15" w:type="dxa"/>
                    <w:right w:w="15" w:type="dxa"/>
                  </w:tcMar>
                  <w:vAlign w:val="center"/>
                </w:tcPr>
                <w:p w14:paraId="4101F6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11</w:t>
                  </w:r>
                </w:p>
              </w:tc>
              <w:tc>
                <w:tcPr>
                  <w:tcW w:w="542" w:type="pct"/>
                  <w:vMerge w:val="restart"/>
                  <w:noWrap/>
                  <w:tcMar>
                    <w:top w:w="15" w:type="dxa"/>
                    <w:left w:w="15" w:type="dxa"/>
                    <w:right w:w="15" w:type="dxa"/>
                  </w:tcMar>
                  <w:vAlign w:val="center"/>
                </w:tcPr>
                <w:p w14:paraId="76E9F3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清河镇</w:t>
                  </w:r>
                </w:p>
              </w:tc>
              <w:tc>
                <w:tcPr>
                  <w:tcW w:w="1067" w:type="pct"/>
                  <w:shd w:val="clear" w:color="auto" w:fill="auto"/>
                  <w:noWrap/>
                  <w:tcMar>
                    <w:top w:w="15" w:type="dxa"/>
                    <w:left w:w="15" w:type="dxa"/>
                    <w:right w:w="15" w:type="dxa"/>
                  </w:tcMar>
                  <w:vAlign w:val="center"/>
                </w:tcPr>
                <w:p w14:paraId="189DD4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新建堤防4512m</w:t>
                  </w:r>
                </w:p>
              </w:tc>
              <w:tc>
                <w:tcPr>
                  <w:tcW w:w="635" w:type="pct"/>
                  <w:vMerge w:val="restart"/>
                  <w:noWrap w:val="0"/>
                  <w:tcMar>
                    <w:top w:w="15" w:type="dxa"/>
                    <w:left w:w="15" w:type="dxa"/>
                    <w:right w:w="15" w:type="dxa"/>
                  </w:tcMar>
                  <w:vAlign w:val="center"/>
                </w:tcPr>
                <w:p w14:paraId="0C2807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东柳河</w:t>
                  </w:r>
                </w:p>
              </w:tc>
              <w:tc>
                <w:tcPr>
                  <w:tcW w:w="587" w:type="pct"/>
                  <w:vMerge w:val="restart"/>
                  <w:shd w:val="clear" w:color="auto" w:fill="auto"/>
                  <w:noWrap w:val="0"/>
                  <w:tcMar>
                    <w:top w:w="15" w:type="dxa"/>
                    <w:left w:w="15" w:type="dxa"/>
                    <w:right w:w="15" w:type="dxa"/>
                  </w:tcMar>
                  <w:vAlign w:val="center"/>
                </w:tcPr>
                <w:p w14:paraId="5F5B0A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清河镇段</w:t>
                  </w:r>
                </w:p>
              </w:tc>
              <w:tc>
                <w:tcPr>
                  <w:tcW w:w="1920" w:type="pct"/>
                  <w:noWrap w:val="0"/>
                  <w:tcMar>
                    <w:top w:w="15" w:type="dxa"/>
                    <w:left w:w="15" w:type="dxa"/>
                    <w:right w:w="15" w:type="dxa"/>
                  </w:tcMar>
                  <w:vAlign w:val="center"/>
                </w:tcPr>
                <w:p w14:paraId="266ECC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auto"/>
                      <w:sz w:val="21"/>
                      <w:szCs w:val="21"/>
                      <w:highlight w:val="none"/>
                    </w:rPr>
                  </w:pPr>
                  <w:r>
                    <w:rPr>
                      <w:rFonts w:hint="eastAsia"/>
                      <w:color w:val="auto"/>
                      <w:sz w:val="21"/>
                      <w:szCs w:val="21"/>
                      <w:highlight w:val="none"/>
                      <w:lang w:val="en-US" w:eastAsia="zh-CN"/>
                    </w:rPr>
                    <w:t>包括</w:t>
                  </w:r>
                  <w:r>
                    <w:rPr>
                      <w:rFonts w:hint="eastAsia"/>
                      <w:color w:val="auto"/>
                      <w:sz w:val="21"/>
                      <w:szCs w:val="21"/>
                      <w:highlight w:val="none"/>
                    </w:rPr>
                    <w:t>干流段和支流段两部分</w:t>
                  </w:r>
                  <w:r>
                    <w:rPr>
                      <w:rFonts w:hint="eastAsia"/>
                      <w:color w:val="auto"/>
                      <w:sz w:val="21"/>
                      <w:szCs w:val="21"/>
                      <w:highlight w:val="none"/>
                      <w:lang w:eastAsia="zh-CN"/>
                    </w:rPr>
                    <w:t>。</w:t>
                  </w:r>
                  <w:r>
                    <w:rPr>
                      <w:rFonts w:hint="eastAsia"/>
                      <w:color w:val="auto"/>
                      <w:sz w:val="21"/>
                      <w:szCs w:val="21"/>
                      <w:highlight w:val="none"/>
                    </w:rPr>
                    <w:t>其中</w:t>
                  </w:r>
                  <w:r>
                    <w:rPr>
                      <w:rFonts w:hint="eastAsia"/>
                      <w:color w:val="auto"/>
                      <w:sz w:val="21"/>
                      <w:szCs w:val="21"/>
                      <w:highlight w:val="none"/>
                      <w:lang w:eastAsia="zh-CN"/>
                    </w:rPr>
                    <w:t>，</w:t>
                  </w:r>
                  <w:r>
                    <w:rPr>
                      <w:rFonts w:hint="eastAsia"/>
                      <w:color w:val="auto"/>
                      <w:sz w:val="21"/>
                      <w:szCs w:val="21"/>
                      <w:highlight w:val="none"/>
                    </w:rPr>
                    <w:t>东柳河干流段治理长度3808m，起于4#公路桥止于刘家河拦水堰；新建堤防总长度4131m，其中左岸新建堤防2321m；右岸新建堤防1810m</w:t>
                  </w:r>
                  <w:r>
                    <w:rPr>
                      <w:rFonts w:hint="eastAsia"/>
                      <w:color w:val="auto"/>
                      <w:sz w:val="21"/>
                      <w:szCs w:val="21"/>
                      <w:highlight w:val="none"/>
                      <w:lang w:eastAsia="zh-CN"/>
                    </w:rPr>
                    <w:t>。</w:t>
                  </w:r>
                  <w:r>
                    <w:rPr>
                      <w:rFonts w:hint="eastAsia"/>
                      <w:color w:val="auto"/>
                      <w:sz w:val="21"/>
                      <w:szCs w:val="21"/>
                      <w:highlight w:val="none"/>
                    </w:rPr>
                    <w:t>田家沟支流段治理长度325m，起于5#公路桥上游约200m处止于汇合口处，新建堤防总长度381m，其中左岸新建堤防114m，右岸新建堤防267m；</w:t>
                  </w:r>
                </w:p>
              </w:tc>
            </w:tr>
            <w:tr w14:paraId="2A6C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 w:hRule="atLeast"/>
                <w:jc w:val="center"/>
              </w:trPr>
              <w:tc>
                <w:tcPr>
                  <w:tcW w:w="245" w:type="pct"/>
                  <w:noWrap w:val="0"/>
                  <w:tcMar>
                    <w:top w:w="15" w:type="dxa"/>
                    <w:left w:w="15" w:type="dxa"/>
                    <w:right w:w="15" w:type="dxa"/>
                  </w:tcMar>
                  <w:vAlign w:val="center"/>
                </w:tcPr>
                <w:p w14:paraId="443E3C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12</w:t>
                  </w:r>
                </w:p>
              </w:tc>
              <w:tc>
                <w:tcPr>
                  <w:tcW w:w="542" w:type="pct"/>
                  <w:vMerge w:val="continue"/>
                  <w:noWrap/>
                  <w:tcMar>
                    <w:top w:w="15" w:type="dxa"/>
                    <w:left w:w="15" w:type="dxa"/>
                    <w:right w:w="15" w:type="dxa"/>
                  </w:tcMar>
                  <w:vAlign w:val="center"/>
                </w:tcPr>
                <w:p w14:paraId="2BBC88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1067" w:type="pct"/>
                  <w:shd w:val="clear" w:color="000000" w:fill="FFFFFF"/>
                  <w:noWrap/>
                  <w:tcMar>
                    <w:top w:w="15" w:type="dxa"/>
                    <w:left w:w="15" w:type="dxa"/>
                    <w:right w:w="15" w:type="dxa"/>
                  </w:tcMar>
                  <w:vAlign w:val="center"/>
                </w:tcPr>
                <w:p w14:paraId="712F96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河道疏浚4133m</w:t>
                  </w:r>
                </w:p>
              </w:tc>
              <w:tc>
                <w:tcPr>
                  <w:tcW w:w="635" w:type="pct"/>
                  <w:vMerge w:val="continue"/>
                  <w:noWrap w:val="0"/>
                  <w:tcMar>
                    <w:top w:w="15" w:type="dxa"/>
                    <w:left w:w="15" w:type="dxa"/>
                    <w:right w:w="15" w:type="dxa"/>
                  </w:tcMar>
                  <w:vAlign w:val="center"/>
                </w:tcPr>
                <w:p w14:paraId="1CB323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587" w:type="pct"/>
                  <w:vMerge w:val="continue"/>
                  <w:shd w:val="clear" w:color="auto" w:fill="auto"/>
                  <w:noWrap w:val="0"/>
                  <w:tcMar>
                    <w:top w:w="15" w:type="dxa"/>
                    <w:left w:w="15" w:type="dxa"/>
                    <w:right w:w="15" w:type="dxa"/>
                  </w:tcMar>
                  <w:vAlign w:val="center"/>
                </w:tcPr>
                <w:p w14:paraId="1AFD04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p>
              </w:tc>
              <w:tc>
                <w:tcPr>
                  <w:tcW w:w="1920" w:type="pct"/>
                  <w:noWrap w:val="0"/>
                  <w:tcMar>
                    <w:top w:w="15" w:type="dxa"/>
                    <w:left w:w="15" w:type="dxa"/>
                    <w:right w:w="15" w:type="dxa"/>
                  </w:tcMar>
                  <w:vAlign w:val="center"/>
                </w:tcPr>
                <w:p w14:paraId="3794E4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auto"/>
                      <w:sz w:val="21"/>
                      <w:szCs w:val="21"/>
                      <w:highlight w:val="none"/>
                    </w:rPr>
                  </w:pPr>
                  <w:r>
                    <w:rPr>
                      <w:rFonts w:hint="eastAsia"/>
                      <w:b w:val="0"/>
                      <w:bCs/>
                      <w:color w:val="auto"/>
                      <w:sz w:val="21"/>
                      <w:szCs w:val="21"/>
                      <w:highlight w:val="none"/>
                      <w:lang w:val="en-US" w:eastAsia="zh-CN"/>
                    </w:rPr>
                    <w:t>清淤长度为4133</w:t>
                  </w:r>
                  <w:r>
                    <w:rPr>
                      <w:b w:val="0"/>
                      <w:bCs/>
                      <w:color w:val="auto"/>
                      <w:sz w:val="21"/>
                      <w:szCs w:val="21"/>
                      <w:highlight w:val="none"/>
                    </w:rPr>
                    <w:t>m</w:t>
                  </w:r>
                  <w:r>
                    <w:rPr>
                      <w:rFonts w:hint="eastAsia"/>
                      <w:b w:val="0"/>
                      <w:bCs/>
                      <w:color w:val="auto"/>
                      <w:sz w:val="21"/>
                      <w:szCs w:val="21"/>
                      <w:highlight w:val="none"/>
                      <w:lang w:val="en-US" w:eastAsia="zh-CN"/>
                    </w:rPr>
                    <w:t>。</w:t>
                  </w:r>
                  <w:r>
                    <w:rPr>
                      <w:b w:val="0"/>
                      <w:bCs/>
                      <w:color w:val="auto"/>
                      <w:sz w:val="21"/>
                      <w:szCs w:val="21"/>
                      <w:highlight w:val="none"/>
                    </w:rPr>
                    <w:t>其中东柳河干流段治理长度</w:t>
                  </w:r>
                  <w:r>
                    <w:rPr>
                      <w:rFonts w:hint="eastAsia"/>
                      <w:b w:val="0"/>
                      <w:bCs/>
                      <w:color w:val="auto"/>
                      <w:sz w:val="21"/>
                      <w:szCs w:val="21"/>
                      <w:highlight w:val="none"/>
                    </w:rPr>
                    <w:t>3808</w:t>
                  </w:r>
                  <w:r>
                    <w:rPr>
                      <w:b w:val="0"/>
                      <w:bCs/>
                      <w:color w:val="auto"/>
                      <w:sz w:val="21"/>
                      <w:szCs w:val="21"/>
                      <w:highlight w:val="none"/>
                    </w:rPr>
                    <w:t>m，起于</w:t>
                  </w:r>
                  <w:r>
                    <w:rPr>
                      <w:rFonts w:hint="eastAsia"/>
                      <w:b w:val="0"/>
                      <w:bCs/>
                      <w:color w:val="auto"/>
                      <w:sz w:val="21"/>
                      <w:szCs w:val="21"/>
                      <w:highlight w:val="none"/>
                    </w:rPr>
                    <w:t>4#公路桥</w:t>
                  </w:r>
                  <w:r>
                    <w:rPr>
                      <w:b w:val="0"/>
                      <w:bCs/>
                      <w:color w:val="auto"/>
                      <w:sz w:val="21"/>
                      <w:szCs w:val="21"/>
                      <w:highlight w:val="none"/>
                    </w:rPr>
                    <w:t>止于刘家河拦水堰；田家沟支流段治理长度</w:t>
                  </w:r>
                  <w:r>
                    <w:rPr>
                      <w:rFonts w:hint="eastAsia"/>
                      <w:b w:val="0"/>
                      <w:bCs/>
                      <w:color w:val="auto"/>
                      <w:sz w:val="21"/>
                      <w:szCs w:val="21"/>
                      <w:highlight w:val="none"/>
                    </w:rPr>
                    <w:t>325m，起于5#公路桥上游约200m处止于汇合口处</w:t>
                  </w:r>
                  <w:r>
                    <w:rPr>
                      <w:rFonts w:hint="eastAsia" w:ascii="Times New Roman" w:hAnsi="Times New Roman" w:eastAsia="宋体"/>
                      <w:b w:val="0"/>
                      <w:color w:val="auto"/>
                      <w:sz w:val="21"/>
                      <w:szCs w:val="21"/>
                      <w:highlight w:val="none"/>
                    </w:rPr>
                    <w:t>。</w:t>
                  </w:r>
                </w:p>
              </w:tc>
            </w:tr>
            <w:tr w14:paraId="0D82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5" w:type="pct"/>
                  <w:noWrap w:val="0"/>
                  <w:tcMar>
                    <w:top w:w="15" w:type="dxa"/>
                    <w:left w:w="15" w:type="dxa"/>
                    <w:right w:w="15" w:type="dxa"/>
                  </w:tcMar>
                  <w:vAlign w:val="center"/>
                </w:tcPr>
                <w:p w14:paraId="4D9D42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13</w:t>
                  </w:r>
                </w:p>
              </w:tc>
              <w:tc>
                <w:tcPr>
                  <w:tcW w:w="542" w:type="pct"/>
                  <w:vMerge w:val="restart"/>
                  <w:noWrap/>
                  <w:tcMar>
                    <w:top w:w="15" w:type="dxa"/>
                    <w:left w:w="15" w:type="dxa"/>
                    <w:right w:w="15" w:type="dxa"/>
                  </w:tcMar>
                  <w:vAlign w:val="center"/>
                </w:tcPr>
                <w:p w14:paraId="11A99E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杨家镇</w:t>
                  </w:r>
                </w:p>
              </w:tc>
              <w:tc>
                <w:tcPr>
                  <w:tcW w:w="1067" w:type="pct"/>
                  <w:shd w:val="clear" w:color="000000" w:fill="FFFFFF"/>
                  <w:noWrap/>
                  <w:tcMar>
                    <w:top w:w="15" w:type="dxa"/>
                    <w:left w:w="15" w:type="dxa"/>
                    <w:right w:w="15" w:type="dxa"/>
                  </w:tcMar>
                  <w:vAlign w:val="center"/>
                </w:tcPr>
                <w:p w14:paraId="5260EC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snapToGrid w:val="0"/>
                      <w:color w:val="auto"/>
                      <w:kern w:val="0"/>
                      <w:sz w:val="21"/>
                      <w:szCs w:val="21"/>
                      <w:highlight w:val="none"/>
                      <w:lang w:val="en-US" w:eastAsia="zh-CN" w:bidi="ar-SA"/>
                    </w:rPr>
                  </w:pPr>
                  <w:r>
                    <w:rPr>
                      <w:rFonts w:hint="eastAsia"/>
                      <w:color w:val="auto"/>
                      <w:sz w:val="21"/>
                      <w:szCs w:val="21"/>
                      <w:highlight w:val="none"/>
                      <w:lang w:val="en-US" w:eastAsia="zh-CN"/>
                    </w:rPr>
                    <w:t>新建堤防</w:t>
                  </w:r>
                  <w:r>
                    <w:rPr>
                      <w:rFonts w:hint="default" w:ascii="Times New Roman" w:hAnsi="Times New Roman" w:cs="Times New Roman"/>
                      <w:b w:val="0"/>
                      <w:bCs/>
                      <w:color w:val="auto"/>
                      <w:kern w:val="0"/>
                      <w:sz w:val="21"/>
                      <w:szCs w:val="21"/>
                      <w:highlight w:val="none"/>
                    </w:rPr>
                    <w:t>4689m</w:t>
                  </w:r>
                </w:p>
              </w:tc>
              <w:tc>
                <w:tcPr>
                  <w:tcW w:w="635" w:type="pct"/>
                  <w:vMerge w:val="restart"/>
                  <w:noWrap w:val="0"/>
                  <w:tcMar>
                    <w:top w:w="15" w:type="dxa"/>
                    <w:left w:w="15" w:type="dxa"/>
                    <w:right w:w="15" w:type="dxa"/>
                  </w:tcMar>
                  <w:vAlign w:val="center"/>
                </w:tcPr>
                <w:p w14:paraId="4741B6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r>
                    <w:rPr>
                      <w:rFonts w:hint="eastAsia"/>
                      <w:color w:val="auto"/>
                      <w:sz w:val="21"/>
                      <w:szCs w:val="21"/>
                      <w:highlight w:val="none"/>
                      <w:lang w:val="en-US" w:eastAsia="zh-CN"/>
                    </w:rPr>
                    <w:t>东柳河</w:t>
                  </w:r>
                </w:p>
              </w:tc>
              <w:tc>
                <w:tcPr>
                  <w:tcW w:w="587" w:type="pct"/>
                  <w:vMerge w:val="restart"/>
                  <w:shd w:val="clear" w:color="auto" w:fill="auto"/>
                  <w:noWrap w:val="0"/>
                  <w:tcMar>
                    <w:top w:w="15" w:type="dxa"/>
                    <w:left w:w="15" w:type="dxa"/>
                    <w:right w:w="15" w:type="dxa"/>
                  </w:tcMar>
                  <w:vAlign w:val="center"/>
                </w:tcPr>
                <w:p w14:paraId="6364A3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杨家镇段</w:t>
                  </w:r>
                </w:p>
              </w:tc>
              <w:tc>
                <w:tcPr>
                  <w:tcW w:w="1920" w:type="pct"/>
                  <w:noWrap w:val="0"/>
                  <w:tcMar>
                    <w:top w:w="15" w:type="dxa"/>
                    <w:left w:w="15" w:type="dxa"/>
                    <w:right w:w="15" w:type="dxa"/>
                  </w:tcMar>
                  <w:vAlign w:val="center"/>
                </w:tcPr>
                <w:p w14:paraId="780267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auto"/>
                      <w:sz w:val="21"/>
                      <w:szCs w:val="21"/>
                      <w:highlight w:val="none"/>
                    </w:rPr>
                  </w:pPr>
                  <w:r>
                    <w:rPr>
                      <w:rFonts w:hint="eastAsia"/>
                      <w:color w:val="auto"/>
                      <w:sz w:val="21"/>
                      <w:szCs w:val="21"/>
                      <w:highlight w:val="none"/>
                      <w:lang w:val="en-US" w:eastAsia="zh-CN"/>
                    </w:rPr>
                    <w:t>包括干流段、</w:t>
                  </w:r>
                  <w:r>
                    <w:rPr>
                      <w:rFonts w:hint="eastAsia"/>
                      <w:color w:val="auto"/>
                      <w:sz w:val="21"/>
                      <w:szCs w:val="21"/>
                      <w:highlight w:val="none"/>
                    </w:rPr>
                    <w:t>清溪沟段</w:t>
                  </w:r>
                  <w:r>
                    <w:rPr>
                      <w:rFonts w:hint="eastAsia"/>
                      <w:color w:val="auto"/>
                      <w:sz w:val="21"/>
                      <w:szCs w:val="21"/>
                      <w:highlight w:val="none"/>
                      <w:lang w:val="en-US" w:eastAsia="zh-CN"/>
                    </w:rPr>
                    <w:t>和</w:t>
                  </w:r>
                  <w:r>
                    <w:rPr>
                      <w:rFonts w:hint="eastAsia"/>
                      <w:color w:val="auto"/>
                      <w:sz w:val="21"/>
                      <w:szCs w:val="21"/>
                      <w:highlight w:val="none"/>
                    </w:rPr>
                    <w:t>蚂蟥沟支流段</w:t>
                  </w:r>
                  <w:r>
                    <w:rPr>
                      <w:rFonts w:hint="eastAsia"/>
                      <w:color w:val="auto"/>
                      <w:sz w:val="21"/>
                      <w:szCs w:val="21"/>
                      <w:highlight w:val="none"/>
                      <w:lang w:val="en-US" w:eastAsia="zh-CN"/>
                    </w:rPr>
                    <w:t>。</w:t>
                  </w:r>
                  <w:r>
                    <w:rPr>
                      <w:rFonts w:hint="eastAsia"/>
                      <w:color w:val="auto"/>
                      <w:sz w:val="21"/>
                      <w:szCs w:val="21"/>
                      <w:highlight w:val="none"/>
                    </w:rPr>
                    <w:t>其中</w:t>
                  </w:r>
                  <w:r>
                    <w:rPr>
                      <w:rFonts w:hint="eastAsia"/>
                      <w:color w:val="auto"/>
                      <w:sz w:val="21"/>
                      <w:szCs w:val="21"/>
                      <w:highlight w:val="none"/>
                      <w:lang w:eastAsia="zh-CN"/>
                    </w:rPr>
                    <w:t>，</w:t>
                  </w:r>
                  <w:r>
                    <w:rPr>
                      <w:rFonts w:hint="eastAsia"/>
                      <w:color w:val="auto"/>
                      <w:sz w:val="21"/>
                      <w:szCs w:val="21"/>
                      <w:highlight w:val="none"/>
                    </w:rPr>
                    <w:t>干流段治理长度4772m</w:t>
                  </w:r>
                  <w:r>
                    <w:rPr>
                      <w:rFonts w:hint="eastAsia"/>
                      <w:color w:val="auto"/>
                      <w:sz w:val="21"/>
                      <w:szCs w:val="21"/>
                      <w:highlight w:val="none"/>
                      <w:lang w:eastAsia="zh-CN"/>
                    </w:rPr>
                    <w:t>，</w:t>
                  </w:r>
                  <w:r>
                    <w:rPr>
                      <w:rFonts w:hint="eastAsia"/>
                      <w:color w:val="auto"/>
                      <w:sz w:val="21"/>
                      <w:szCs w:val="21"/>
                      <w:highlight w:val="none"/>
                    </w:rPr>
                    <w:t>起于G5515公路桥上游872m处，杨家镇污水处理厂处，对应中心桩号K</w:t>
                  </w:r>
                  <w:r>
                    <w:rPr>
                      <w:rFonts w:hint="eastAsia"/>
                      <w:color w:val="auto"/>
                      <w:sz w:val="21"/>
                      <w:szCs w:val="21"/>
                      <w:highlight w:val="none"/>
                      <w:lang w:val="en-US" w:eastAsia="zh-CN"/>
                    </w:rPr>
                    <w:t>-</w:t>
                  </w:r>
                  <w:r>
                    <w:rPr>
                      <w:rFonts w:hint="eastAsia"/>
                      <w:color w:val="auto"/>
                      <w:sz w:val="21"/>
                      <w:szCs w:val="21"/>
                      <w:highlight w:val="none"/>
                    </w:rPr>
                    <w:t>2+172</w:t>
                  </w:r>
                  <w:r>
                    <w:rPr>
                      <w:rFonts w:hint="eastAsia"/>
                      <w:color w:val="auto"/>
                      <w:sz w:val="21"/>
                      <w:szCs w:val="21"/>
                      <w:highlight w:val="none"/>
                      <w:lang w:val="en-US" w:eastAsia="zh-CN"/>
                    </w:rPr>
                    <w:t>~</w:t>
                  </w:r>
                  <w:r>
                    <w:rPr>
                      <w:rFonts w:hint="eastAsia"/>
                      <w:color w:val="auto"/>
                      <w:sz w:val="21"/>
                      <w:szCs w:val="21"/>
                      <w:highlight w:val="none"/>
                    </w:rPr>
                    <w:t>K2+600</w:t>
                  </w:r>
                  <w:r>
                    <w:rPr>
                      <w:rFonts w:hint="eastAsia"/>
                      <w:color w:val="auto"/>
                      <w:sz w:val="21"/>
                      <w:szCs w:val="21"/>
                      <w:highlight w:val="none"/>
                      <w:lang w:eastAsia="zh-CN"/>
                    </w:rPr>
                    <w:t>。</w:t>
                  </w:r>
                  <w:r>
                    <w:rPr>
                      <w:rFonts w:hint="eastAsia"/>
                      <w:color w:val="auto"/>
                      <w:sz w:val="21"/>
                      <w:szCs w:val="21"/>
                      <w:highlight w:val="none"/>
                    </w:rPr>
                    <w:t>清溪沟段治理长度189m</w:t>
                  </w:r>
                  <w:r>
                    <w:rPr>
                      <w:rFonts w:hint="eastAsia"/>
                      <w:color w:val="auto"/>
                      <w:sz w:val="21"/>
                      <w:szCs w:val="21"/>
                      <w:highlight w:val="none"/>
                      <w:lang w:eastAsia="zh-CN"/>
                    </w:rPr>
                    <w:t>，</w:t>
                  </w:r>
                  <w:r>
                    <w:rPr>
                      <w:rFonts w:hint="eastAsia"/>
                      <w:color w:val="auto"/>
                      <w:sz w:val="21"/>
                      <w:szCs w:val="21"/>
                      <w:highlight w:val="none"/>
                    </w:rPr>
                    <w:t>起于入河口上游189m处</w:t>
                  </w:r>
                  <w:r>
                    <w:rPr>
                      <w:rFonts w:hint="eastAsia"/>
                      <w:color w:val="auto"/>
                      <w:sz w:val="21"/>
                      <w:szCs w:val="21"/>
                      <w:highlight w:val="none"/>
                      <w:lang w:eastAsia="zh-CN"/>
                    </w:rPr>
                    <w:t>，</w:t>
                  </w:r>
                  <w:r>
                    <w:rPr>
                      <w:rFonts w:hint="eastAsia"/>
                      <w:color w:val="auto"/>
                      <w:sz w:val="21"/>
                      <w:szCs w:val="21"/>
                      <w:highlight w:val="none"/>
                    </w:rPr>
                    <w:t>止于入河口处，对应中心桩号清支0+000~清支0+189</w:t>
                  </w:r>
                  <w:r>
                    <w:rPr>
                      <w:rFonts w:hint="eastAsia"/>
                      <w:color w:val="auto"/>
                      <w:sz w:val="21"/>
                      <w:szCs w:val="21"/>
                      <w:highlight w:val="none"/>
                      <w:lang w:eastAsia="zh-CN"/>
                    </w:rPr>
                    <w:t>。</w:t>
                  </w:r>
                  <w:r>
                    <w:rPr>
                      <w:rFonts w:hint="eastAsia"/>
                      <w:color w:val="auto"/>
                      <w:sz w:val="21"/>
                      <w:szCs w:val="21"/>
                      <w:highlight w:val="none"/>
                    </w:rPr>
                    <w:t>蚂蟥沟支流段治理长度164m</w:t>
                  </w:r>
                  <w:r>
                    <w:rPr>
                      <w:rFonts w:hint="eastAsia"/>
                      <w:color w:val="auto"/>
                      <w:sz w:val="21"/>
                      <w:szCs w:val="21"/>
                      <w:highlight w:val="none"/>
                      <w:lang w:eastAsia="zh-CN"/>
                    </w:rPr>
                    <w:t>，</w:t>
                  </w:r>
                  <w:r>
                    <w:rPr>
                      <w:rFonts w:hint="eastAsia"/>
                      <w:color w:val="auto"/>
                      <w:sz w:val="21"/>
                      <w:szCs w:val="21"/>
                      <w:highlight w:val="none"/>
                    </w:rPr>
                    <w:t>起于入河口上游164m处</w:t>
                  </w:r>
                  <w:r>
                    <w:rPr>
                      <w:rFonts w:hint="eastAsia"/>
                      <w:color w:val="auto"/>
                      <w:sz w:val="21"/>
                      <w:szCs w:val="21"/>
                      <w:highlight w:val="none"/>
                      <w:lang w:eastAsia="zh-CN"/>
                    </w:rPr>
                    <w:t>，</w:t>
                  </w:r>
                  <w:r>
                    <w:rPr>
                      <w:rFonts w:hint="eastAsia"/>
                      <w:color w:val="auto"/>
                      <w:sz w:val="21"/>
                      <w:szCs w:val="21"/>
                      <w:highlight w:val="none"/>
                    </w:rPr>
                    <w:t>止于入河口处</w:t>
                  </w:r>
                  <w:r>
                    <w:rPr>
                      <w:rFonts w:hint="eastAsia"/>
                      <w:color w:val="auto"/>
                      <w:sz w:val="21"/>
                      <w:szCs w:val="21"/>
                      <w:highlight w:val="none"/>
                      <w:lang w:eastAsia="zh-CN"/>
                    </w:rPr>
                    <w:t>，</w:t>
                  </w:r>
                  <w:r>
                    <w:rPr>
                      <w:rFonts w:hint="eastAsia"/>
                      <w:color w:val="auto"/>
                      <w:sz w:val="21"/>
                      <w:szCs w:val="21"/>
                      <w:highlight w:val="none"/>
                    </w:rPr>
                    <w:t>对应中心桩号蚂支0+000~蚂支0+164。</w:t>
                  </w:r>
                </w:p>
              </w:tc>
            </w:tr>
            <w:tr w14:paraId="55DB5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45" w:type="pct"/>
                  <w:noWrap w:val="0"/>
                  <w:tcMar>
                    <w:top w:w="15" w:type="dxa"/>
                    <w:left w:w="15" w:type="dxa"/>
                    <w:right w:w="15" w:type="dxa"/>
                  </w:tcMar>
                  <w:vAlign w:val="center"/>
                </w:tcPr>
                <w:p w14:paraId="6FD775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14</w:t>
                  </w:r>
                </w:p>
              </w:tc>
              <w:tc>
                <w:tcPr>
                  <w:tcW w:w="542" w:type="pct"/>
                  <w:vMerge w:val="continue"/>
                  <w:noWrap/>
                  <w:tcMar>
                    <w:top w:w="15" w:type="dxa"/>
                    <w:left w:w="15" w:type="dxa"/>
                    <w:right w:w="15" w:type="dxa"/>
                  </w:tcMar>
                  <w:vAlign w:val="center"/>
                </w:tcPr>
                <w:p w14:paraId="678C32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1067" w:type="pct"/>
                  <w:shd w:val="clear" w:color="auto" w:fill="auto"/>
                  <w:noWrap/>
                  <w:tcMar>
                    <w:top w:w="15" w:type="dxa"/>
                    <w:left w:w="15" w:type="dxa"/>
                    <w:right w:w="15" w:type="dxa"/>
                  </w:tcMar>
                  <w:vAlign w:val="center"/>
                </w:tcPr>
                <w:p w14:paraId="0F306B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河道疏浚</w:t>
                  </w:r>
                  <w:r>
                    <w:rPr>
                      <w:rFonts w:hint="eastAsia" w:cs="Times New Roman"/>
                      <w:color w:val="auto"/>
                      <w:sz w:val="21"/>
                      <w:szCs w:val="21"/>
                      <w:highlight w:val="none"/>
                      <w:lang w:val="en-US" w:eastAsia="zh-CN"/>
                    </w:rPr>
                    <w:t>5125</w:t>
                  </w:r>
                  <w:r>
                    <w:rPr>
                      <w:rFonts w:hint="eastAsia"/>
                      <w:color w:val="auto"/>
                      <w:sz w:val="21"/>
                      <w:szCs w:val="21"/>
                      <w:highlight w:val="none"/>
                      <w:lang w:val="en-US" w:eastAsia="zh-CN"/>
                    </w:rPr>
                    <w:t>m</w:t>
                  </w:r>
                </w:p>
              </w:tc>
              <w:tc>
                <w:tcPr>
                  <w:tcW w:w="635" w:type="pct"/>
                  <w:vMerge w:val="continue"/>
                  <w:noWrap w:val="0"/>
                  <w:tcMar>
                    <w:top w:w="15" w:type="dxa"/>
                    <w:left w:w="15" w:type="dxa"/>
                    <w:right w:w="15" w:type="dxa"/>
                  </w:tcMar>
                  <w:vAlign w:val="center"/>
                </w:tcPr>
                <w:p w14:paraId="73370E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highlight w:val="none"/>
                    </w:rPr>
                  </w:pPr>
                </w:p>
              </w:tc>
              <w:tc>
                <w:tcPr>
                  <w:tcW w:w="587" w:type="pct"/>
                  <w:vMerge w:val="continue"/>
                  <w:shd w:val="clear" w:color="auto" w:fill="auto"/>
                  <w:noWrap w:val="0"/>
                  <w:tcMar>
                    <w:top w:w="15" w:type="dxa"/>
                    <w:left w:w="15" w:type="dxa"/>
                    <w:right w:w="15" w:type="dxa"/>
                  </w:tcMar>
                  <w:vAlign w:val="center"/>
                </w:tcPr>
                <w:p w14:paraId="315999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p>
              </w:tc>
              <w:tc>
                <w:tcPr>
                  <w:tcW w:w="1920" w:type="pct"/>
                  <w:noWrap w:val="0"/>
                  <w:tcMar>
                    <w:top w:w="15" w:type="dxa"/>
                    <w:left w:w="15" w:type="dxa"/>
                    <w:right w:w="15" w:type="dxa"/>
                  </w:tcMar>
                  <w:vAlign w:val="center"/>
                </w:tcPr>
                <w:p w14:paraId="332616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eastAsia="宋体"/>
                      <w:color w:val="auto"/>
                      <w:sz w:val="21"/>
                      <w:szCs w:val="21"/>
                      <w:highlight w:val="none"/>
                      <w:lang w:eastAsia="zh-CN"/>
                    </w:rPr>
                  </w:pPr>
                  <w:r>
                    <w:rPr>
                      <w:rFonts w:hint="eastAsia"/>
                      <w:b w:val="0"/>
                      <w:bCs/>
                      <w:color w:val="auto"/>
                      <w:sz w:val="21"/>
                      <w:szCs w:val="21"/>
                      <w:highlight w:val="none"/>
                      <w:lang w:val="en-US" w:eastAsia="zh-CN"/>
                    </w:rPr>
                    <w:t>清淤长度为</w:t>
                  </w:r>
                  <w:r>
                    <w:rPr>
                      <w:rFonts w:hint="eastAsia"/>
                      <w:b w:val="0"/>
                      <w:bCs/>
                      <w:color w:val="auto"/>
                      <w:sz w:val="21"/>
                      <w:szCs w:val="21"/>
                      <w:highlight w:val="none"/>
                    </w:rPr>
                    <w:t>5125m，其中干流段起于G5515公路桥上游872m处，止于杨家镇污水处理厂，河道中心治理长度4772m；清溪沟支流段起于入河口上游189m处止于入河口处</w:t>
                  </w:r>
                  <w:r>
                    <w:rPr>
                      <w:rFonts w:hint="eastAsia"/>
                      <w:b w:val="0"/>
                      <w:bCs/>
                      <w:color w:val="auto"/>
                      <w:sz w:val="21"/>
                      <w:szCs w:val="21"/>
                      <w:highlight w:val="none"/>
                      <w:lang w:eastAsia="zh-CN"/>
                    </w:rPr>
                    <w:t>，</w:t>
                  </w:r>
                  <w:r>
                    <w:rPr>
                      <w:rFonts w:hint="eastAsia"/>
                      <w:b w:val="0"/>
                      <w:bCs/>
                      <w:color w:val="auto"/>
                      <w:sz w:val="21"/>
                      <w:szCs w:val="21"/>
                      <w:highlight w:val="none"/>
                    </w:rPr>
                    <w:t>河道中心治理长度189m</w:t>
                  </w:r>
                  <w:r>
                    <w:rPr>
                      <w:rFonts w:hint="eastAsia"/>
                      <w:b w:val="0"/>
                      <w:bCs/>
                      <w:color w:val="auto"/>
                      <w:sz w:val="21"/>
                      <w:szCs w:val="21"/>
                      <w:highlight w:val="none"/>
                      <w:lang w:eastAsia="zh-CN"/>
                    </w:rPr>
                    <w:t>；</w:t>
                  </w:r>
                  <w:r>
                    <w:rPr>
                      <w:rFonts w:hint="eastAsia"/>
                      <w:b w:val="0"/>
                      <w:bCs/>
                      <w:color w:val="auto"/>
                      <w:sz w:val="21"/>
                      <w:szCs w:val="21"/>
                      <w:highlight w:val="none"/>
                    </w:rPr>
                    <w:t>蚂蟥沟支流段起于入河口上游164m处</w:t>
                  </w:r>
                  <w:r>
                    <w:rPr>
                      <w:rFonts w:hint="eastAsia"/>
                      <w:b w:val="0"/>
                      <w:bCs/>
                      <w:color w:val="auto"/>
                      <w:sz w:val="21"/>
                      <w:szCs w:val="21"/>
                      <w:highlight w:val="none"/>
                      <w:lang w:eastAsia="zh-CN"/>
                    </w:rPr>
                    <w:t>，</w:t>
                  </w:r>
                  <w:r>
                    <w:rPr>
                      <w:rFonts w:hint="eastAsia"/>
                      <w:b w:val="0"/>
                      <w:bCs/>
                      <w:color w:val="auto"/>
                      <w:sz w:val="21"/>
                      <w:szCs w:val="21"/>
                      <w:highlight w:val="none"/>
                    </w:rPr>
                    <w:t>止于入河口处</w:t>
                  </w:r>
                  <w:r>
                    <w:rPr>
                      <w:rFonts w:hint="eastAsia"/>
                      <w:b w:val="0"/>
                      <w:bCs/>
                      <w:color w:val="auto"/>
                      <w:sz w:val="21"/>
                      <w:szCs w:val="21"/>
                      <w:highlight w:val="none"/>
                      <w:lang w:eastAsia="zh-CN"/>
                    </w:rPr>
                    <w:t>，</w:t>
                  </w:r>
                  <w:r>
                    <w:rPr>
                      <w:rFonts w:hint="eastAsia"/>
                      <w:b w:val="0"/>
                      <w:bCs/>
                      <w:color w:val="auto"/>
                      <w:sz w:val="21"/>
                      <w:szCs w:val="21"/>
                      <w:highlight w:val="none"/>
                    </w:rPr>
                    <w:t>河道中心治理长度164m</w:t>
                  </w:r>
                  <w:r>
                    <w:rPr>
                      <w:rFonts w:hint="eastAsia" w:ascii="Times New Roman" w:hAnsi="Times New Roman" w:eastAsia="宋体"/>
                      <w:b w:val="0"/>
                      <w:bCs/>
                      <w:color w:val="auto"/>
                      <w:sz w:val="21"/>
                      <w:szCs w:val="21"/>
                      <w:highlight w:val="none"/>
                    </w:rPr>
                    <w:t>。</w:t>
                  </w:r>
                </w:p>
              </w:tc>
            </w:tr>
          </w:tbl>
          <w:p w14:paraId="50DF8EFB">
            <w:pPr>
              <w:ind w:firstLine="480"/>
              <w:rPr>
                <w:rFonts w:hint="default" w:ascii="Times New Roman" w:hAnsi="Times New Roman" w:cs="Times New Roman"/>
                <w:color w:val="auto"/>
                <w:highlight w:val="none"/>
              </w:rPr>
            </w:pPr>
          </w:p>
        </w:tc>
      </w:tr>
      <w:tr w14:paraId="5ED5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684" w:type="dxa"/>
            <w:noWrap w:val="0"/>
            <w:vAlign w:val="center"/>
          </w:tcPr>
          <w:p w14:paraId="17E04117">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项目组成及规模</w:t>
            </w:r>
          </w:p>
        </w:tc>
        <w:tc>
          <w:tcPr>
            <w:tcW w:w="9271" w:type="dxa"/>
            <w:noWrap w:val="0"/>
            <w:vAlign w:val="top"/>
          </w:tcPr>
          <w:p w14:paraId="16DAF2D8">
            <w:pPr>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2.2 项目由来</w:t>
            </w:r>
          </w:p>
          <w:p w14:paraId="115FA21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大竹县历史上山洪灾害比较频繁，种类和规模不一。</w:t>
            </w:r>
            <w:r>
              <w:rPr>
                <w:rFonts w:hint="eastAsia" w:cs="Times New Roman"/>
                <w:color w:val="auto"/>
                <w:highlight w:val="none"/>
                <w:lang w:val="en-US" w:eastAsia="zh-CN"/>
              </w:rPr>
              <w:t>东柳河清河镇段及杨家镇段多为天然岸坡，地势高低不平，局部河段冲刷严重，局部岸坡冲刷严重。柳城河石河镇段</w:t>
            </w:r>
            <w:r>
              <w:rPr>
                <w:rFonts w:hint="default" w:ascii="Times New Roman" w:hAnsi="Times New Roman" w:cs="Times New Roman"/>
                <w:color w:val="auto"/>
                <w:highlight w:val="none"/>
              </w:rPr>
              <w:t>水土流失严重</w:t>
            </w:r>
            <w:r>
              <w:rPr>
                <w:rFonts w:hint="eastAsia" w:cs="Times New Roman"/>
                <w:color w:val="auto"/>
                <w:highlight w:val="none"/>
                <w:lang w:eastAsia="zh-CN"/>
              </w:rPr>
              <w:t>、</w:t>
            </w:r>
            <w:r>
              <w:rPr>
                <w:rFonts w:hint="default" w:ascii="Times New Roman" w:hAnsi="Times New Roman" w:cs="Times New Roman"/>
                <w:color w:val="auto"/>
                <w:highlight w:val="none"/>
              </w:rPr>
              <w:t>河床淤积，加之挤占河道断面修建修房屋，减少了行洪断面，汛期河道行洪能力严重不足。</w:t>
            </w:r>
          </w:p>
          <w:p w14:paraId="3692817C">
            <w:pPr>
              <w:pStyle w:val="4"/>
              <w:spacing w:before="0" w:after="0" w:line="360" w:lineRule="auto"/>
              <w:ind w:right="0" w:firstLine="480" w:firstLineChars="200"/>
              <w:rPr>
                <w:rFonts w:hint="eastAsia" w:ascii="Times New Roman" w:hAnsi="Times New Roman" w:eastAsia="宋体"/>
                <w:color w:val="auto"/>
                <w:sz w:val="24"/>
                <w:szCs w:val="24"/>
                <w:highlight w:val="none"/>
              </w:rPr>
            </w:pPr>
            <w:r>
              <w:rPr>
                <w:rFonts w:hint="default" w:ascii="Times New Roman" w:hAnsi="Times New Roman" w:cs="Times New Roman"/>
                <w:color w:val="auto"/>
                <w:highlight w:val="none"/>
              </w:rPr>
              <w:t>为完善场镇基础设施，建设和谐生态自然景观，保障沿河人民群众生命财产安全，促进沿河地区社会经济的发展，急需对工程河段进行综合整治，将场镇建设、防洪治理、改造、容貌整治等有机地结合起来，因地制宜地建设堤防、护岸，疏通河道，恢复和完善防洪体系和环境体系，提高流域的整体防洪能力和生态景观功能</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因此，</w:t>
            </w:r>
            <w:r>
              <w:rPr>
                <w:rFonts w:hint="eastAsia" w:ascii="Times New Roman" w:hAnsi="Times New Roman" w:eastAsia="宋体"/>
                <w:color w:val="auto"/>
                <w:sz w:val="24"/>
                <w:szCs w:val="24"/>
                <w:highlight w:val="none"/>
                <w:lang w:val="en-US" w:eastAsia="zh-CN"/>
              </w:rPr>
              <w:t>大竹县河长制工作管理中心拟实施“</w:t>
            </w:r>
            <w:r>
              <w:rPr>
                <w:rFonts w:hint="eastAsia" w:cs="Times New Roman"/>
                <w:bCs/>
                <w:color w:val="auto"/>
                <w:sz w:val="24"/>
                <w:szCs w:val="32"/>
                <w:highlight w:val="none"/>
                <w:lang w:val="en-US" w:eastAsia="zh-CN"/>
              </w:rPr>
              <w:t>四川省大竹县柳城河石河镇二郎、福兴防洪治理工程、</w:t>
            </w:r>
            <w:r>
              <w:rPr>
                <w:rFonts w:hint="eastAsia" w:cs="Times New Roman"/>
                <w:color w:val="auto"/>
                <w:highlight w:val="none"/>
                <w:lang w:eastAsia="zh-CN"/>
              </w:rPr>
              <w:t>四川省大竹县柳城河石河镇防洪治理工程、</w:t>
            </w:r>
            <w:r>
              <w:rPr>
                <w:rFonts w:hint="eastAsia" w:ascii="Times New Roman" w:hAnsi="Times New Roman" w:eastAsia="宋体"/>
                <w:color w:val="auto"/>
                <w:sz w:val="24"/>
                <w:highlight w:val="none"/>
                <w:lang w:eastAsia="zh-CN"/>
              </w:rPr>
              <w:t>大竹县东柳河清河镇防洪治理工程和东柳河杨家镇防洪治理工程</w:t>
            </w:r>
            <w:r>
              <w:rPr>
                <w:rFonts w:hint="eastAsia" w:ascii="Times New Roman" w:hAnsi="Times New Roman" w:eastAsia="宋体"/>
                <w:color w:val="auto"/>
                <w:sz w:val="24"/>
                <w:szCs w:val="24"/>
                <w:highlight w:val="none"/>
                <w:lang w:val="en-US" w:eastAsia="zh-CN"/>
              </w:rPr>
              <w:t>”（以下简称“本项目”）</w:t>
            </w:r>
            <w:r>
              <w:rPr>
                <w:rFonts w:hint="eastAsia" w:ascii="Times New Roman" w:hAnsi="Times New Roman" w:eastAsia="宋体"/>
                <w:color w:val="auto"/>
                <w:sz w:val="24"/>
                <w:szCs w:val="24"/>
                <w:highlight w:val="none"/>
              </w:rPr>
              <w:t>。</w:t>
            </w:r>
          </w:p>
          <w:p w14:paraId="2BE4EECC">
            <w:pPr>
              <w:ind w:firstLine="480"/>
              <w:rPr>
                <w:rFonts w:hint="default" w:ascii="Times New Roman" w:hAnsi="Times New Roman" w:cs="Times New Roman"/>
                <w:color w:val="auto"/>
                <w:highlight w:val="none"/>
                <w:lang w:val="en-US"/>
              </w:rPr>
            </w:pPr>
            <w:r>
              <w:rPr>
                <w:rFonts w:hint="eastAsia" w:ascii="Times New Roman" w:hAnsi="Times New Roman" w:eastAsia="宋体"/>
                <w:color w:val="auto"/>
                <w:sz w:val="24"/>
                <w:szCs w:val="24"/>
                <w:highlight w:val="none"/>
                <w:lang w:val="en-US" w:eastAsia="zh-CN"/>
              </w:rPr>
              <w:t>2021年12月</w:t>
            </w:r>
            <w:r>
              <w:rPr>
                <w:rFonts w:hint="eastAsia" w:ascii="Times New Roman" w:hAnsi="Times New Roman" w:eastAsia="宋体"/>
                <w:color w:val="auto"/>
                <w:sz w:val="24"/>
                <w:szCs w:val="24"/>
                <w:highlight w:val="none"/>
              </w:rPr>
              <w:t>，大竹县水务</w:t>
            </w:r>
            <w:r>
              <w:rPr>
                <w:rFonts w:hint="eastAsia" w:ascii="Times New Roman" w:hAnsi="Times New Roman" w:eastAsia="宋体"/>
                <w:color w:val="auto"/>
                <w:sz w:val="24"/>
                <w:szCs w:val="24"/>
                <w:highlight w:val="none"/>
                <w:lang w:val="en-US" w:eastAsia="zh-CN"/>
              </w:rPr>
              <w:t>以</w:t>
            </w:r>
            <w:r>
              <w:rPr>
                <w:rFonts w:hint="eastAsia" w:ascii="Times New Roman" w:hAnsi="Times New Roman" w:eastAsia="宋体"/>
                <w:color w:val="auto"/>
                <w:sz w:val="24"/>
                <w:szCs w:val="24"/>
                <w:highlight w:val="none"/>
              </w:rPr>
              <w:t>竹水务函〔2021〕</w:t>
            </w:r>
            <w:r>
              <w:rPr>
                <w:rFonts w:hint="eastAsia" w:ascii="Times New Roman" w:hAnsi="Times New Roman" w:eastAsia="宋体"/>
                <w:color w:val="auto"/>
                <w:sz w:val="24"/>
                <w:szCs w:val="24"/>
                <w:highlight w:val="none"/>
                <w:lang w:val="en-US" w:eastAsia="zh-CN"/>
              </w:rPr>
              <w:t>165</w:t>
            </w:r>
            <w:r>
              <w:rPr>
                <w:rFonts w:hint="eastAsia" w:ascii="Times New Roman" w:hAnsi="Times New Roman" w:eastAsia="宋体"/>
                <w:color w:val="auto"/>
                <w:sz w:val="24"/>
                <w:szCs w:val="24"/>
                <w:highlight w:val="none"/>
              </w:rPr>
              <w:t>号</w:t>
            </w:r>
            <w:r>
              <w:rPr>
                <w:rFonts w:hint="eastAsia" w:ascii="Times New Roman" w:hAnsi="Times New Roman" w:eastAsia="宋体"/>
                <w:color w:val="auto"/>
                <w:sz w:val="24"/>
                <w:szCs w:val="24"/>
                <w:highlight w:val="none"/>
                <w:lang w:eastAsia="zh-CN"/>
              </w:rPr>
              <w:t>《大竹县水务局关于大竹县东柳河清河镇防洪治理工程和东柳河杨家镇防洪治理工程初步设计报告的批复》</w:t>
            </w:r>
            <w:r>
              <w:rPr>
                <w:rFonts w:hint="eastAsia" w:ascii="Times New Roman" w:hAnsi="Times New Roman" w:eastAsia="宋体"/>
                <w:color w:val="auto"/>
                <w:sz w:val="24"/>
                <w:szCs w:val="24"/>
                <w:highlight w:val="none"/>
                <w:lang w:val="en-US" w:eastAsia="zh-CN"/>
              </w:rPr>
              <w:t>对该初步设计报告予以批复</w:t>
            </w:r>
            <w:r>
              <w:rPr>
                <w:rFonts w:hint="eastAsia" w:ascii="Times New Roman" w:hAnsi="Times New Roman" w:eastAsia="宋体"/>
                <w:color w:val="auto"/>
                <w:sz w:val="24"/>
                <w:szCs w:val="24"/>
                <w:highlight w:val="none"/>
                <w:lang w:eastAsia="zh-CN"/>
              </w:rPr>
              <w:t>。</w:t>
            </w:r>
            <w:r>
              <w:rPr>
                <w:rFonts w:hint="eastAsia" w:cs="Times New Roman"/>
                <w:color w:val="auto"/>
                <w:highlight w:val="none"/>
                <w:lang w:eastAsia="zh-CN"/>
              </w:rPr>
              <w:t>2022年12月31日，大竹县水务局以竹水务函〔202</w:t>
            </w:r>
            <w:r>
              <w:rPr>
                <w:rFonts w:hint="eastAsia" w:cs="Times New Roman"/>
                <w:color w:val="auto"/>
                <w:highlight w:val="none"/>
                <w:lang w:val="en-US" w:eastAsia="zh-CN"/>
              </w:rPr>
              <w:t>2</w:t>
            </w:r>
            <w:r>
              <w:rPr>
                <w:rFonts w:hint="eastAsia" w:cs="Times New Roman"/>
                <w:color w:val="auto"/>
                <w:highlight w:val="none"/>
                <w:lang w:eastAsia="zh-CN"/>
              </w:rPr>
              <w:t>〕</w:t>
            </w:r>
            <w:r>
              <w:rPr>
                <w:rFonts w:hint="eastAsia" w:cs="Times New Roman"/>
                <w:color w:val="auto"/>
                <w:highlight w:val="none"/>
                <w:lang w:val="en-US" w:eastAsia="zh-CN"/>
              </w:rPr>
              <w:t>266号</w:t>
            </w:r>
            <w:r>
              <w:rPr>
                <w:rFonts w:hint="default" w:ascii="Times New Roman" w:hAnsi="Times New Roman" w:cs="Times New Roman"/>
                <w:color w:val="auto"/>
                <w:highlight w:val="none"/>
              </w:rPr>
              <w:t>《关于</w:t>
            </w:r>
            <w:r>
              <w:rPr>
                <w:rFonts w:hint="eastAsia" w:cs="Times New Roman"/>
                <w:color w:val="auto"/>
                <w:highlight w:val="none"/>
                <w:lang w:eastAsia="zh-CN"/>
              </w:rPr>
              <w:t>四川省大竹县柳城河石河镇防洪治理工程</w:t>
            </w:r>
            <w:r>
              <w:rPr>
                <w:rFonts w:hint="default" w:ascii="Times New Roman" w:hAnsi="Times New Roman" w:cs="Times New Roman"/>
                <w:color w:val="auto"/>
                <w:highlight w:val="none"/>
                <w:lang w:val="en-US" w:eastAsia="zh-CN"/>
              </w:rPr>
              <w:t>初步设计报告</w:t>
            </w:r>
            <w:r>
              <w:rPr>
                <w:rFonts w:hint="default" w:ascii="Times New Roman" w:hAnsi="Times New Roman" w:cs="Times New Roman"/>
                <w:color w:val="auto"/>
                <w:highlight w:val="none"/>
              </w:rPr>
              <w:t>的批复》对</w:t>
            </w:r>
            <w:r>
              <w:rPr>
                <w:rFonts w:hint="eastAsia" w:cs="Times New Roman"/>
                <w:color w:val="auto"/>
                <w:highlight w:val="none"/>
                <w:lang w:eastAsia="zh-CN"/>
              </w:rPr>
              <w:t>柳城河石河镇防洪治理工程</w:t>
            </w:r>
            <w:r>
              <w:rPr>
                <w:rFonts w:hint="default" w:ascii="Times New Roman" w:hAnsi="Times New Roman" w:cs="Times New Roman"/>
                <w:color w:val="auto"/>
                <w:highlight w:val="none"/>
              </w:rPr>
              <w:t>的初步设计文件予以批复</w:t>
            </w:r>
            <w:r>
              <w:rPr>
                <w:rFonts w:hint="eastAsia" w:cs="Times New Roman"/>
                <w:color w:val="auto"/>
                <w:highlight w:val="none"/>
                <w:lang w:eastAsia="zh-CN"/>
              </w:rPr>
              <w:t>；</w:t>
            </w:r>
            <w:r>
              <w:rPr>
                <w:rFonts w:hint="default" w:ascii="Times New Roman" w:hAnsi="Times New Roman" w:cs="Times New Roman"/>
                <w:color w:val="auto"/>
                <w:highlight w:val="none"/>
              </w:rPr>
              <w:t>202</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年</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月</w:t>
            </w:r>
            <w:r>
              <w:rPr>
                <w:rFonts w:hint="eastAsia" w:cs="Times New Roman"/>
                <w:color w:val="auto"/>
                <w:highlight w:val="none"/>
                <w:lang w:val="en-US" w:eastAsia="zh-CN"/>
              </w:rPr>
              <w:t>29日</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大竹县水务局</w:t>
            </w:r>
            <w:r>
              <w:rPr>
                <w:rFonts w:hint="default" w:ascii="Times New Roman" w:hAnsi="Times New Roman" w:cs="Times New Roman"/>
                <w:color w:val="auto"/>
                <w:highlight w:val="none"/>
              </w:rPr>
              <w:t>以</w:t>
            </w:r>
            <w:r>
              <w:rPr>
                <w:rFonts w:hint="default" w:ascii="Times New Roman" w:hAnsi="Times New Roman" w:eastAsia="宋体" w:cs="Times New Roman"/>
                <w:color w:val="auto"/>
                <w:highlight w:val="none"/>
                <w:lang w:val="en-US" w:eastAsia="zh-CN"/>
              </w:rPr>
              <w:t>竹水务函〔202</w:t>
            </w: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〕144号</w:t>
            </w:r>
            <w:r>
              <w:rPr>
                <w:rFonts w:hint="default" w:ascii="Times New Roman" w:hAnsi="Times New Roman" w:cs="Times New Roman"/>
                <w:color w:val="auto"/>
                <w:highlight w:val="none"/>
              </w:rPr>
              <w:t>《关于</w:t>
            </w:r>
            <w:r>
              <w:rPr>
                <w:rFonts w:hint="default" w:ascii="Times New Roman" w:hAnsi="Times New Roman" w:cs="Times New Roman"/>
                <w:color w:val="auto"/>
                <w:highlight w:val="none"/>
                <w:lang w:eastAsia="zh-CN"/>
              </w:rPr>
              <w:t>四川省大竹县柳城河石河镇二郎、福兴防洪治理工程</w:t>
            </w:r>
            <w:r>
              <w:rPr>
                <w:rFonts w:hint="default" w:ascii="Times New Roman" w:hAnsi="Times New Roman" w:cs="Times New Roman"/>
                <w:color w:val="auto"/>
                <w:highlight w:val="none"/>
                <w:lang w:val="en-US" w:eastAsia="zh-CN"/>
              </w:rPr>
              <w:t>初步设计报告</w:t>
            </w:r>
            <w:r>
              <w:rPr>
                <w:rFonts w:hint="default" w:ascii="Times New Roman" w:hAnsi="Times New Roman" w:cs="Times New Roman"/>
                <w:color w:val="auto"/>
                <w:highlight w:val="none"/>
              </w:rPr>
              <w:t>的批复》对</w:t>
            </w:r>
            <w:r>
              <w:rPr>
                <w:rFonts w:hint="default" w:ascii="Times New Roman" w:hAnsi="Times New Roman" w:cs="Times New Roman"/>
                <w:color w:val="auto"/>
                <w:highlight w:val="none"/>
                <w:lang w:eastAsia="zh-CN"/>
              </w:rPr>
              <w:t>柳城河石河镇二郎、福兴防洪治理工程</w:t>
            </w:r>
            <w:r>
              <w:rPr>
                <w:rFonts w:hint="default" w:ascii="Times New Roman" w:hAnsi="Times New Roman" w:cs="Times New Roman"/>
                <w:color w:val="auto"/>
                <w:highlight w:val="none"/>
              </w:rPr>
              <w:t>的初步设计文件予以批复</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详见附件1</w:t>
            </w:r>
            <w:r>
              <w:rPr>
                <w:rFonts w:hint="default" w:ascii="Times New Roman" w:hAnsi="Times New Roman" w:cs="Times New Roman"/>
                <w:bCs/>
                <w:color w:val="auto"/>
                <w:sz w:val="24"/>
                <w:szCs w:val="32"/>
                <w:highlight w:val="none"/>
                <w:lang w:val="en-US" w:eastAsia="zh-CN"/>
              </w:rPr>
              <w:t>。</w:t>
            </w:r>
          </w:p>
          <w:p w14:paraId="4404784A">
            <w:pPr>
              <w:spacing w:line="360" w:lineRule="auto"/>
              <w:ind w:firstLine="480" w:firstLineChars="200"/>
              <w:rPr>
                <w:rFonts w:hint="default" w:ascii="Times New Roman" w:hAnsi="Times New Roman" w:cs="Times New Roman"/>
                <w:bCs/>
                <w:color w:val="auto"/>
                <w:sz w:val="24"/>
                <w:szCs w:val="32"/>
                <w:highlight w:val="none"/>
                <w:u w:val="none"/>
                <w:lang w:val="en-US" w:eastAsia="zh-CN"/>
              </w:rPr>
            </w:pPr>
            <w:r>
              <w:rPr>
                <w:rFonts w:hint="eastAsia" w:ascii="Times New Roman" w:hAnsi="Times New Roman" w:cs="Times New Roman"/>
                <w:bCs/>
                <w:color w:val="auto"/>
                <w:sz w:val="24"/>
                <w:szCs w:val="32"/>
                <w:highlight w:val="none"/>
                <w:u w:val="none"/>
                <w:lang w:val="en-US" w:eastAsia="zh-CN"/>
              </w:rPr>
              <w:t>2023年3月，</w:t>
            </w:r>
            <w:r>
              <w:rPr>
                <w:rFonts w:hint="eastAsia" w:ascii="Times New Roman" w:hAnsi="Times New Roman" w:eastAsia="宋体"/>
                <w:color w:val="auto"/>
                <w:sz w:val="24"/>
                <w:highlight w:val="none"/>
                <w:lang w:eastAsia="zh-CN"/>
              </w:rPr>
              <w:t>大竹县东柳河清河镇防洪治理工程和东柳河杨家镇防洪治理工程</w:t>
            </w:r>
            <w:r>
              <w:rPr>
                <w:rFonts w:hint="eastAsia" w:ascii="Times New Roman" w:hAnsi="Times New Roman" w:cs="Times New Roman"/>
                <w:bCs/>
                <w:color w:val="auto"/>
                <w:sz w:val="24"/>
                <w:szCs w:val="32"/>
                <w:highlight w:val="none"/>
                <w:u w:val="none"/>
                <w:lang w:val="en-US" w:eastAsia="zh-CN"/>
              </w:rPr>
              <w:t>开工。2025年1月，主体工程完工</w:t>
            </w:r>
            <w:r>
              <w:rPr>
                <w:rFonts w:hint="eastAsia" w:cs="Times New Roman"/>
                <w:bCs/>
                <w:color w:val="auto"/>
                <w:sz w:val="24"/>
                <w:szCs w:val="32"/>
                <w:highlight w:val="none"/>
                <w:u w:val="none"/>
                <w:lang w:val="en-US" w:eastAsia="zh-CN"/>
              </w:rPr>
              <w:t>。目前，正在处于工程验收资料准备阶段。</w:t>
            </w:r>
          </w:p>
          <w:p w14:paraId="267ECB60">
            <w:pPr>
              <w:spacing w:line="360" w:lineRule="auto"/>
              <w:ind w:firstLine="480" w:firstLineChars="200"/>
              <w:rPr>
                <w:rFonts w:hint="eastAsia"/>
                <w:color w:val="auto"/>
                <w:sz w:val="24"/>
                <w:highlight w:val="none"/>
                <w:u w:val="none"/>
                <w:lang w:eastAsia="zh-CN"/>
              </w:rPr>
            </w:pPr>
            <w:r>
              <w:rPr>
                <w:rFonts w:hint="eastAsia" w:ascii="Times New Roman" w:hAnsi="Times New Roman" w:cs="Times New Roman"/>
                <w:bCs/>
                <w:color w:val="auto"/>
                <w:sz w:val="24"/>
                <w:szCs w:val="32"/>
                <w:highlight w:val="none"/>
                <w:u w:val="none"/>
                <w:lang w:eastAsia="zh-CN"/>
              </w:rPr>
              <w:t>2023年11月</w:t>
            </w:r>
            <w:r>
              <w:rPr>
                <w:rFonts w:hint="default" w:ascii="Times New Roman" w:hAnsi="Times New Roman" w:cs="Times New Roman"/>
                <w:bCs/>
                <w:color w:val="auto"/>
                <w:sz w:val="24"/>
                <w:szCs w:val="32"/>
                <w:highlight w:val="none"/>
                <w:u w:val="none"/>
                <w:lang w:eastAsia="zh-CN"/>
              </w:rPr>
              <w:t>，</w:t>
            </w:r>
            <w:r>
              <w:rPr>
                <w:rFonts w:hint="eastAsia" w:cs="Times New Roman"/>
                <w:color w:val="auto"/>
                <w:highlight w:val="none"/>
                <w:lang w:eastAsia="zh-CN"/>
              </w:rPr>
              <w:t>大竹县柳城河石河镇防洪治理工程</w:t>
            </w:r>
            <w:r>
              <w:rPr>
                <w:rFonts w:hint="eastAsia"/>
                <w:color w:val="auto"/>
                <w:sz w:val="24"/>
                <w:highlight w:val="none"/>
                <w:u w:val="none"/>
                <w:lang w:val="en-US" w:eastAsia="zh-CN"/>
              </w:rPr>
              <w:t>进行开工建设。根据调查，清淤疏浚工程已完成，堤防工程部分内容已完成。目前，工程处于停工状态</w:t>
            </w:r>
            <w:r>
              <w:rPr>
                <w:color w:val="auto"/>
                <w:sz w:val="24"/>
                <w:highlight w:val="none"/>
                <w:u w:val="none"/>
              </w:rPr>
              <w:t>，完善相关环保手续</w:t>
            </w:r>
            <w:r>
              <w:rPr>
                <w:rFonts w:hint="eastAsia"/>
                <w:color w:val="auto"/>
                <w:sz w:val="24"/>
                <w:highlight w:val="none"/>
                <w:u w:val="none"/>
                <w:lang w:eastAsia="zh-CN"/>
              </w:rPr>
              <w:t>。</w:t>
            </w:r>
          </w:p>
          <w:p w14:paraId="3318CB21">
            <w:pPr>
              <w:spacing w:line="360" w:lineRule="auto"/>
              <w:ind w:firstLine="480" w:firstLineChars="200"/>
              <w:rPr>
                <w:color w:val="auto"/>
                <w:sz w:val="24"/>
                <w:highlight w:val="none"/>
                <w:u w:val="none"/>
              </w:rPr>
            </w:pPr>
            <w:r>
              <w:rPr>
                <w:rFonts w:hint="eastAsia" w:ascii="Times New Roman" w:hAnsi="Times New Roman" w:cs="Times New Roman"/>
                <w:bCs/>
                <w:color w:val="auto"/>
                <w:sz w:val="24"/>
                <w:szCs w:val="32"/>
                <w:highlight w:val="none"/>
                <w:u w:val="none"/>
                <w:lang w:val="en-US" w:eastAsia="zh-CN"/>
              </w:rPr>
              <w:t>2024年2月、4月</w:t>
            </w:r>
            <w:r>
              <w:rPr>
                <w:rFonts w:hint="default" w:ascii="Times New Roman" w:hAnsi="Times New Roman" w:cs="Times New Roman"/>
                <w:bCs/>
                <w:color w:val="auto"/>
                <w:sz w:val="24"/>
                <w:szCs w:val="32"/>
                <w:highlight w:val="none"/>
                <w:u w:val="none"/>
                <w:lang w:eastAsia="zh-CN"/>
              </w:rPr>
              <w:t>，</w:t>
            </w:r>
            <w:r>
              <w:rPr>
                <w:rFonts w:hint="default" w:ascii="Times New Roman" w:hAnsi="Times New Roman" w:cs="Times New Roman"/>
                <w:color w:val="auto"/>
                <w:highlight w:val="none"/>
                <w:lang w:eastAsia="zh-CN"/>
              </w:rPr>
              <w:t>大竹县柳城河石河镇二郎、福兴防洪治理工程</w:t>
            </w:r>
            <w:r>
              <w:rPr>
                <w:rFonts w:hint="eastAsia" w:ascii="Times New Roman" w:hAnsi="Times New Roman" w:cs="Times New Roman"/>
                <w:bCs/>
                <w:color w:val="auto"/>
                <w:sz w:val="24"/>
                <w:szCs w:val="32"/>
                <w:highlight w:val="none"/>
                <w:u w:val="none"/>
                <w:lang w:val="en-US" w:eastAsia="zh-CN"/>
              </w:rPr>
              <w:t>二郎段、福兴段分别开工建设</w:t>
            </w:r>
            <w:r>
              <w:rPr>
                <w:rFonts w:hint="eastAsia"/>
                <w:color w:val="auto"/>
                <w:sz w:val="24"/>
                <w:highlight w:val="none"/>
                <w:u w:val="none"/>
                <w:lang w:val="en-US" w:eastAsia="zh-CN"/>
              </w:rPr>
              <w:t>。根据调查，清淤疏浚工程均已完成，堤防工程部分内容已完成。目前，工程处于停工状态</w:t>
            </w:r>
            <w:r>
              <w:rPr>
                <w:color w:val="auto"/>
                <w:sz w:val="24"/>
                <w:highlight w:val="none"/>
                <w:u w:val="none"/>
              </w:rPr>
              <w:t>，完善相关环保手续。</w:t>
            </w:r>
          </w:p>
          <w:p w14:paraId="4A368D88">
            <w:pPr>
              <w:spacing w:line="360" w:lineRule="auto"/>
              <w:ind w:firstLine="480" w:firstLineChars="200"/>
              <w:rPr>
                <w:rFonts w:hint="default" w:eastAsia="宋体"/>
                <w:color w:val="auto"/>
                <w:sz w:val="24"/>
                <w:highlight w:val="none"/>
                <w:u w:val="none"/>
                <w:lang w:val="en-US" w:eastAsia="zh-CN"/>
              </w:rPr>
            </w:pPr>
            <w:r>
              <w:rPr>
                <w:rFonts w:hint="eastAsia"/>
                <w:color w:val="auto"/>
                <w:sz w:val="24"/>
                <w:highlight w:val="none"/>
                <w:u w:val="none"/>
                <w:lang w:val="en-US" w:eastAsia="zh-CN"/>
              </w:rPr>
              <w:t>2025年6月17日，达州市生态环境局下发《不予行政处罚事先告知书》，文号：达市环法不罚高〔2025〕9号，详见附件3。</w:t>
            </w:r>
          </w:p>
          <w:p w14:paraId="08D0D5CD">
            <w:pPr>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根据《中华人民共和国环境影响评价法》和《建设项目环境保护管理条例》等有关环保法律法规和条例的规定，本项目应进行环境影响评价。</w:t>
            </w:r>
          </w:p>
          <w:p w14:paraId="08B07067">
            <w:pPr>
              <w:ind w:firstLine="480"/>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依据</w:t>
            </w:r>
            <w:r>
              <w:rPr>
                <w:rFonts w:hint="default" w:ascii="Times New Roman" w:hAnsi="Times New Roman" w:cs="Times New Roman"/>
                <w:bCs/>
                <w:color w:val="auto"/>
                <w:highlight w:val="none"/>
              </w:rPr>
              <w:t>《国民经济行业分类》（GB/T4754-2017）</w:t>
            </w:r>
            <w:r>
              <w:rPr>
                <w:rFonts w:hint="eastAsia" w:cs="Times New Roman"/>
                <w:bCs/>
                <w:color w:val="auto"/>
                <w:highlight w:val="none"/>
                <w:lang w:eastAsia="zh-CN"/>
              </w:rPr>
              <w:t>、</w:t>
            </w:r>
            <w:r>
              <w:rPr>
                <w:rFonts w:hint="default" w:ascii="Times New Roman" w:hAnsi="Times New Roman" w:cs="Times New Roman"/>
                <w:bCs/>
                <w:color w:val="auto"/>
                <w:highlight w:val="none"/>
              </w:rPr>
              <w:t>《建设项目环境影响评价分类管理名录》（2021年版），</w:t>
            </w:r>
            <w:r>
              <w:rPr>
                <w:rFonts w:hint="eastAsia" w:cs="Times New Roman"/>
                <w:bCs/>
                <w:color w:val="auto"/>
                <w:highlight w:val="none"/>
                <w:lang w:val="en-US" w:eastAsia="zh-CN"/>
              </w:rPr>
              <w:t>本项目环评形式判定见表2.2-1。</w:t>
            </w:r>
          </w:p>
          <w:p w14:paraId="0456CF0B">
            <w:pPr>
              <w:ind w:left="0" w:leftChars="0" w:firstLine="0" w:firstLineChars="0"/>
              <w:jc w:val="center"/>
              <w:rPr>
                <w:rFonts w:hint="eastAsia" w:cs="Times New Roman"/>
                <w:b/>
                <w:bCs w:val="0"/>
                <w:color w:val="auto"/>
                <w:highlight w:val="none"/>
                <w:lang w:val="en-US" w:eastAsia="zh-CN"/>
              </w:rPr>
            </w:pPr>
            <w:r>
              <w:rPr>
                <w:rFonts w:hint="eastAsia" w:cs="Times New Roman"/>
                <w:b/>
                <w:bCs w:val="0"/>
                <w:color w:val="auto"/>
                <w:highlight w:val="none"/>
                <w:lang w:val="en-US" w:eastAsia="zh-CN"/>
              </w:rPr>
              <w:t>表2.2-1  环评形式判定</w:t>
            </w:r>
          </w:p>
          <w:tbl>
            <w:tblPr>
              <w:tblStyle w:val="12"/>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563"/>
              <w:gridCol w:w="975"/>
              <w:gridCol w:w="2512"/>
              <w:gridCol w:w="1363"/>
              <w:gridCol w:w="862"/>
              <w:gridCol w:w="1908"/>
            </w:tblGrid>
            <w:tr w14:paraId="26F0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72" w:type="dxa"/>
                  <w:vMerge w:val="restart"/>
                  <w:vAlign w:val="center"/>
                </w:tcPr>
                <w:p w14:paraId="0B13F9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国民经济行业分类</w:t>
                  </w:r>
                </w:p>
              </w:tc>
              <w:tc>
                <w:tcPr>
                  <w:tcW w:w="6275" w:type="dxa"/>
                  <w:gridSpan w:val="5"/>
                  <w:vAlign w:val="center"/>
                </w:tcPr>
                <w:p w14:paraId="6ECAC6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环评分类管理名录</w:t>
                  </w:r>
                </w:p>
              </w:tc>
              <w:tc>
                <w:tcPr>
                  <w:tcW w:w="1908" w:type="dxa"/>
                  <w:vMerge w:val="restart"/>
                  <w:vAlign w:val="center"/>
                </w:tcPr>
                <w:p w14:paraId="2B7A96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项目情况</w:t>
                  </w:r>
                </w:p>
              </w:tc>
            </w:tr>
            <w:tr w14:paraId="5228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72" w:type="dxa"/>
                  <w:vMerge w:val="continue"/>
                  <w:vAlign w:val="center"/>
                </w:tcPr>
                <w:p w14:paraId="1583FB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1538" w:type="dxa"/>
                  <w:gridSpan w:val="2"/>
                  <w:vAlign w:val="center"/>
                </w:tcPr>
                <w:p w14:paraId="5E7C83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项目类别</w:t>
                  </w:r>
                </w:p>
              </w:tc>
              <w:tc>
                <w:tcPr>
                  <w:tcW w:w="2512" w:type="dxa"/>
                  <w:vAlign w:val="center"/>
                </w:tcPr>
                <w:p w14:paraId="0DA6EE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报告书</w:t>
                  </w:r>
                </w:p>
              </w:tc>
              <w:tc>
                <w:tcPr>
                  <w:tcW w:w="1363" w:type="dxa"/>
                  <w:vAlign w:val="center"/>
                </w:tcPr>
                <w:p w14:paraId="2671A8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报告表</w:t>
                  </w:r>
                </w:p>
              </w:tc>
              <w:tc>
                <w:tcPr>
                  <w:tcW w:w="862" w:type="dxa"/>
                  <w:vAlign w:val="center"/>
                </w:tcPr>
                <w:p w14:paraId="634C93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highlight w:val="none"/>
                      <w:vertAlign w:val="baseline"/>
                      <w:lang w:val="en-US" w:eastAsia="zh-CN"/>
                    </w:rPr>
                  </w:pPr>
                  <w:r>
                    <w:rPr>
                      <w:rFonts w:hint="eastAsia" w:cs="Times New Roman"/>
                      <w:b/>
                      <w:bCs w:val="0"/>
                      <w:color w:val="auto"/>
                      <w:sz w:val="21"/>
                      <w:szCs w:val="21"/>
                      <w:highlight w:val="none"/>
                      <w:vertAlign w:val="baseline"/>
                      <w:lang w:val="en-US" w:eastAsia="zh-CN"/>
                    </w:rPr>
                    <w:t>登记表</w:t>
                  </w:r>
                </w:p>
              </w:tc>
              <w:tc>
                <w:tcPr>
                  <w:tcW w:w="1908" w:type="dxa"/>
                  <w:vMerge w:val="continue"/>
                  <w:vAlign w:val="center"/>
                </w:tcPr>
                <w:p w14:paraId="3CF5E6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bCs w:val="0"/>
                      <w:color w:val="auto"/>
                      <w:sz w:val="21"/>
                      <w:szCs w:val="21"/>
                      <w:highlight w:val="none"/>
                      <w:vertAlign w:val="baseline"/>
                      <w:lang w:val="en-US" w:eastAsia="zh-CN"/>
                    </w:rPr>
                  </w:pPr>
                </w:p>
              </w:tc>
            </w:tr>
            <w:tr w14:paraId="4A00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restart"/>
                  <w:vAlign w:val="center"/>
                </w:tcPr>
                <w:p w14:paraId="76FD4D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auto"/>
                      <w:sz w:val="21"/>
                      <w:szCs w:val="21"/>
                      <w:highlight w:val="none"/>
                      <w:vertAlign w:val="baseline"/>
                      <w:lang w:val="en-US" w:eastAsia="zh-CN"/>
                    </w:rPr>
                  </w:pPr>
                  <w:r>
                    <w:rPr>
                      <w:rFonts w:hint="default" w:ascii="Times New Roman" w:hAnsi="Times New Roman" w:cs="Times New Roman"/>
                      <w:bCs/>
                      <w:color w:val="auto"/>
                      <w:sz w:val="21"/>
                      <w:szCs w:val="21"/>
                      <w:highlight w:val="none"/>
                    </w:rPr>
                    <w:t>E4822河湖治理及防洪设施工程建筑</w:t>
                  </w:r>
                </w:p>
              </w:tc>
              <w:tc>
                <w:tcPr>
                  <w:tcW w:w="563" w:type="dxa"/>
                  <w:shd w:val="clear" w:color="auto" w:fill="auto"/>
                  <w:vAlign w:val="center"/>
                </w:tcPr>
                <w:p w14:paraId="549F0D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auto"/>
                      <w:sz w:val="21"/>
                      <w:szCs w:val="21"/>
                      <w:highlight w:val="none"/>
                      <w:vertAlign w:val="baseline"/>
                      <w:lang w:val="en-US" w:eastAsia="zh-CN" w:bidi="ar-SA"/>
                    </w:rPr>
                  </w:pPr>
                  <w:r>
                    <w:rPr>
                      <w:rFonts w:hint="default" w:ascii="Times New Roman" w:hAnsi="Times New Roman" w:cs="Times New Roman"/>
                      <w:bCs/>
                      <w:color w:val="auto"/>
                      <w:sz w:val="21"/>
                      <w:szCs w:val="21"/>
                      <w:highlight w:val="none"/>
                    </w:rPr>
                    <w:t>五十一、水利</w:t>
                  </w:r>
                </w:p>
              </w:tc>
              <w:tc>
                <w:tcPr>
                  <w:tcW w:w="975" w:type="dxa"/>
                  <w:shd w:val="clear" w:color="auto" w:fill="auto"/>
                  <w:vAlign w:val="center"/>
                </w:tcPr>
                <w:p w14:paraId="3B821E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default" w:ascii="Times New Roman" w:hAnsi="Times New Roman" w:cs="Times New Roman"/>
                      <w:bCs/>
                      <w:color w:val="auto"/>
                      <w:sz w:val="21"/>
                      <w:szCs w:val="21"/>
                      <w:highlight w:val="none"/>
                    </w:rPr>
                    <w:t>127 防洪除涝工程</w:t>
                  </w:r>
                </w:p>
              </w:tc>
              <w:tc>
                <w:tcPr>
                  <w:tcW w:w="2512" w:type="dxa"/>
                  <w:vAlign w:val="center"/>
                </w:tcPr>
                <w:p w14:paraId="045068D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Cs/>
                      <w:color w:val="auto"/>
                      <w:sz w:val="21"/>
                      <w:szCs w:val="21"/>
                      <w:highlight w:val="none"/>
                      <w:vertAlign w:val="baseline"/>
                      <w:lang w:val="en-US" w:eastAsia="zh-CN"/>
                    </w:rPr>
                  </w:pPr>
                  <w:r>
                    <w:rPr>
                      <w:rFonts w:hint="eastAsia" w:ascii="宋体" w:hAnsi="宋体" w:eastAsia="宋体" w:cs="宋体"/>
                      <w:snapToGrid w:val="0"/>
                      <w:color w:val="auto"/>
                      <w:kern w:val="0"/>
                      <w:sz w:val="21"/>
                      <w:szCs w:val="21"/>
                      <w:highlight w:val="none"/>
                      <w:lang w:val="en-US" w:eastAsia="zh-CN" w:bidi="ar"/>
                    </w:rPr>
                    <w:t>新建大中型</w:t>
                  </w:r>
                </w:p>
              </w:tc>
              <w:tc>
                <w:tcPr>
                  <w:tcW w:w="1363" w:type="dxa"/>
                  <w:vAlign w:val="center"/>
                </w:tcPr>
                <w:p w14:paraId="0274EA3B">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Cs/>
                      <w:color w:val="auto"/>
                      <w:sz w:val="21"/>
                      <w:szCs w:val="21"/>
                      <w:highlight w:val="none"/>
                      <w:vertAlign w:val="baseline"/>
                      <w:lang w:val="en-US" w:eastAsia="zh-CN"/>
                    </w:rPr>
                  </w:pPr>
                  <w:r>
                    <w:rPr>
                      <w:rFonts w:hint="eastAsia" w:ascii="宋体" w:hAnsi="宋体" w:eastAsia="宋体" w:cs="宋体"/>
                      <w:snapToGrid w:val="0"/>
                      <w:color w:val="auto"/>
                      <w:kern w:val="0"/>
                      <w:sz w:val="21"/>
                      <w:szCs w:val="21"/>
                      <w:highlight w:val="none"/>
                      <w:lang w:val="en-US" w:eastAsia="zh-CN" w:bidi="ar"/>
                    </w:rPr>
                    <w:t>其他（小型沟渠的护坡除外；城镇排涝河流水闸、排涝泵站除外）</w:t>
                  </w:r>
                </w:p>
              </w:tc>
              <w:tc>
                <w:tcPr>
                  <w:tcW w:w="862" w:type="dxa"/>
                  <w:vAlign w:val="center"/>
                </w:tcPr>
                <w:p w14:paraId="2250789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Cs/>
                      <w:color w:val="auto"/>
                      <w:sz w:val="21"/>
                      <w:szCs w:val="21"/>
                      <w:highlight w:val="none"/>
                      <w:vertAlign w:val="baseline"/>
                      <w:lang w:val="en-US" w:eastAsia="zh-CN"/>
                    </w:rPr>
                  </w:pPr>
                  <w:r>
                    <w:rPr>
                      <w:rFonts w:hint="eastAsia" w:ascii="宋体" w:hAnsi="宋体" w:eastAsia="宋体" w:cs="宋体"/>
                      <w:snapToGrid w:val="0"/>
                      <w:color w:val="auto"/>
                      <w:kern w:val="0"/>
                      <w:sz w:val="21"/>
                      <w:szCs w:val="21"/>
                      <w:highlight w:val="none"/>
                      <w:lang w:val="en-US" w:eastAsia="zh-CN" w:bidi="ar"/>
                    </w:rPr>
                    <w:t>城镇排涝河流水闸、排涝泵站</w:t>
                  </w:r>
                </w:p>
              </w:tc>
              <w:tc>
                <w:tcPr>
                  <w:tcW w:w="1908" w:type="dxa"/>
                  <w:vAlign w:val="center"/>
                </w:tcPr>
                <w:p w14:paraId="5793CA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本项目属于</w:t>
                  </w:r>
                  <w:r>
                    <w:rPr>
                      <w:rFonts w:hint="eastAsia"/>
                      <w:color w:val="auto"/>
                      <w:sz w:val="21"/>
                      <w:szCs w:val="21"/>
                      <w:highlight w:val="none"/>
                    </w:rPr>
                    <w:t>中小河流防洪治理</w:t>
                  </w:r>
                </w:p>
              </w:tc>
            </w:tr>
            <w:tr w14:paraId="6A11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2" w:type="dxa"/>
                  <w:vMerge w:val="continue"/>
                  <w:vAlign w:val="center"/>
                </w:tcPr>
                <w:p w14:paraId="3CFB5C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auto"/>
                      <w:sz w:val="21"/>
                      <w:szCs w:val="21"/>
                      <w:highlight w:val="none"/>
                      <w:vertAlign w:val="baseline"/>
                      <w:lang w:val="en-US" w:eastAsia="zh-CN"/>
                    </w:rPr>
                  </w:pPr>
                </w:p>
              </w:tc>
              <w:tc>
                <w:tcPr>
                  <w:tcW w:w="563" w:type="dxa"/>
                  <w:shd w:val="clear" w:color="auto" w:fill="auto"/>
                  <w:vAlign w:val="center"/>
                </w:tcPr>
                <w:p w14:paraId="743CB4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auto"/>
                      <w:sz w:val="21"/>
                      <w:szCs w:val="21"/>
                      <w:highlight w:val="none"/>
                      <w:vertAlign w:val="baseline"/>
                      <w:lang w:val="en-US" w:eastAsia="zh-CN" w:bidi="ar-SA"/>
                    </w:rPr>
                  </w:pPr>
                  <w:r>
                    <w:rPr>
                      <w:rFonts w:hint="default" w:ascii="Times New Roman" w:hAnsi="Times New Roman" w:cs="Times New Roman"/>
                      <w:bCs/>
                      <w:color w:val="auto"/>
                      <w:sz w:val="21"/>
                      <w:szCs w:val="21"/>
                      <w:highlight w:val="none"/>
                    </w:rPr>
                    <w:t>五十一、水利</w:t>
                  </w:r>
                </w:p>
              </w:tc>
              <w:tc>
                <w:tcPr>
                  <w:tcW w:w="975" w:type="dxa"/>
                  <w:shd w:val="clear" w:color="auto" w:fill="auto"/>
                  <w:vAlign w:val="center"/>
                </w:tcPr>
                <w:p w14:paraId="5908AF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auto"/>
                      <w:sz w:val="21"/>
                      <w:szCs w:val="21"/>
                      <w:highlight w:val="none"/>
                      <w:vertAlign w:val="baseline"/>
                      <w:lang w:val="en-US" w:eastAsia="zh-CN" w:bidi="ar-SA"/>
                    </w:rPr>
                  </w:pPr>
                  <w:r>
                    <w:rPr>
                      <w:rFonts w:hint="eastAsia" w:cs="Times New Roman"/>
                      <w:bCs/>
                      <w:color w:val="auto"/>
                      <w:sz w:val="21"/>
                      <w:szCs w:val="21"/>
                      <w:highlight w:val="none"/>
                      <w:lang w:val="en-US" w:eastAsia="zh-CN"/>
                    </w:rPr>
                    <w:t>128 河湖整治（不含农村塘堰、水渠）</w:t>
                  </w:r>
                </w:p>
              </w:tc>
              <w:tc>
                <w:tcPr>
                  <w:tcW w:w="2512" w:type="dxa"/>
                  <w:vAlign w:val="center"/>
                </w:tcPr>
                <w:p w14:paraId="166FA712">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Cs/>
                      <w:color w:val="auto"/>
                      <w:sz w:val="21"/>
                      <w:szCs w:val="21"/>
                      <w:highlight w:val="none"/>
                      <w:vertAlign w:val="baseline"/>
                      <w:lang w:val="en-US" w:eastAsia="zh-CN"/>
                    </w:rPr>
                  </w:pPr>
                  <w:r>
                    <w:rPr>
                      <w:rFonts w:hint="eastAsia" w:ascii="宋体" w:hAnsi="宋体" w:eastAsia="宋体" w:cs="宋体"/>
                      <w:snapToGrid w:val="0"/>
                      <w:color w:val="auto"/>
                      <w:kern w:val="0"/>
                      <w:sz w:val="21"/>
                      <w:szCs w:val="21"/>
                      <w:highlight w:val="none"/>
                      <w:lang w:val="en-US" w:eastAsia="zh-CN" w:bidi="ar"/>
                    </w:rPr>
                    <w:t>涉及环境敏感区的（第三条（一）中的全部区域；第三条（二）中的除（一）外的生态保护红线管控范围，重要湿地，重点保护野生动物栖息地，重点保护野生植物生长繁殖地，重要水生生物的自然产卵场、索饵场、越冬场和洄游通道）</w:t>
                  </w:r>
                </w:p>
              </w:tc>
              <w:tc>
                <w:tcPr>
                  <w:tcW w:w="1363" w:type="dxa"/>
                  <w:vAlign w:val="center"/>
                </w:tcPr>
                <w:p w14:paraId="2B45D0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其他</w:t>
                  </w:r>
                </w:p>
              </w:tc>
              <w:tc>
                <w:tcPr>
                  <w:tcW w:w="862" w:type="dxa"/>
                  <w:vAlign w:val="center"/>
                </w:tcPr>
                <w:p w14:paraId="7BDA66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auto"/>
                      <w:sz w:val="21"/>
                      <w:szCs w:val="21"/>
                      <w:highlight w:val="none"/>
                      <w:vertAlign w:val="baseline"/>
                      <w:lang w:val="en-US" w:eastAsia="zh-CN"/>
                    </w:rPr>
                  </w:pPr>
                  <w:r>
                    <w:rPr>
                      <w:rFonts w:hint="eastAsia" w:cs="Times New Roman"/>
                      <w:bCs/>
                      <w:color w:val="auto"/>
                      <w:sz w:val="21"/>
                      <w:szCs w:val="21"/>
                      <w:highlight w:val="none"/>
                      <w:vertAlign w:val="baseline"/>
                      <w:lang w:val="en-US" w:eastAsia="zh-CN"/>
                    </w:rPr>
                    <w:t>/</w:t>
                  </w:r>
                </w:p>
              </w:tc>
              <w:tc>
                <w:tcPr>
                  <w:tcW w:w="1908" w:type="dxa"/>
                  <w:vAlign w:val="center"/>
                </w:tcPr>
                <w:p w14:paraId="7914AC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auto"/>
                      <w:sz w:val="21"/>
                      <w:szCs w:val="21"/>
                      <w:highlight w:val="none"/>
                      <w:vertAlign w:val="baseline"/>
                      <w:lang w:val="en-US" w:eastAsia="zh-CN"/>
                    </w:rPr>
                  </w:pPr>
                  <w:r>
                    <w:rPr>
                      <w:rFonts w:hint="default" w:ascii="Times New Roman" w:hAnsi="宋体" w:eastAsia="宋体" w:cs="Times New Roman"/>
                      <w:b w:val="0"/>
                      <w:bCs/>
                      <w:snapToGrid w:val="0"/>
                      <w:color w:val="auto"/>
                      <w:kern w:val="0"/>
                      <w:sz w:val="21"/>
                      <w:szCs w:val="21"/>
                      <w:highlight w:val="none"/>
                      <w:lang w:val="en-US" w:eastAsia="zh-CN" w:bidi="ar-SA"/>
                    </w:rPr>
                    <w:t>根据大竹县林业局《关于</w:t>
                  </w:r>
                  <w:r>
                    <w:rPr>
                      <w:rFonts w:hint="eastAsia" w:ascii="Times New Roman" w:hAnsi="宋体" w:eastAsia="宋体" w:cs="Times New Roman"/>
                      <w:b w:val="0"/>
                      <w:bCs/>
                      <w:snapToGrid w:val="0"/>
                      <w:color w:val="auto"/>
                      <w:kern w:val="0"/>
                      <w:sz w:val="21"/>
                      <w:szCs w:val="21"/>
                      <w:highlight w:val="none"/>
                      <w:lang w:val="en-US" w:eastAsia="zh-CN" w:bidi="ar-SA"/>
                    </w:rPr>
                    <w:t>四川省大竹县石河镇二郎、福兴防洪治理工程等四个项目</w:t>
                  </w:r>
                  <w:r>
                    <w:rPr>
                      <w:rFonts w:hint="default" w:ascii="Times New Roman" w:hAnsi="宋体" w:eastAsia="宋体" w:cs="Times New Roman"/>
                      <w:b w:val="0"/>
                      <w:bCs/>
                      <w:snapToGrid w:val="0"/>
                      <w:color w:val="auto"/>
                      <w:kern w:val="0"/>
                      <w:sz w:val="21"/>
                      <w:szCs w:val="21"/>
                      <w:highlight w:val="none"/>
                      <w:lang w:val="en-US" w:eastAsia="zh-CN" w:bidi="ar-SA"/>
                    </w:rPr>
                    <w:t>的情况说明》，本项目不涉及珍稀保护鱼类，也不涉及珍稀保护鱼类的产卵场、索饵场、越冬场及洄游通道</w:t>
                  </w:r>
                </w:p>
              </w:tc>
            </w:tr>
          </w:tbl>
          <w:p w14:paraId="7855A92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color w:val="auto"/>
                <w:sz w:val="24"/>
                <w:highlight w:val="none"/>
              </w:rPr>
            </w:pPr>
            <w:r>
              <w:rPr>
                <w:rFonts w:hint="eastAsia"/>
                <w:color w:val="auto"/>
                <w:sz w:val="24"/>
                <w:highlight w:val="none"/>
                <w:lang w:val="en-US" w:eastAsia="zh-CN"/>
              </w:rPr>
              <w:t>综上</w:t>
            </w:r>
            <w:r>
              <w:rPr>
                <w:rFonts w:hint="eastAsia"/>
                <w:color w:val="auto"/>
                <w:sz w:val="24"/>
                <w:highlight w:val="none"/>
              </w:rPr>
              <w:t>，</w:t>
            </w:r>
            <w:r>
              <w:rPr>
                <w:rFonts w:hint="eastAsia"/>
                <w:color w:val="auto"/>
                <w:sz w:val="24"/>
                <w:highlight w:val="none"/>
                <w:lang w:val="en-US" w:eastAsia="zh-CN"/>
              </w:rPr>
              <w:t>本</w:t>
            </w:r>
            <w:r>
              <w:rPr>
                <w:rFonts w:hint="eastAsia"/>
                <w:color w:val="auto"/>
                <w:sz w:val="24"/>
                <w:highlight w:val="none"/>
              </w:rPr>
              <w:t>项目应编制环境影响报告表。</w:t>
            </w:r>
          </w:p>
          <w:p w14:paraId="55A6A782">
            <w:pPr>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为此，</w:t>
            </w:r>
            <w:r>
              <w:rPr>
                <w:rFonts w:hint="default" w:ascii="Times New Roman" w:hAnsi="Times New Roman" w:cs="Times New Roman"/>
                <w:bCs/>
                <w:color w:val="auto"/>
                <w:highlight w:val="none"/>
                <w:lang w:eastAsia="zh-CN"/>
              </w:rPr>
              <w:t>大竹县河长制工作管理中心</w:t>
            </w:r>
            <w:r>
              <w:rPr>
                <w:rFonts w:hint="default" w:ascii="Times New Roman" w:hAnsi="Times New Roman" w:cs="Times New Roman"/>
                <w:bCs/>
                <w:color w:val="auto"/>
                <w:highlight w:val="none"/>
              </w:rPr>
              <w:t>委托</w:t>
            </w:r>
            <w:r>
              <w:rPr>
                <w:rFonts w:hint="default" w:ascii="Times New Roman" w:hAnsi="Times New Roman" w:cs="Times New Roman"/>
                <w:bCs/>
                <w:color w:val="auto"/>
                <w:highlight w:val="none"/>
                <w:lang w:eastAsia="zh-CN"/>
              </w:rPr>
              <w:t>重庆</w:t>
            </w:r>
            <w:r>
              <w:rPr>
                <w:rFonts w:hint="default" w:ascii="Times New Roman" w:hAnsi="Times New Roman" w:cs="Times New Roman"/>
                <w:bCs/>
                <w:color w:val="auto"/>
                <w:highlight w:val="none"/>
                <w:lang w:val="en-US" w:eastAsia="zh-CN"/>
              </w:rPr>
              <w:t>雅城</w:t>
            </w:r>
            <w:r>
              <w:rPr>
                <w:rFonts w:hint="default" w:ascii="Times New Roman" w:hAnsi="Times New Roman" w:cs="Times New Roman"/>
                <w:bCs/>
                <w:color w:val="auto"/>
                <w:highlight w:val="none"/>
                <w:lang w:eastAsia="zh-CN"/>
              </w:rPr>
              <w:t>环保科技有限公司</w:t>
            </w:r>
            <w:r>
              <w:rPr>
                <w:rFonts w:hint="default" w:ascii="Times New Roman" w:hAnsi="Times New Roman" w:cs="Times New Roman"/>
                <w:bCs/>
                <w:color w:val="auto"/>
                <w:highlight w:val="none"/>
              </w:rPr>
              <w:t>编制本项目环境影响报告表。承接该项目环境影响评价工作后，我公司立即组织了评价人员进行现场踏勘、调查、收集相关资料，结合项目的特点、性质、建设规模、建设内容和环境现状，按照环评相关导则的要求，编制完成了《</w:t>
            </w:r>
            <w:r>
              <w:rPr>
                <w:rFonts w:hint="eastAsia" w:cs="Times New Roman"/>
                <w:bCs/>
                <w:color w:val="auto"/>
                <w:highlight w:val="none"/>
                <w:lang w:eastAsia="zh-CN"/>
              </w:rPr>
              <w:t>四川省大竹县柳城河石河镇二郎、福兴防洪治理工程、</w:t>
            </w:r>
            <w:r>
              <w:rPr>
                <w:rFonts w:hint="eastAsia" w:cs="Times New Roman"/>
                <w:color w:val="auto"/>
                <w:highlight w:val="none"/>
                <w:lang w:eastAsia="zh-CN"/>
              </w:rPr>
              <w:t>四川省大竹县柳城河石河镇防洪治理工程、</w:t>
            </w:r>
            <w:r>
              <w:rPr>
                <w:rFonts w:hint="eastAsia" w:ascii="Times New Roman" w:hAnsi="Times New Roman" w:eastAsia="宋体"/>
                <w:color w:val="auto"/>
                <w:sz w:val="24"/>
                <w:highlight w:val="none"/>
                <w:lang w:eastAsia="zh-CN"/>
              </w:rPr>
              <w:t>大竹县东柳河清河镇防洪治理工程和东柳河杨家镇防洪治理工程</w:t>
            </w:r>
            <w:r>
              <w:rPr>
                <w:rFonts w:hint="default" w:ascii="Times New Roman" w:hAnsi="Times New Roman" w:cs="Times New Roman"/>
                <w:bCs/>
                <w:color w:val="auto"/>
                <w:highlight w:val="none"/>
              </w:rPr>
              <w:t>环境影响报告表》，现呈报生态环境主管部门审批。</w:t>
            </w:r>
          </w:p>
          <w:p w14:paraId="02AAEDD6">
            <w:pPr>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2.3 项目组成及规模</w:t>
            </w:r>
          </w:p>
          <w:p w14:paraId="2940A48D">
            <w:pPr>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2.3.1 项目概况</w:t>
            </w:r>
          </w:p>
          <w:p w14:paraId="5908F2D3">
            <w:pPr>
              <w:ind w:firstLine="480"/>
              <w:rPr>
                <w:rFonts w:hint="eastAsia"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rPr>
              <w:t>项目名称：</w:t>
            </w:r>
            <w:r>
              <w:rPr>
                <w:rFonts w:hint="eastAsia" w:cs="Times New Roman"/>
                <w:color w:val="auto"/>
                <w:highlight w:val="none"/>
                <w:lang w:eastAsia="zh-CN"/>
              </w:rPr>
              <w:t>四川省大竹县柳城河石河镇二郎、福兴防洪治理工程、四川省大竹县柳城河石河镇防洪治理工程、大竹县东柳河清河镇防洪治理工程和东柳河杨家镇防洪治理工程</w:t>
            </w:r>
          </w:p>
          <w:p w14:paraId="02F14D1A">
            <w:pPr>
              <w:ind w:firstLine="480"/>
              <w:rPr>
                <w:rFonts w:hint="eastAsia"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rPr>
              <w:t>建设单位：</w:t>
            </w:r>
            <w:r>
              <w:rPr>
                <w:rFonts w:hint="default" w:ascii="Times New Roman" w:hAnsi="Times New Roman" w:cs="Times New Roman"/>
                <w:color w:val="auto"/>
                <w:highlight w:val="none"/>
                <w:lang w:eastAsia="zh-CN"/>
              </w:rPr>
              <w:t>大竹县河长制工作管理中心</w:t>
            </w:r>
            <w:r>
              <w:rPr>
                <w:rFonts w:hint="eastAsia" w:cs="Times New Roman"/>
                <w:color w:val="auto"/>
                <w:highlight w:val="none"/>
                <w:lang w:val="en-US" w:eastAsia="zh-CN"/>
              </w:rPr>
              <w:t>。</w:t>
            </w:r>
          </w:p>
          <w:p w14:paraId="40F5EEFF">
            <w:pPr>
              <w:ind w:firstLine="480"/>
              <w:rPr>
                <w:rFonts w:hint="eastAsia"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rPr>
              <w:t>建设性质：新建</w:t>
            </w:r>
            <w:r>
              <w:rPr>
                <w:rFonts w:hint="eastAsia" w:cs="Times New Roman"/>
                <w:bCs/>
                <w:color w:val="auto"/>
                <w:highlight w:val="none"/>
                <w:lang w:val="en-US" w:eastAsia="zh-CN"/>
              </w:rPr>
              <w:t>。</w:t>
            </w:r>
          </w:p>
          <w:p w14:paraId="2DAC1890">
            <w:pPr>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建设地点：</w:t>
            </w:r>
            <w:r>
              <w:rPr>
                <w:rFonts w:hint="default" w:ascii="Times New Roman" w:hAnsi="Times New Roman" w:cs="Times New Roman"/>
                <w:color w:val="auto"/>
                <w:highlight w:val="none"/>
                <w:lang w:eastAsia="zh-CN"/>
              </w:rPr>
              <w:t>四川省达州市大竹县石河镇</w:t>
            </w:r>
            <w:r>
              <w:rPr>
                <w:rFonts w:hint="eastAsia" w:cs="Times New Roman"/>
                <w:color w:val="auto"/>
                <w:highlight w:val="none"/>
                <w:lang w:eastAsia="zh-CN"/>
              </w:rPr>
              <w:t>、</w:t>
            </w:r>
            <w:r>
              <w:rPr>
                <w:rFonts w:hint="eastAsia" w:cs="Times New Roman"/>
                <w:color w:val="auto"/>
                <w:highlight w:val="none"/>
                <w:lang w:val="en-US" w:eastAsia="zh-CN"/>
              </w:rPr>
              <w:t>清河镇、杨家镇。</w:t>
            </w:r>
          </w:p>
          <w:p w14:paraId="4BD40DE2">
            <w:pPr>
              <w:ind w:firstLine="480"/>
              <w:rPr>
                <w:rFonts w:hint="eastAsia"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rPr>
              <w:t>投资规模：</w:t>
            </w:r>
            <w:r>
              <w:rPr>
                <w:rFonts w:hint="default" w:ascii="Times New Roman" w:hAnsi="Times New Roman" w:cs="Times New Roman"/>
                <w:bCs/>
                <w:color w:val="auto"/>
                <w:highlight w:val="none"/>
                <w:lang w:val="en-US" w:eastAsia="zh-CN"/>
              </w:rPr>
              <w:t>13898.12</w:t>
            </w:r>
            <w:r>
              <w:rPr>
                <w:rFonts w:hint="default" w:ascii="Times New Roman" w:hAnsi="Times New Roman" w:cs="Times New Roman"/>
                <w:color w:val="auto"/>
                <w:szCs w:val="24"/>
                <w:highlight w:val="none"/>
                <w:lang w:eastAsia="zh-CN"/>
              </w:rPr>
              <w:t>万元</w:t>
            </w:r>
            <w:r>
              <w:rPr>
                <w:rFonts w:hint="default" w:ascii="Times New Roman" w:hAnsi="Times New Roman" w:cs="Times New Roman"/>
                <w:color w:val="auto"/>
                <w:szCs w:val="24"/>
                <w:highlight w:val="none"/>
              </w:rPr>
              <w:t>，其中环保投资</w:t>
            </w:r>
            <w:r>
              <w:rPr>
                <w:rFonts w:hint="default" w:ascii="Times New Roman" w:hAnsi="Times New Roman" w:cs="Times New Roman"/>
                <w:color w:val="auto"/>
                <w:szCs w:val="24"/>
                <w:highlight w:val="none"/>
                <w:lang w:val="en-US" w:eastAsia="zh-CN"/>
              </w:rPr>
              <w:t>213.91</w:t>
            </w:r>
            <w:r>
              <w:rPr>
                <w:rFonts w:hint="default" w:ascii="Times New Roman" w:hAnsi="Times New Roman" w:cs="Times New Roman"/>
                <w:color w:val="auto"/>
                <w:szCs w:val="24"/>
                <w:highlight w:val="none"/>
              </w:rPr>
              <w:t>万元</w:t>
            </w:r>
            <w:r>
              <w:rPr>
                <w:rFonts w:hint="eastAsia" w:cs="Times New Roman"/>
                <w:color w:val="auto"/>
                <w:szCs w:val="24"/>
                <w:highlight w:val="none"/>
                <w:lang w:eastAsia="zh-CN"/>
              </w:rPr>
              <w:t>。</w:t>
            </w:r>
          </w:p>
          <w:p w14:paraId="0861ABFA">
            <w:pPr>
              <w:pStyle w:val="1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color w:val="auto"/>
                <w:highlight w:val="none"/>
                <w:lang w:eastAsia="zh-CN"/>
              </w:rPr>
            </w:pPr>
            <w:r>
              <w:rPr>
                <w:rFonts w:hint="default" w:ascii="Times New Roman" w:hAnsi="Times New Roman" w:cs="Times New Roman"/>
                <w:bCs/>
                <w:color w:val="auto"/>
                <w:highlight w:val="none"/>
              </w:rPr>
              <w:t>占地面积：共计</w:t>
            </w:r>
            <w:r>
              <w:rPr>
                <w:rFonts w:hint="eastAsia" w:cs="Times New Roman"/>
                <w:bCs/>
                <w:color w:val="auto"/>
                <w:highlight w:val="none"/>
                <w:lang w:val="en-US" w:eastAsia="zh-CN"/>
              </w:rPr>
              <w:t>222907.237m</w:t>
            </w:r>
            <w:r>
              <w:rPr>
                <w:rFonts w:hint="default" w:ascii="Times New Roman" w:hAnsi="Times New Roman" w:cs="Times New Roman"/>
                <w:color w:val="auto"/>
                <w:highlight w:val="none"/>
                <w:vertAlign w:val="superscript"/>
              </w:rPr>
              <w:t>2</w:t>
            </w:r>
            <w:r>
              <w:rPr>
                <w:rFonts w:hint="default" w:ascii="Times New Roman" w:hAnsi="Times New Roman" w:cs="Times New Roman"/>
                <w:bCs/>
                <w:color w:val="auto"/>
                <w:highlight w:val="none"/>
              </w:rPr>
              <w:t>，其中</w:t>
            </w:r>
            <w:r>
              <w:rPr>
                <w:rFonts w:hint="default" w:ascii="Times New Roman" w:hAnsi="Times New Roman" w:cs="Times New Roman"/>
                <w:color w:val="auto"/>
                <w:highlight w:val="none"/>
              </w:rPr>
              <w:t>永久占地：</w:t>
            </w:r>
            <w:r>
              <w:rPr>
                <w:rFonts w:hint="eastAsia" w:cs="Times New Roman"/>
                <w:color w:val="auto"/>
                <w:highlight w:val="none"/>
                <w:lang w:eastAsia="zh-CN"/>
              </w:rPr>
              <w:t>185047.147m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rPr>
              <w:t>临时占地：</w:t>
            </w:r>
            <w:r>
              <w:rPr>
                <w:rFonts w:hint="eastAsia" w:cs="Times New Roman"/>
                <w:color w:val="auto"/>
                <w:highlight w:val="none"/>
                <w:lang w:val="en-US" w:eastAsia="zh-CN"/>
              </w:rPr>
              <w:t>37960.09m</w:t>
            </w:r>
            <w:r>
              <w:rPr>
                <w:rFonts w:hint="default" w:ascii="Times New Roman" w:hAnsi="Times New Roman" w:cs="Times New Roman"/>
                <w:color w:val="auto"/>
                <w:highlight w:val="none"/>
                <w:vertAlign w:val="superscript"/>
              </w:rPr>
              <w:t>2</w:t>
            </w:r>
            <w:r>
              <w:rPr>
                <w:rFonts w:hint="default" w:ascii="Times New Roman" w:hAnsi="Times New Roman" w:cs="Times New Roman"/>
                <w:bCs/>
                <w:color w:val="auto"/>
                <w:highlight w:val="none"/>
              </w:rPr>
              <w:t>，不涉及基本农田及人口搬迁</w:t>
            </w:r>
            <w:r>
              <w:rPr>
                <w:rFonts w:hint="eastAsia" w:cs="Times New Roman"/>
                <w:bCs/>
                <w:color w:val="auto"/>
                <w:highlight w:val="none"/>
                <w:lang w:eastAsia="zh-CN"/>
              </w:rPr>
              <w:t>。</w:t>
            </w:r>
          </w:p>
          <w:p w14:paraId="539FB09E">
            <w:pPr>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bCs/>
                <w:color w:val="auto"/>
                <w:highlight w:val="none"/>
              </w:rPr>
              <w:t>建设工期：</w:t>
            </w:r>
            <w:r>
              <w:rPr>
                <w:rFonts w:hint="eastAsia" w:cs="Times New Roman"/>
                <w:color w:val="auto"/>
                <w:highlight w:val="none"/>
                <w:lang w:val="en-US" w:eastAsia="zh-CN"/>
              </w:rPr>
              <w:t>石河镇二郎及福兴段、石河镇石河镇段及双拱场段</w:t>
            </w:r>
            <w:r>
              <w:rPr>
                <w:rFonts w:hint="default" w:ascii="Times New Roman" w:hAnsi="Times New Roman" w:cs="Times New Roman"/>
                <w:color w:val="auto"/>
                <w:highlight w:val="none"/>
              </w:rPr>
              <w:t>施工期</w:t>
            </w:r>
            <w:r>
              <w:rPr>
                <w:rFonts w:hint="eastAsia" w:cs="Times New Roman"/>
                <w:color w:val="auto"/>
                <w:highlight w:val="none"/>
                <w:lang w:val="en-US" w:eastAsia="zh-CN"/>
              </w:rPr>
              <w:t>为16</w:t>
            </w:r>
            <w:r>
              <w:rPr>
                <w:rFonts w:hint="default" w:ascii="Times New Roman" w:hAnsi="Times New Roman" w:cs="Times New Roman"/>
                <w:color w:val="auto"/>
                <w:highlight w:val="none"/>
              </w:rPr>
              <w:t>个月</w:t>
            </w:r>
            <w:r>
              <w:rPr>
                <w:rFonts w:hint="eastAsia" w:cs="Times New Roman"/>
                <w:color w:val="auto"/>
                <w:highlight w:val="none"/>
                <w:lang w:eastAsia="zh-CN"/>
              </w:rPr>
              <w:t>；</w:t>
            </w:r>
            <w:r>
              <w:rPr>
                <w:rFonts w:hint="eastAsia" w:cs="Times New Roman"/>
                <w:color w:val="auto"/>
                <w:highlight w:val="none"/>
                <w:lang w:val="en-US" w:eastAsia="zh-CN"/>
              </w:rPr>
              <w:t>清河镇段及杨家镇段施工期为22个月。</w:t>
            </w:r>
          </w:p>
          <w:p w14:paraId="6267C394">
            <w:pPr>
              <w:adjustRightInd w:val="0"/>
              <w:snapToGrid w:val="0"/>
              <w:spacing w:line="360" w:lineRule="auto"/>
              <w:ind w:left="0" w:leftChars="0" w:firstLine="0" w:firstLineChars="0"/>
              <w:rPr>
                <w:b/>
                <w:color w:val="auto"/>
                <w:sz w:val="24"/>
                <w:highlight w:val="none"/>
              </w:rPr>
            </w:pPr>
            <w:r>
              <w:rPr>
                <w:rFonts w:hint="eastAsia"/>
                <w:b/>
                <w:color w:val="auto"/>
                <w:sz w:val="24"/>
                <w:highlight w:val="none"/>
              </w:rPr>
              <w:t>2</w:t>
            </w:r>
            <w:r>
              <w:rPr>
                <w:b/>
                <w:color w:val="auto"/>
                <w:sz w:val="24"/>
                <w:highlight w:val="none"/>
              </w:rPr>
              <w:t>.3.</w:t>
            </w:r>
            <w:r>
              <w:rPr>
                <w:rFonts w:hint="eastAsia"/>
                <w:b/>
                <w:color w:val="auto"/>
                <w:sz w:val="24"/>
                <w:highlight w:val="none"/>
                <w:lang w:val="en-US" w:eastAsia="zh-CN"/>
              </w:rPr>
              <w:t>2</w:t>
            </w:r>
            <w:r>
              <w:rPr>
                <w:rFonts w:hint="eastAsia"/>
                <w:b/>
                <w:color w:val="auto"/>
                <w:sz w:val="24"/>
                <w:highlight w:val="none"/>
              </w:rPr>
              <w:t>项目建设内容及规模</w:t>
            </w:r>
          </w:p>
          <w:p w14:paraId="4C0D8A31">
            <w:pPr>
              <w:adjustRightInd w:val="0"/>
              <w:snapToGrid w:val="0"/>
              <w:spacing w:line="360" w:lineRule="auto"/>
              <w:ind w:left="0" w:leftChars="0" w:firstLine="0" w:firstLineChars="0"/>
              <w:rPr>
                <w:rFonts w:hint="default" w:eastAsia="宋体"/>
                <w:b/>
                <w:color w:val="auto"/>
                <w:sz w:val="24"/>
                <w:highlight w:val="none"/>
                <w:lang w:val="en-US" w:eastAsia="zh-CN"/>
              </w:rPr>
            </w:pPr>
            <w:r>
              <w:rPr>
                <w:rFonts w:hint="eastAsia"/>
                <w:b/>
                <w:color w:val="auto"/>
                <w:sz w:val="24"/>
                <w:highlight w:val="none"/>
              </w:rPr>
              <w:t>2</w:t>
            </w:r>
            <w:r>
              <w:rPr>
                <w:b/>
                <w:color w:val="auto"/>
                <w:sz w:val="24"/>
                <w:highlight w:val="none"/>
              </w:rPr>
              <w:t>.3.</w:t>
            </w:r>
            <w:r>
              <w:rPr>
                <w:rFonts w:hint="eastAsia"/>
                <w:b/>
                <w:color w:val="auto"/>
                <w:sz w:val="24"/>
                <w:highlight w:val="none"/>
                <w:lang w:val="en-US" w:eastAsia="zh-CN"/>
              </w:rPr>
              <w:t>2.1</w:t>
            </w:r>
            <w:r>
              <w:rPr>
                <w:rFonts w:hint="eastAsia"/>
                <w:b/>
                <w:color w:val="auto"/>
                <w:sz w:val="24"/>
                <w:highlight w:val="none"/>
              </w:rPr>
              <w:t>工程任务</w:t>
            </w:r>
            <w:r>
              <w:rPr>
                <w:rFonts w:hint="eastAsia"/>
                <w:b/>
                <w:color w:val="auto"/>
                <w:sz w:val="24"/>
                <w:highlight w:val="none"/>
                <w:lang w:val="en-US" w:eastAsia="zh-CN"/>
              </w:rPr>
              <w:t>及防护范围</w:t>
            </w:r>
          </w:p>
          <w:p w14:paraId="0570FED6">
            <w:pPr>
              <w:pStyle w:val="6"/>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·工程任务</w:t>
            </w:r>
          </w:p>
          <w:p w14:paraId="38955336">
            <w:pPr>
              <w:pStyle w:val="6"/>
              <w:rPr>
                <w:rFonts w:hint="default" w:ascii="Times New Roman" w:hAnsi="Times New Roman" w:cs="Times New Roman"/>
                <w:color w:val="auto"/>
                <w:highlight w:val="none"/>
              </w:rPr>
            </w:pPr>
            <w:r>
              <w:rPr>
                <w:rFonts w:hint="default" w:ascii="Times New Roman" w:hAnsi="Times New Roman" w:cs="Times New Roman"/>
                <w:color w:val="auto"/>
                <w:highlight w:val="none"/>
                <w:lang w:val="zh-CN"/>
              </w:rPr>
              <w:t>提高河道防洪标准，增强河道行洪能力，稳固河道岸坡。</w:t>
            </w:r>
          </w:p>
          <w:p w14:paraId="2247D5AE">
            <w:pPr>
              <w:pStyle w:val="6"/>
              <w:rPr>
                <w:rFonts w:hint="eastAsia" w:eastAsia="宋体" w:cs="Times New Roman"/>
                <w:color w:val="auto"/>
                <w:highlight w:val="none"/>
                <w:lang w:val="en-US" w:eastAsia="zh-CN"/>
              </w:rPr>
            </w:pPr>
            <w:r>
              <w:rPr>
                <w:rFonts w:hint="eastAsia" w:eastAsia="宋体" w:cs="Times New Roman"/>
                <w:color w:val="auto"/>
                <w:highlight w:val="none"/>
                <w:lang w:val="en-US" w:eastAsia="zh-CN"/>
              </w:rPr>
              <w:t>·防护范围</w:t>
            </w:r>
          </w:p>
          <w:p w14:paraId="10FD4387">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eastAsia="宋体" w:cs="Times New Roman"/>
                <w:color w:val="auto"/>
                <w:sz w:val="24"/>
                <w:highlight w:val="none"/>
              </w:rPr>
            </w:pPr>
            <w:r>
              <w:rPr>
                <w:rFonts w:hint="eastAsia" w:eastAsia="宋体" w:cs="Times New Roman"/>
                <w:color w:val="auto"/>
                <w:highlight w:val="none"/>
                <w:lang w:val="en-US" w:eastAsia="zh-CN"/>
              </w:rPr>
              <w:t xml:space="preserve"> </w:t>
            </w:r>
            <w:r>
              <w:rPr>
                <w:rFonts w:hint="eastAsia" w:ascii="Times New Roman" w:hAnsi="Times New Roman" w:eastAsia="宋体" w:cs="Times New Roman"/>
                <w:color w:val="auto"/>
                <w:sz w:val="24"/>
                <w:highlight w:val="none"/>
                <w:lang w:val="en-US" w:eastAsia="zh-CN"/>
              </w:rPr>
              <w:t>柳城河</w:t>
            </w:r>
            <w:r>
              <w:rPr>
                <w:rFonts w:hint="default" w:ascii="Times New Roman" w:hAnsi="Times New Roman" w:eastAsia="宋体" w:cs="Times New Roman"/>
                <w:color w:val="auto"/>
                <w:sz w:val="24"/>
                <w:highlight w:val="none"/>
              </w:rPr>
              <w:t>石河镇二郎、福兴</w:t>
            </w:r>
            <w:r>
              <w:rPr>
                <w:rFonts w:hint="eastAsia" w:ascii="Times New Roman" w:hAnsi="Times New Roman" w:eastAsia="宋体" w:cs="Times New Roman"/>
                <w:color w:val="auto"/>
                <w:sz w:val="24"/>
                <w:highlight w:val="none"/>
                <w:lang w:val="en-US" w:eastAsia="zh-CN"/>
              </w:rPr>
              <w:t>段：</w:t>
            </w:r>
            <w:r>
              <w:rPr>
                <w:rFonts w:hint="default" w:ascii="Times New Roman" w:hAnsi="Times New Roman" w:eastAsia="宋体" w:cs="Times New Roman"/>
                <w:color w:val="auto"/>
                <w:sz w:val="24"/>
                <w:highlight w:val="none"/>
              </w:rPr>
              <w:t>二郎段堤防主要保护二郎社区的上下游耕地，福兴段堤防主要保护福兴社区的上下游耕地</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该段</w:t>
            </w:r>
            <w:r>
              <w:rPr>
                <w:rFonts w:hint="default" w:ascii="Times New Roman" w:hAnsi="Times New Roman" w:eastAsia="宋体" w:cs="Times New Roman"/>
                <w:color w:val="auto"/>
                <w:sz w:val="24"/>
                <w:highlight w:val="none"/>
              </w:rPr>
              <w:t>保护人口3123户</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8426人</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、8984.6亩耕地和5座桥梁。</w:t>
            </w:r>
          </w:p>
          <w:p w14:paraId="51300D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柳城河石河镇段及双拱场段：</w:t>
            </w:r>
            <w:r>
              <w:rPr>
                <w:rFonts w:hint="eastAsia" w:ascii="Times New Roman" w:hAnsi="Times New Roman" w:eastAsia="宋体"/>
                <w:color w:val="auto"/>
                <w:sz w:val="24"/>
                <w:highlight w:val="none"/>
                <w:lang w:val="en-US" w:eastAsia="zh-CN"/>
              </w:rPr>
              <w:t>该段</w:t>
            </w:r>
            <w:r>
              <w:rPr>
                <w:rFonts w:ascii="Times New Roman" w:hAnsi="Times New Roman" w:eastAsia="宋体"/>
                <w:color w:val="auto"/>
                <w:sz w:val="24"/>
                <w:highlight w:val="none"/>
              </w:rPr>
              <w:t>主要保护对象为柳城河石河镇</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lang w:val="en-US" w:eastAsia="zh-CN"/>
              </w:rPr>
              <w:t>双拱场</w:t>
            </w:r>
            <w:r>
              <w:rPr>
                <w:rFonts w:ascii="Times New Roman" w:hAnsi="Times New Roman" w:eastAsia="宋体"/>
                <w:color w:val="auto"/>
                <w:sz w:val="24"/>
                <w:highlight w:val="none"/>
              </w:rPr>
              <w:t>沿河两岸居民及农田</w:t>
            </w:r>
            <w:r>
              <w:rPr>
                <w:rFonts w:hint="eastAsia" w:ascii="Times New Roman" w:hAnsi="Times New Roman" w:eastAsia="宋体"/>
                <w:color w:val="auto"/>
                <w:sz w:val="24"/>
                <w:highlight w:val="none"/>
                <w:lang w:eastAsia="zh-CN"/>
              </w:rPr>
              <w:t>；</w:t>
            </w:r>
            <w:r>
              <w:rPr>
                <w:rFonts w:ascii="Times New Roman" w:hAnsi="Times New Roman" w:eastAsia="宋体"/>
                <w:color w:val="auto"/>
                <w:sz w:val="24"/>
                <w:highlight w:val="none"/>
              </w:rPr>
              <w:t>保护石河镇耕地面积3.17万亩，保护场镇人口5.59万人</w:t>
            </w:r>
            <w:r>
              <w:rPr>
                <w:rFonts w:hint="default" w:ascii="Times New Roman" w:hAnsi="Times New Roman" w:eastAsia="宋体" w:cs="Times New Roman"/>
                <w:color w:val="auto"/>
                <w:sz w:val="24"/>
                <w:highlight w:val="none"/>
              </w:rPr>
              <w:t>。</w:t>
            </w:r>
          </w:p>
          <w:p w14:paraId="647B11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东柳河清河镇段：清河镇属于以场镇为主的防护区，防护区总人口约1.5万人，保护农田753.36公顷。</w:t>
            </w:r>
          </w:p>
          <w:p w14:paraId="362840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东柳河杨家镇段：</w:t>
            </w:r>
            <w:r>
              <w:rPr>
                <w:rFonts w:hint="eastAsia" w:ascii="Times New Roman" w:hAnsi="Times New Roman" w:eastAsia="宋体" w:cs="宋体"/>
                <w:color w:val="auto"/>
                <w:sz w:val="24"/>
                <w:highlight w:val="none"/>
                <w:lang w:val="en-US" w:eastAsia="zh-CN"/>
              </w:rPr>
              <w:t>防护区总人口约1.5万人，保护农田753.36公顷。</w:t>
            </w:r>
          </w:p>
          <w:p w14:paraId="09823BED">
            <w:pPr>
              <w:adjustRightInd w:val="0"/>
              <w:snapToGrid w:val="0"/>
              <w:spacing w:line="360" w:lineRule="auto"/>
              <w:ind w:left="0" w:leftChars="0" w:firstLine="0" w:firstLineChars="0"/>
              <w:rPr>
                <w:b/>
                <w:color w:val="auto"/>
                <w:sz w:val="24"/>
                <w:highlight w:val="none"/>
              </w:rPr>
            </w:pPr>
            <w:r>
              <w:rPr>
                <w:rFonts w:hint="eastAsia"/>
                <w:b/>
                <w:color w:val="auto"/>
                <w:sz w:val="24"/>
                <w:highlight w:val="none"/>
              </w:rPr>
              <w:t>2</w:t>
            </w:r>
            <w:r>
              <w:rPr>
                <w:b/>
                <w:color w:val="auto"/>
                <w:sz w:val="24"/>
                <w:highlight w:val="none"/>
              </w:rPr>
              <w:t>.3.</w:t>
            </w:r>
            <w:r>
              <w:rPr>
                <w:rFonts w:hint="eastAsia"/>
                <w:b/>
                <w:color w:val="auto"/>
                <w:sz w:val="24"/>
                <w:highlight w:val="none"/>
                <w:lang w:val="en-US" w:eastAsia="zh-CN"/>
              </w:rPr>
              <w:t>2.2</w:t>
            </w:r>
            <w:r>
              <w:rPr>
                <w:rFonts w:hint="eastAsia"/>
                <w:b/>
                <w:color w:val="auto"/>
                <w:sz w:val="24"/>
                <w:highlight w:val="none"/>
              </w:rPr>
              <w:t>防洪、排涝标准</w:t>
            </w:r>
          </w:p>
          <w:p w14:paraId="58CF1C69">
            <w:pPr>
              <w:ind w:firstLine="480"/>
              <w:rPr>
                <w:color w:val="auto"/>
                <w:sz w:val="24"/>
                <w:szCs w:val="24"/>
                <w:highlight w:val="none"/>
              </w:rPr>
            </w:pPr>
            <w:r>
              <w:rPr>
                <w:rFonts w:hint="eastAsia" w:cs="Times New Roman"/>
                <w:color w:val="auto"/>
                <w:sz w:val="24"/>
                <w:szCs w:val="24"/>
                <w:highlight w:val="none"/>
                <w:lang w:val="en-US" w:eastAsia="zh-CN"/>
              </w:rPr>
              <w:t>根据《</w:t>
            </w:r>
            <w:r>
              <w:rPr>
                <w:rFonts w:hint="eastAsia" w:cs="Times New Roman"/>
                <w:color w:val="auto"/>
                <w:highlight w:val="none"/>
                <w:lang w:eastAsia="zh-CN"/>
              </w:rPr>
              <w:t>四川省大竹县柳城河石河镇防洪治理工程</w:t>
            </w:r>
            <w:r>
              <w:rPr>
                <w:rFonts w:hint="eastAsia" w:cs="Times New Roman"/>
                <w:color w:val="auto"/>
                <w:sz w:val="24"/>
                <w:szCs w:val="24"/>
                <w:highlight w:val="none"/>
                <w:lang w:val="en-US" w:eastAsia="zh-CN"/>
              </w:rPr>
              <w:t>初步设计报告》，对于柳城河</w:t>
            </w:r>
            <w:r>
              <w:rPr>
                <w:rFonts w:hint="default" w:ascii="Times New Roman" w:hAnsi="Times New Roman" w:cs="Times New Roman"/>
                <w:color w:val="auto"/>
                <w:sz w:val="24"/>
                <w:szCs w:val="24"/>
                <w:highlight w:val="none"/>
                <w:lang w:val="en-US" w:eastAsia="zh-CN"/>
              </w:rPr>
              <w:t>石河镇段、双拱场段</w:t>
            </w:r>
            <w:r>
              <w:rPr>
                <w:rFonts w:hint="eastAsia" w:cs="Times New Roman"/>
                <w:color w:val="auto"/>
                <w:sz w:val="24"/>
                <w:szCs w:val="24"/>
                <w:highlight w:val="none"/>
                <w:lang w:eastAsia="zh-CN"/>
              </w:rPr>
              <w:t>，</w:t>
            </w:r>
            <w:r>
              <w:rPr>
                <w:color w:val="auto"/>
                <w:sz w:val="24"/>
                <w:szCs w:val="24"/>
                <w:highlight w:val="none"/>
              </w:rPr>
              <w:t>根据国家《防洪标准》(GB50201-2014)的规定，依据保护对象的重要性，</w:t>
            </w:r>
            <w:r>
              <w:rPr>
                <w:color w:val="auto"/>
                <w:sz w:val="24"/>
                <w:szCs w:val="24"/>
                <w:highlight w:val="none"/>
                <w:lang w:val="zh-CN"/>
              </w:rPr>
              <w:t>防洪标准</w:t>
            </w:r>
            <w:r>
              <w:rPr>
                <w:color w:val="auto"/>
                <w:sz w:val="24"/>
                <w:szCs w:val="24"/>
                <w:highlight w:val="none"/>
              </w:rPr>
              <w:t>应</w:t>
            </w:r>
            <w:r>
              <w:rPr>
                <w:color w:val="auto"/>
                <w:sz w:val="24"/>
                <w:szCs w:val="24"/>
                <w:highlight w:val="none"/>
                <w:lang w:val="zh-CN"/>
              </w:rPr>
              <w:t>采用10年一遇。</w:t>
            </w:r>
            <w:r>
              <w:rPr>
                <w:color w:val="auto"/>
                <w:sz w:val="24"/>
                <w:szCs w:val="24"/>
                <w:highlight w:val="none"/>
              </w:rPr>
              <w:t>考虑到工程河段两岸现状高程较低，现状河岸仅能达到2年一遇，若按照10年一遇防洪标准设计，在现状岸坡基础上堤身回填3-5m高，就需要占用大量耕地甚至占用基本农田，同时还需要外购大体积堤身填筑料，考虑到基本农田这条红线以及当地耕地面积比较紧张的实际情况，经与当地政府以及水行政主管部门多次协商沟通，确定本次防洪治理工程按照5年一遇标准进行设计。</w:t>
            </w:r>
          </w:p>
          <w:p w14:paraId="4CA24F16">
            <w:pPr>
              <w:spacing w:beforeLines="0" w:afterLines="0"/>
              <w:jc w:val="both"/>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本项目</w:t>
            </w:r>
            <w:r>
              <w:rPr>
                <w:rFonts w:hint="default" w:ascii="Times New Roman" w:hAnsi="Times New Roman" w:cs="Times New Roman"/>
                <w:color w:val="auto"/>
                <w:highlight w:val="none"/>
                <w:lang w:val="en-US" w:eastAsia="zh-CN"/>
              </w:rPr>
              <w:t>防洪</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排涝标准</w:t>
            </w:r>
            <w:r>
              <w:rPr>
                <w:rFonts w:hint="eastAsia" w:cs="Times New Roman"/>
                <w:color w:val="auto"/>
                <w:highlight w:val="none"/>
                <w:lang w:val="en-US" w:eastAsia="zh-CN"/>
              </w:rPr>
              <w:t>详见表2.3-1。</w:t>
            </w:r>
          </w:p>
          <w:p w14:paraId="170F09D6">
            <w:pPr>
              <w:spacing w:beforeLines="0" w:afterLines="0"/>
              <w:ind w:left="0" w:leftChars="0" w:firstLine="0" w:firstLineChars="0"/>
              <w:jc w:val="center"/>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表2.3-1  本项目防洪、排涝标准</w:t>
            </w:r>
          </w:p>
          <w:tbl>
            <w:tblPr>
              <w:tblStyle w:val="1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1334"/>
              <w:gridCol w:w="1291"/>
              <w:gridCol w:w="4790"/>
            </w:tblGrid>
            <w:tr w14:paraId="07498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shd w:val="clear" w:color="auto" w:fill="auto"/>
                  <w:vAlign w:val="center"/>
                </w:tcPr>
                <w:p w14:paraId="6F4CBE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工程河段</w:t>
                  </w:r>
                </w:p>
              </w:tc>
              <w:tc>
                <w:tcPr>
                  <w:tcW w:w="1334" w:type="dxa"/>
                </w:tcPr>
                <w:p w14:paraId="562FAD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防洪标准</w:t>
                  </w:r>
                </w:p>
              </w:tc>
              <w:tc>
                <w:tcPr>
                  <w:tcW w:w="1291" w:type="dxa"/>
                </w:tcPr>
                <w:p w14:paraId="13CDB2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排涝标准</w:t>
                  </w:r>
                </w:p>
              </w:tc>
              <w:tc>
                <w:tcPr>
                  <w:tcW w:w="4790" w:type="dxa"/>
                </w:tcPr>
                <w:p w14:paraId="6B3684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工程等级</w:t>
                  </w:r>
                </w:p>
              </w:tc>
            </w:tr>
            <w:tr w14:paraId="40A7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shd w:val="clear" w:color="auto" w:fill="auto"/>
                  <w:vAlign w:val="center"/>
                </w:tcPr>
                <w:p w14:paraId="099B13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柳城河</w:t>
                  </w:r>
                  <w:r>
                    <w:rPr>
                      <w:rFonts w:hint="default" w:ascii="Times New Roman" w:hAnsi="Times New Roman" w:cs="Times New Roman"/>
                      <w:color w:val="auto"/>
                      <w:sz w:val="21"/>
                      <w:szCs w:val="21"/>
                      <w:highlight w:val="none"/>
                      <w:lang w:val="en-US" w:eastAsia="zh-CN"/>
                    </w:rPr>
                    <w:t>二郎段、福兴段</w:t>
                  </w:r>
                </w:p>
              </w:tc>
              <w:tc>
                <w:tcPr>
                  <w:tcW w:w="1334" w:type="dxa"/>
                  <w:vAlign w:val="center"/>
                </w:tcPr>
                <w:p w14:paraId="585CB806">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10年一</w:t>
                  </w:r>
                </w:p>
                <w:p w14:paraId="4EEC8460">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遇</w:t>
                  </w:r>
                  <w:r>
                    <w:rPr>
                      <w:rFonts w:hint="eastAsia" w:eastAsia="宋体" w:cs="Times New Roman"/>
                      <w:color w:val="auto"/>
                      <w:sz w:val="21"/>
                      <w:szCs w:val="21"/>
                      <w:highlight w:val="none"/>
                      <w:lang w:val="en-US" w:eastAsia="zh-CN"/>
                    </w:rPr>
                    <w:t>洪水</w:t>
                  </w:r>
                </w:p>
              </w:tc>
              <w:tc>
                <w:tcPr>
                  <w:tcW w:w="1291" w:type="dxa"/>
                  <w:vAlign w:val="center"/>
                </w:tcPr>
                <w:p w14:paraId="37C2D21B">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5年一</w:t>
                  </w:r>
                </w:p>
                <w:p w14:paraId="53972FA9">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lang w:val="en-US" w:eastAsia="zh-CN"/>
                    </w:rPr>
                    <w:t>遇</w:t>
                  </w:r>
                  <w:r>
                    <w:rPr>
                      <w:rFonts w:hint="eastAsia" w:eastAsia="宋体" w:cs="Times New Roman"/>
                      <w:color w:val="auto"/>
                      <w:sz w:val="21"/>
                      <w:szCs w:val="21"/>
                      <w:highlight w:val="none"/>
                      <w:lang w:val="en-US" w:eastAsia="zh-CN"/>
                    </w:rPr>
                    <w:t>洪水</w:t>
                  </w:r>
                </w:p>
              </w:tc>
              <w:tc>
                <w:tcPr>
                  <w:tcW w:w="4790" w:type="dxa"/>
                  <w:vAlign w:val="center"/>
                </w:tcPr>
                <w:p w14:paraId="39850ECE">
                  <w:pPr>
                    <w:pStyle w:val="6"/>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lang w:val="en-US" w:eastAsia="zh-CN"/>
                    </w:rPr>
                    <w:t>二郎段、福兴段工程等别为5等小（2）型工程，其主要建筑物为5级建筑物，次要建筑物为5级，临时建筑物为5级</w:t>
                  </w:r>
                </w:p>
              </w:tc>
            </w:tr>
            <w:tr w14:paraId="7F94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shd w:val="clear" w:color="auto" w:fill="auto"/>
                  <w:vAlign w:val="center"/>
                </w:tcPr>
                <w:p w14:paraId="4111B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柳城河</w:t>
                  </w:r>
                  <w:r>
                    <w:rPr>
                      <w:rFonts w:hint="default" w:ascii="Times New Roman" w:hAnsi="Times New Roman" w:cs="Times New Roman"/>
                      <w:color w:val="auto"/>
                      <w:sz w:val="21"/>
                      <w:szCs w:val="21"/>
                      <w:highlight w:val="none"/>
                      <w:lang w:val="en-US" w:eastAsia="zh-CN"/>
                    </w:rPr>
                    <w:t>石河镇段、双拱场段</w:t>
                  </w:r>
                </w:p>
              </w:tc>
              <w:tc>
                <w:tcPr>
                  <w:tcW w:w="1334" w:type="dxa"/>
                  <w:vAlign w:val="center"/>
                </w:tcPr>
                <w:p w14:paraId="53D61CC5">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lang w:val="en-US" w:eastAsia="zh-CN"/>
                    </w:rPr>
                    <w:t>5</w:t>
                  </w:r>
                  <w:r>
                    <w:rPr>
                      <w:rFonts w:hint="default" w:ascii="Times New Roman" w:hAnsi="Times New Roman" w:cs="Times New Roman"/>
                      <w:snapToGrid w:val="0"/>
                      <w:color w:val="auto"/>
                      <w:sz w:val="21"/>
                      <w:szCs w:val="21"/>
                      <w:highlight w:val="none"/>
                    </w:rPr>
                    <w:t>年一</w:t>
                  </w:r>
                </w:p>
                <w:p w14:paraId="0ADA956D">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snapToGrid w:val="0"/>
                      <w:color w:val="auto"/>
                      <w:sz w:val="21"/>
                      <w:szCs w:val="21"/>
                      <w:highlight w:val="none"/>
                    </w:rPr>
                    <w:t>遇</w:t>
                  </w:r>
                  <w:r>
                    <w:rPr>
                      <w:rFonts w:hint="eastAsia" w:eastAsia="宋体" w:cs="Times New Roman"/>
                      <w:snapToGrid w:val="0"/>
                      <w:color w:val="auto"/>
                      <w:sz w:val="21"/>
                      <w:szCs w:val="21"/>
                      <w:highlight w:val="none"/>
                      <w:lang w:val="en-US" w:eastAsia="zh-CN"/>
                    </w:rPr>
                    <w:t>洪水</w:t>
                  </w:r>
                </w:p>
              </w:tc>
              <w:tc>
                <w:tcPr>
                  <w:tcW w:w="1291" w:type="dxa"/>
                  <w:vAlign w:val="center"/>
                </w:tcPr>
                <w:p w14:paraId="35B1488F">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5年一</w:t>
                  </w:r>
                </w:p>
                <w:p w14:paraId="0003E268">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lang w:val="en-US" w:eastAsia="zh-CN"/>
                    </w:rPr>
                    <w:t>遇</w:t>
                  </w:r>
                  <w:r>
                    <w:rPr>
                      <w:rFonts w:hint="eastAsia" w:eastAsia="宋体" w:cs="Times New Roman"/>
                      <w:color w:val="auto"/>
                      <w:sz w:val="21"/>
                      <w:szCs w:val="21"/>
                      <w:highlight w:val="none"/>
                      <w:lang w:val="en-US" w:eastAsia="zh-CN"/>
                    </w:rPr>
                    <w:t>洪水</w:t>
                  </w:r>
                </w:p>
              </w:tc>
              <w:tc>
                <w:tcPr>
                  <w:tcW w:w="4790" w:type="dxa"/>
                  <w:vAlign w:val="center"/>
                </w:tcPr>
                <w:p w14:paraId="2ECC3300">
                  <w:pPr>
                    <w:pStyle w:val="6"/>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lang w:val="en-US" w:eastAsia="zh-CN"/>
                    </w:rPr>
                    <w:t>石河镇段、双拱场段</w:t>
                  </w:r>
                  <w:r>
                    <w:rPr>
                      <w:rFonts w:hint="default" w:ascii="Times New Roman" w:hAnsi="Times New Roman" w:cs="Times New Roman"/>
                      <w:color w:val="auto"/>
                      <w:sz w:val="21"/>
                      <w:szCs w:val="21"/>
                      <w:highlight w:val="none"/>
                    </w:rPr>
                    <w:t>堤防工程等别为</w:t>
                  </w:r>
                  <w:r>
                    <w:rPr>
                      <w:rFonts w:hint="default" w:ascii="Times New Roman" w:hAnsi="Times New Roman" w:cs="Times New Roman"/>
                      <w:color w:val="auto"/>
                      <w:sz w:val="21"/>
                      <w:szCs w:val="21"/>
                      <w:highlight w:val="none"/>
                      <w:vertAlign w:val="baseline"/>
                      <w:lang w:val="en-US" w:eastAsia="zh-CN"/>
                    </w:rPr>
                    <w:t>5级</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堤防永久性水工建筑物级别为5级，临时性水工建筑物级别为5级</w:t>
                  </w:r>
                </w:p>
              </w:tc>
            </w:tr>
            <w:tr w14:paraId="20E8D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1" w:type="dxa"/>
                </w:tcPr>
                <w:p w14:paraId="6BF05059">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东柳河清河镇段及杨家镇段</w:t>
                  </w:r>
                </w:p>
              </w:tc>
              <w:tc>
                <w:tcPr>
                  <w:tcW w:w="1334" w:type="dxa"/>
                </w:tcPr>
                <w:p w14:paraId="10C91182">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baseline"/>
                    </w:rPr>
                    <w:t>年一</w:t>
                  </w:r>
                </w:p>
                <w:p w14:paraId="2264B23E">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rPr>
                    <w:t>遇洪水</w:t>
                  </w:r>
                </w:p>
              </w:tc>
              <w:tc>
                <w:tcPr>
                  <w:tcW w:w="1291" w:type="dxa"/>
                </w:tcPr>
                <w:p w14:paraId="3F451FF3">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rPr>
                    <w:t>5年一</w:t>
                  </w:r>
                </w:p>
                <w:p w14:paraId="69FB0418">
                  <w:pPr>
                    <w:pStyle w:val="6"/>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rPr>
                    <w:t>遇</w:t>
                  </w:r>
                  <w:r>
                    <w:rPr>
                      <w:rFonts w:hint="eastAsia" w:eastAsia="宋体" w:cs="Times New Roman"/>
                      <w:color w:val="auto"/>
                      <w:sz w:val="21"/>
                      <w:szCs w:val="21"/>
                      <w:highlight w:val="none"/>
                      <w:vertAlign w:val="baseline"/>
                      <w:lang w:val="en-US" w:eastAsia="zh-CN"/>
                    </w:rPr>
                    <w:t>洪水</w:t>
                  </w:r>
                </w:p>
              </w:tc>
              <w:tc>
                <w:tcPr>
                  <w:tcW w:w="4790" w:type="dxa"/>
                </w:tcPr>
                <w:p w14:paraId="21EA5427">
                  <w:pPr>
                    <w:pStyle w:val="6"/>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cs="Times New Roman"/>
                      <w:color w:val="auto"/>
                      <w:sz w:val="21"/>
                      <w:szCs w:val="21"/>
                      <w:highlight w:val="none"/>
                      <w:vertAlign w:val="baseline"/>
                    </w:rPr>
                  </w:pPr>
                  <w:r>
                    <w:rPr>
                      <w:rFonts w:hint="default" w:ascii="Times New Roman" w:hAnsi="Times New Roman" w:cs="Times New Roman"/>
                      <w:color w:val="auto"/>
                      <w:sz w:val="21"/>
                      <w:szCs w:val="21"/>
                      <w:highlight w:val="none"/>
                      <w:vertAlign w:val="baseline"/>
                    </w:rPr>
                    <w:t>堤防工程等</w:t>
                  </w:r>
                  <w:r>
                    <w:rPr>
                      <w:rFonts w:hint="default" w:ascii="Times New Roman" w:hAnsi="Times New Roman" w:cs="Times New Roman"/>
                      <w:color w:val="auto"/>
                      <w:sz w:val="21"/>
                      <w:szCs w:val="21"/>
                      <w:highlight w:val="none"/>
                      <w:vertAlign w:val="baseline"/>
                      <w:lang w:val="en-US" w:eastAsia="zh-CN"/>
                    </w:rPr>
                    <w:t>级</w:t>
                  </w:r>
                  <w:r>
                    <w:rPr>
                      <w:rFonts w:hint="default" w:ascii="Times New Roman" w:hAnsi="Times New Roman" w:cs="Times New Roman"/>
                      <w:color w:val="auto"/>
                      <w:sz w:val="21"/>
                      <w:szCs w:val="21"/>
                      <w:highlight w:val="none"/>
                      <w:vertAlign w:val="baseline"/>
                    </w:rPr>
                    <w:t>为</w:t>
                  </w:r>
                  <w:r>
                    <w:rPr>
                      <w:rFonts w:hint="default" w:ascii="Times New Roman" w:hAnsi="Times New Roman" w:cs="Times New Roman"/>
                      <w:color w:val="auto"/>
                      <w:sz w:val="21"/>
                      <w:szCs w:val="21"/>
                      <w:highlight w:val="none"/>
                      <w:vertAlign w:val="baseline"/>
                      <w:lang w:val="en-US" w:eastAsia="zh-CN"/>
                    </w:rPr>
                    <w:t>5级</w:t>
                  </w:r>
                  <w:r>
                    <w:rPr>
                      <w:rFonts w:hint="default" w:ascii="Times New Roman" w:hAnsi="Times New Roman" w:cs="Times New Roman"/>
                      <w:color w:val="auto"/>
                      <w:sz w:val="21"/>
                      <w:szCs w:val="21"/>
                      <w:highlight w:val="none"/>
                      <w:vertAlign w:val="baseline"/>
                      <w:lang w:eastAsia="zh-CN"/>
                    </w:rPr>
                    <w:t>，</w:t>
                  </w:r>
                  <w:r>
                    <w:rPr>
                      <w:rFonts w:hint="default" w:ascii="Times New Roman" w:hAnsi="Times New Roman" w:cs="Times New Roman"/>
                      <w:color w:val="auto"/>
                      <w:sz w:val="21"/>
                      <w:szCs w:val="21"/>
                      <w:highlight w:val="none"/>
                      <w:vertAlign w:val="baseline"/>
                    </w:rPr>
                    <w:t>堤防永久性水工建筑物级别为5级，临时性水工建筑物级别为5级。</w:t>
                  </w:r>
                </w:p>
              </w:tc>
            </w:tr>
          </w:tbl>
          <w:p w14:paraId="6F1C5091">
            <w:pPr>
              <w:adjustRightInd w:val="0"/>
              <w:snapToGrid w:val="0"/>
              <w:spacing w:line="360" w:lineRule="auto"/>
              <w:ind w:left="0" w:leftChars="0" w:firstLine="0" w:firstLineChars="0"/>
              <w:rPr>
                <w:rFonts w:hint="eastAsia"/>
                <w:b/>
                <w:color w:val="auto"/>
                <w:sz w:val="24"/>
                <w:highlight w:val="none"/>
              </w:rPr>
            </w:pPr>
            <w:r>
              <w:rPr>
                <w:rFonts w:hint="eastAsia"/>
                <w:b/>
                <w:color w:val="auto"/>
                <w:sz w:val="24"/>
                <w:highlight w:val="none"/>
              </w:rPr>
              <w:t>2.3.</w:t>
            </w:r>
            <w:r>
              <w:rPr>
                <w:rFonts w:hint="eastAsia"/>
                <w:b/>
                <w:color w:val="auto"/>
                <w:sz w:val="24"/>
                <w:highlight w:val="none"/>
                <w:lang w:val="en-US" w:eastAsia="zh-CN"/>
              </w:rPr>
              <w:t>2.3</w:t>
            </w:r>
            <w:r>
              <w:rPr>
                <w:rFonts w:hint="eastAsia"/>
                <w:b/>
                <w:color w:val="auto"/>
                <w:sz w:val="24"/>
                <w:highlight w:val="none"/>
              </w:rPr>
              <w:t>项目建设内容及规模</w:t>
            </w:r>
          </w:p>
          <w:p w14:paraId="78E77BFA">
            <w:pPr>
              <w:pStyle w:val="6"/>
              <w:ind w:firstLine="480"/>
              <w:rPr>
                <w:rFonts w:hint="default" w:ascii="Times New Roman" w:hAnsi="Times New Roman" w:cs="Times New Roman"/>
                <w:color w:val="auto"/>
                <w:sz w:val="24"/>
                <w:szCs w:val="24"/>
                <w:highlight w:val="none"/>
                <w:lang w:val="en-US"/>
              </w:rPr>
            </w:pPr>
            <w:r>
              <w:rPr>
                <w:rFonts w:hint="eastAsia"/>
                <w:color w:val="auto"/>
                <w:sz w:val="24"/>
                <w:highlight w:val="none"/>
              </w:rPr>
              <w:t>本项目包括</w:t>
            </w:r>
            <w:r>
              <w:rPr>
                <w:rFonts w:hint="eastAsia" w:eastAsia="宋体"/>
                <w:color w:val="auto"/>
                <w:sz w:val="24"/>
                <w:highlight w:val="none"/>
                <w:lang w:val="en-US" w:eastAsia="zh-CN"/>
              </w:rPr>
              <w:t>石河镇</w:t>
            </w:r>
            <w:r>
              <w:rPr>
                <w:rFonts w:hint="eastAsia" w:eastAsia="宋体"/>
                <w:color w:val="auto"/>
                <w:sz w:val="24"/>
                <w:szCs w:val="24"/>
                <w:highlight w:val="none"/>
                <w:lang w:val="en-US" w:eastAsia="zh-CN"/>
              </w:rPr>
              <w:t>、清河镇及杨家镇</w:t>
            </w:r>
            <w:r>
              <w:rPr>
                <w:rFonts w:hint="eastAsia"/>
                <w:color w:val="auto"/>
                <w:sz w:val="24"/>
                <w:szCs w:val="24"/>
                <w:highlight w:val="none"/>
              </w:rPr>
              <w:t>新建堤防、护岸及河道疏浚工程</w:t>
            </w:r>
            <w:r>
              <w:rPr>
                <w:rFonts w:hint="eastAsia" w:eastAsia="宋体"/>
                <w:color w:val="auto"/>
                <w:sz w:val="24"/>
                <w:szCs w:val="24"/>
                <w:highlight w:val="none"/>
                <w:lang w:eastAsia="zh-CN"/>
              </w:rPr>
              <w:t>、</w:t>
            </w:r>
            <w:r>
              <w:rPr>
                <w:rFonts w:hint="eastAsia" w:eastAsia="宋体"/>
                <w:color w:val="auto"/>
                <w:sz w:val="24"/>
                <w:szCs w:val="24"/>
                <w:highlight w:val="none"/>
                <w:lang w:val="en-US" w:eastAsia="zh-CN"/>
              </w:rPr>
              <w:t>河岸清理工程</w:t>
            </w:r>
            <w:r>
              <w:rPr>
                <w:rFonts w:hint="eastAsia"/>
                <w:color w:val="auto"/>
                <w:sz w:val="24"/>
                <w:szCs w:val="24"/>
                <w:highlight w:val="none"/>
              </w:rPr>
              <w:t>。项目共涉及</w:t>
            </w:r>
            <w:r>
              <w:rPr>
                <w:rFonts w:hint="eastAsia" w:eastAsia="宋体"/>
                <w:color w:val="auto"/>
                <w:sz w:val="24"/>
                <w:szCs w:val="24"/>
                <w:highlight w:val="none"/>
                <w:lang w:val="en-US" w:eastAsia="zh-CN"/>
              </w:rPr>
              <w:t>6个工程河段，包括</w:t>
            </w:r>
            <w:r>
              <w:rPr>
                <w:rFonts w:hint="default" w:ascii="Times New Roman" w:hAnsi="Times New Roman" w:cs="Times New Roman"/>
                <w:color w:val="auto"/>
                <w:sz w:val="24"/>
                <w:szCs w:val="24"/>
                <w:highlight w:val="none"/>
                <w:lang w:val="en-US" w:eastAsia="zh-CN"/>
              </w:rPr>
              <w:t>二郎段</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福兴段</w:t>
            </w:r>
            <w:r>
              <w:rPr>
                <w:rFonts w:hint="eastAsia" w:eastAsia="宋体"/>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石河镇段、双拱场段</w:t>
            </w:r>
            <w:r>
              <w:rPr>
                <w:rFonts w:hint="eastAsia" w:cs="Times New Roman"/>
                <w:color w:val="auto"/>
                <w:sz w:val="24"/>
                <w:szCs w:val="24"/>
                <w:highlight w:val="none"/>
                <w:lang w:val="en-US" w:eastAsia="zh-CN"/>
              </w:rPr>
              <w:t>、东柳河清河镇段、东柳河杨家镇段。</w:t>
            </w:r>
          </w:p>
          <w:p w14:paraId="40F37479">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本</w:t>
            </w:r>
            <w:r>
              <w:rPr>
                <w:rFonts w:hint="eastAsia"/>
                <w:color w:val="auto"/>
                <w:sz w:val="24"/>
                <w:highlight w:val="none"/>
              </w:rPr>
              <w:t>项目综合治理河道总长</w:t>
            </w:r>
            <w:r>
              <w:rPr>
                <w:rFonts w:hint="eastAsia"/>
                <w:color w:val="auto"/>
                <w:sz w:val="24"/>
                <w:highlight w:val="none"/>
                <w:lang w:val="en-US" w:eastAsia="zh-CN"/>
              </w:rPr>
              <w:t>21.287km</w:t>
            </w:r>
            <w:r>
              <w:rPr>
                <w:rFonts w:hint="eastAsia"/>
                <w:color w:val="auto"/>
                <w:sz w:val="24"/>
                <w:highlight w:val="none"/>
              </w:rPr>
              <w:t>，其中新建</w:t>
            </w:r>
            <w:r>
              <w:rPr>
                <w:rFonts w:hint="eastAsia"/>
                <w:color w:val="auto"/>
                <w:sz w:val="24"/>
                <w:highlight w:val="none"/>
                <w:lang w:val="en-US" w:eastAsia="zh-CN"/>
              </w:rPr>
              <w:t>护岸、</w:t>
            </w:r>
            <w:r>
              <w:rPr>
                <w:rFonts w:hint="eastAsia"/>
                <w:color w:val="auto"/>
                <w:sz w:val="24"/>
                <w:highlight w:val="none"/>
              </w:rPr>
              <w:t>堤防等</w:t>
            </w:r>
            <w:r>
              <w:rPr>
                <w:rFonts w:hint="eastAsia"/>
                <w:color w:val="auto"/>
                <w:sz w:val="24"/>
                <w:highlight w:val="none"/>
                <w:lang w:val="en-US" w:eastAsia="zh-CN"/>
              </w:rPr>
              <w:t>17976</w:t>
            </w:r>
            <w:r>
              <w:rPr>
                <w:rFonts w:hint="eastAsia"/>
                <w:color w:val="auto"/>
                <w:sz w:val="24"/>
                <w:highlight w:val="none"/>
              </w:rPr>
              <w:t>m，河道疏浚</w:t>
            </w:r>
            <w:r>
              <w:rPr>
                <w:rFonts w:hint="eastAsia"/>
                <w:color w:val="auto"/>
                <w:sz w:val="24"/>
                <w:highlight w:val="none"/>
                <w:lang w:val="en-US" w:eastAsia="zh-CN"/>
              </w:rPr>
              <w:t>21.287km</w:t>
            </w:r>
            <w:r>
              <w:rPr>
                <w:rFonts w:hint="eastAsia"/>
                <w:color w:val="auto"/>
                <w:sz w:val="24"/>
                <w:highlight w:val="none"/>
                <w:lang w:eastAsia="zh-CN"/>
              </w:rPr>
              <w:t>，</w:t>
            </w:r>
            <w:r>
              <w:rPr>
                <w:rFonts w:hint="eastAsia"/>
                <w:color w:val="auto"/>
                <w:sz w:val="24"/>
                <w:highlight w:val="none"/>
                <w:lang w:val="en-US" w:eastAsia="zh-CN"/>
              </w:rPr>
              <w:t>河岸清理5436m</w:t>
            </w:r>
            <w:r>
              <w:rPr>
                <w:rFonts w:hint="eastAsia"/>
                <w:color w:val="auto"/>
                <w:sz w:val="24"/>
                <w:highlight w:val="none"/>
                <w:lang w:eastAsia="zh-CN"/>
              </w:rPr>
              <w:t>，</w:t>
            </w:r>
            <w:r>
              <w:rPr>
                <w:rFonts w:hint="eastAsia"/>
                <w:color w:val="auto"/>
                <w:sz w:val="24"/>
                <w:highlight w:val="none"/>
                <w:lang w:val="en-US" w:eastAsia="zh-CN"/>
              </w:rPr>
              <w:t>详见</w:t>
            </w:r>
            <w:r>
              <w:rPr>
                <w:rFonts w:hint="eastAsia"/>
                <w:color w:val="auto"/>
                <w:sz w:val="24"/>
                <w:highlight w:val="none"/>
              </w:rPr>
              <w:t>表</w:t>
            </w:r>
            <w:r>
              <w:rPr>
                <w:color w:val="auto"/>
                <w:sz w:val="24"/>
                <w:highlight w:val="none"/>
              </w:rPr>
              <w:t>2.3-</w:t>
            </w:r>
            <w:r>
              <w:rPr>
                <w:rFonts w:hint="eastAsia"/>
                <w:color w:val="auto"/>
                <w:sz w:val="24"/>
                <w:highlight w:val="none"/>
                <w:lang w:val="en-US" w:eastAsia="zh-CN"/>
              </w:rPr>
              <w:t>2</w:t>
            </w:r>
            <w:r>
              <w:rPr>
                <w:rFonts w:hint="eastAsia"/>
                <w:color w:val="auto"/>
                <w:sz w:val="24"/>
                <w:highlight w:val="none"/>
              </w:rPr>
              <w:t>。</w:t>
            </w:r>
          </w:p>
          <w:p w14:paraId="398D92B9">
            <w:pPr>
              <w:adjustRightInd w:val="0"/>
              <w:snapToGrid w:val="0"/>
              <w:jc w:val="center"/>
              <w:rPr>
                <w:b/>
                <w:color w:val="auto"/>
                <w:sz w:val="24"/>
                <w:highlight w:val="none"/>
              </w:rPr>
            </w:pPr>
            <w:r>
              <w:rPr>
                <w:rFonts w:hint="eastAsia"/>
                <w:b/>
                <w:color w:val="auto"/>
                <w:sz w:val="24"/>
                <w:highlight w:val="none"/>
              </w:rPr>
              <w:t>表2</w:t>
            </w:r>
            <w:r>
              <w:rPr>
                <w:b/>
                <w:color w:val="auto"/>
                <w:sz w:val="24"/>
                <w:highlight w:val="none"/>
              </w:rPr>
              <w:t>.3-</w:t>
            </w:r>
            <w:r>
              <w:rPr>
                <w:rFonts w:hint="eastAsia"/>
                <w:b/>
                <w:color w:val="auto"/>
                <w:sz w:val="24"/>
                <w:highlight w:val="none"/>
                <w:lang w:val="en-US" w:eastAsia="zh-CN"/>
              </w:rPr>
              <w:t>2</w:t>
            </w:r>
            <w:r>
              <w:rPr>
                <w:b/>
                <w:color w:val="auto"/>
                <w:sz w:val="24"/>
                <w:highlight w:val="none"/>
              </w:rPr>
              <w:t xml:space="preserve">  </w:t>
            </w:r>
            <w:r>
              <w:rPr>
                <w:rFonts w:hint="eastAsia"/>
                <w:b/>
                <w:color w:val="auto"/>
                <w:sz w:val="24"/>
                <w:highlight w:val="none"/>
                <w:lang w:val="en-US" w:eastAsia="zh-CN"/>
              </w:rPr>
              <w:t>本</w:t>
            </w:r>
            <w:r>
              <w:rPr>
                <w:rFonts w:hint="eastAsia"/>
                <w:b/>
                <w:color w:val="auto"/>
                <w:sz w:val="24"/>
                <w:highlight w:val="none"/>
              </w:rPr>
              <w:t>项目</w:t>
            </w:r>
            <w:r>
              <w:rPr>
                <w:rFonts w:hint="eastAsia"/>
                <w:b/>
                <w:color w:val="auto"/>
                <w:sz w:val="24"/>
                <w:highlight w:val="none"/>
                <w:lang w:val="en-US" w:eastAsia="zh-CN"/>
              </w:rPr>
              <w:t>建设内容及规模</w:t>
            </w:r>
            <w:r>
              <w:rPr>
                <w:rFonts w:hint="eastAsia"/>
                <w:b/>
                <w:color w:val="auto"/>
                <w:sz w:val="24"/>
                <w:highlight w:val="none"/>
              </w:rPr>
              <w:t>一览表</w:t>
            </w:r>
          </w:p>
          <w:tbl>
            <w:tblPr>
              <w:tblStyle w:val="11"/>
              <w:tblW w:w="9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
              <w:gridCol w:w="1077"/>
              <w:gridCol w:w="1132"/>
              <w:gridCol w:w="2946"/>
              <w:gridCol w:w="968"/>
              <w:gridCol w:w="1369"/>
              <w:gridCol w:w="1299"/>
            </w:tblGrid>
            <w:tr w14:paraId="74EE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 w:type="pct"/>
                  <w:shd w:val="clear" w:color="000000" w:fill="FFFFFF"/>
                  <w:noWrap/>
                  <w:vAlign w:val="center"/>
                </w:tcPr>
                <w:p w14:paraId="55EA96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序号</w:t>
                  </w:r>
                </w:p>
              </w:tc>
              <w:tc>
                <w:tcPr>
                  <w:tcW w:w="590" w:type="pct"/>
                  <w:shd w:val="clear" w:color="000000" w:fill="FFFFFF"/>
                  <w:noWrap/>
                  <w:vAlign w:val="center"/>
                </w:tcPr>
                <w:p w14:paraId="5468A8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工程位置</w:t>
                  </w:r>
                </w:p>
              </w:tc>
              <w:tc>
                <w:tcPr>
                  <w:tcW w:w="620" w:type="pct"/>
                  <w:shd w:val="clear" w:color="000000" w:fill="FFFFFF"/>
                  <w:noWrap/>
                  <w:vAlign w:val="center"/>
                </w:tcPr>
                <w:p w14:paraId="5E2F5E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综合治理长度</w:t>
                  </w:r>
                </w:p>
              </w:tc>
              <w:tc>
                <w:tcPr>
                  <w:tcW w:w="1615" w:type="pct"/>
                  <w:shd w:val="clear" w:color="000000" w:fill="FFFFFF"/>
                  <w:noWrap/>
                  <w:vAlign w:val="center"/>
                </w:tcPr>
                <w:p w14:paraId="036AAD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新建护岸、</w:t>
                  </w:r>
                  <w:r>
                    <w:rPr>
                      <w:rFonts w:hint="eastAsia" w:ascii="Times New Roman" w:hAnsi="Times New Roman" w:cs="Times New Roman"/>
                      <w:b/>
                      <w:color w:val="auto"/>
                      <w:kern w:val="0"/>
                      <w:sz w:val="21"/>
                      <w:szCs w:val="21"/>
                      <w:highlight w:val="none"/>
                      <w:lang w:val="en-US" w:eastAsia="zh-CN"/>
                    </w:rPr>
                    <w:t>堤防</w:t>
                  </w:r>
                  <w:r>
                    <w:rPr>
                      <w:rFonts w:hint="default" w:ascii="Times New Roman" w:hAnsi="Times New Roman" w:cs="Times New Roman"/>
                      <w:b/>
                      <w:color w:val="auto"/>
                      <w:kern w:val="0"/>
                      <w:sz w:val="21"/>
                      <w:szCs w:val="21"/>
                      <w:highlight w:val="none"/>
                    </w:rPr>
                    <w:t>等</w:t>
                  </w:r>
                </w:p>
              </w:tc>
              <w:tc>
                <w:tcPr>
                  <w:tcW w:w="530" w:type="pct"/>
                  <w:shd w:val="clear" w:color="000000" w:fill="FFFFFF"/>
                  <w:noWrap/>
                  <w:vAlign w:val="center"/>
                </w:tcPr>
                <w:p w14:paraId="3113A2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河道疏浚</w:t>
                  </w:r>
                </w:p>
              </w:tc>
              <w:tc>
                <w:tcPr>
                  <w:tcW w:w="750" w:type="pct"/>
                  <w:shd w:val="clear" w:color="000000" w:fill="FFFFFF"/>
                  <w:noWrap/>
                  <w:vAlign w:val="center"/>
                </w:tcPr>
                <w:p w14:paraId="19525B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河岸清理</w:t>
                  </w:r>
                </w:p>
              </w:tc>
              <w:tc>
                <w:tcPr>
                  <w:tcW w:w="712" w:type="pct"/>
                  <w:shd w:val="clear" w:color="000000" w:fill="FFFFFF"/>
                  <w:noWrap/>
                  <w:vAlign w:val="center"/>
                </w:tcPr>
                <w:p w14:paraId="34A1B0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cs="Times New Roman"/>
                      <w:b/>
                      <w:color w:val="auto"/>
                      <w:kern w:val="0"/>
                      <w:sz w:val="21"/>
                      <w:szCs w:val="21"/>
                      <w:highlight w:val="none"/>
                      <w:lang w:val="en-US" w:eastAsia="zh-CN"/>
                    </w:rPr>
                    <w:t>附属工程</w:t>
                  </w:r>
                </w:p>
              </w:tc>
            </w:tr>
            <w:tr w14:paraId="45B9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 w:type="pct"/>
                  <w:shd w:val="clear" w:color="000000" w:fill="FFFFFF"/>
                  <w:noWrap/>
                  <w:vAlign w:val="center"/>
                </w:tcPr>
                <w:p w14:paraId="7ABAA6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1</w:t>
                  </w:r>
                </w:p>
              </w:tc>
              <w:tc>
                <w:tcPr>
                  <w:tcW w:w="590" w:type="pct"/>
                  <w:shd w:val="clear" w:color="000000" w:fill="FFFFFF"/>
                  <w:noWrap/>
                  <w:vAlign w:val="center"/>
                </w:tcPr>
                <w:p w14:paraId="02C47B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石河镇二郎段</w:t>
                  </w:r>
                </w:p>
              </w:tc>
              <w:tc>
                <w:tcPr>
                  <w:tcW w:w="620" w:type="pct"/>
                  <w:shd w:val="clear" w:color="000000" w:fill="FFFFFF"/>
                  <w:noWrap/>
                  <w:vAlign w:val="center"/>
                </w:tcPr>
                <w:p w14:paraId="43EE7C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eastAsia="宋体" w:cs="Times New Roman"/>
                      <w:color w:val="auto"/>
                      <w:sz w:val="21"/>
                      <w:szCs w:val="21"/>
                      <w:highlight w:val="none"/>
                      <w:lang w:eastAsia="zh-CN"/>
                    </w:rPr>
                    <w:t>5.634km</w:t>
                  </w:r>
                </w:p>
              </w:tc>
              <w:tc>
                <w:tcPr>
                  <w:tcW w:w="1615" w:type="pct"/>
                  <w:shd w:val="clear" w:color="000000" w:fill="FFFFFF"/>
                  <w:noWrap/>
                  <w:vAlign w:val="center"/>
                </w:tcPr>
                <w:p w14:paraId="247346CD">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color w:val="auto"/>
                      <w:kern w:val="0"/>
                      <w:sz w:val="21"/>
                      <w:szCs w:val="21"/>
                      <w:highlight w:val="none"/>
                    </w:rPr>
                  </w:pPr>
                  <w:r>
                    <w:rPr>
                      <w:rFonts w:hint="eastAsia" w:ascii="Times New Roman" w:hAnsi="Times New Roman" w:cs="Times New Roman"/>
                      <w:color w:val="auto"/>
                      <w:sz w:val="21"/>
                      <w:szCs w:val="21"/>
                      <w:highlight w:val="none"/>
                      <w:lang w:val="en-US" w:eastAsia="zh-CN"/>
                    </w:rPr>
                    <w:t>新建堤防</w:t>
                  </w:r>
                  <w:r>
                    <w:rPr>
                      <w:rFonts w:hint="eastAsia" w:cs="Times New Roman"/>
                      <w:color w:val="auto"/>
                      <w:sz w:val="21"/>
                      <w:szCs w:val="21"/>
                      <w:highlight w:val="none"/>
                      <w:lang w:val="en-US" w:eastAsia="zh-CN"/>
                    </w:rPr>
                    <w:t>长</w:t>
                  </w:r>
                  <w:r>
                    <w:rPr>
                      <w:rFonts w:hint="default" w:ascii="Times New Roman" w:hAnsi="Times New Roman" w:eastAsia="宋体" w:cs="Times New Roman"/>
                      <w:color w:val="auto"/>
                      <w:sz w:val="21"/>
                      <w:szCs w:val="21"/>
                      <w:highlight w:val="none"/>
                      <w:lang w:eastAsia="zh-CN"/>
                    </w:rPr>
                    <w:t>3651.65m（</w:t>
                  </w:r>
                  <w:r>
                    <w:rPr>
                      <w:rFonts w:hint="eastAsia" w:ascii="Times New Roman" w:hAnsi="Times New Roman" w:cs="Times New Roman"/>
                      <w:color w:val="auto"/>
                      <w:sz w:val="21"/>
                      <w:szCs w:val="21"/>
                      <w:highlight w:val="none"/>
                      <w:lang w:eastAsia="zh-CN"/>
                    </w:rPr>
                    <w:t>主河左岸上段931.79m，主河左岸下段390.00m，主河右岸1934.38m，河口段左岸200.35m，河口段右岸195.13m</w:t>
                  </w:r>
                  <w:r>
                    <w:rPr>
                      <w:rFonts w:hint="default" w:ascii="Times New Roman" w:hAnsi="Times New Roman" w:eastAsia="宋体" w:cs="Times New Roman"/>
                      <w:color w:val="auto"/>
                      <w:sz w:val="21"/>
                      <w:szCs w:val="21"/>
                      <w:highlight w:val="none"/>
                      <w:lang w:eastAsia="zh-CN"/>
                    </w:rPr>
                    <w:t>）</w:t>
                  </w:r>
                </w:p>
              </w:tc>
              <w:tc>
                <w:tcPr>
                  <w:tcW w:w="530" w:type="pct"/>
                  <w:shd w:val="clear" w:color="000000" w:fill="FFFFFF"/>
                  <w:noWrap/>
                  <w:vAlign w:val="center"/>
                </w:tcPr>
                <w:p w14:paraId="6111BA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5.634km</w:t>
                  </w:r>
                </w:p>
              </w:tc>
              <w:tc>
                <w:tcPr>
                  <w:tcW w:w="750" w:type="pct"/>
                  <w:shd w:val="clear" w:color="000000" w:fill="FFFFFF"/>
                  <w:noWrap/>
                  <w:vAlign w:val="center"/>
                </w:tcPr>
                <w:p w14:paraId="5B421B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12" w:type="pct"/>
                  <w:shd w:val="clear" w:color="000000" w:fill="FFFFFF"/>
                  <w:noWrap/>
                  <w:vAlign w:val="center"/>
                </w:tcPr>
                <w:p w14:paraId="51830949">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座下河梯步</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处排涝管涵</w:t>
                  </w:r>
                </w:p>
              </w:tc>
            </w:tr>
            <w:tr w14:paraId="7B83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 w:type="pct"/>
                  <w:shd w:val="clear" w:color="000000" w:fill="FFFFFF"/>
                  <w:noWrap/>
                  <w:vAlign w:val="center"/>
                </w:tcPr>
                <w:p w14:paraId="5D7BB0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2</w:t>
                  </w:r>
                </w:p>
              </w:tc>
              <w:tc>
                <w:tcPr>
                  <w:tcW w:w="590" w:type="pct"/>
                  <w:shd w:val="clear" w:color="000000" w:fill="FFFFFF"/>
                  <w:noWrap/>
                  <w:vAlign w:val="center"/>
                </w:tcPr>
                <w:p w14:paraId="389CB9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石河镇福兴段</w:t>
                  </w:r>
                </w:p>
              </w:tc>
              <w:tc>
                <w:tcPr>
                  <w:tcW w:w="620" w:type="pct"/>
                  <w:shd w:val="clear" w:color="000000" w:fill="FFFFFF"/>
                  <w:noWrap/>
                  <w:vAlign w:val="center"/>
                </w:tcPr>
                <w:p w14:paraId="0F09B2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1.795km</w:t>
                  </w:r>
                </w:p>
              </w:tc>
              <w:tc>
                <w:tcPr>
                  <w:tcW w:w="1615" w:type="pct"/>
                  <w:shd w:val="clear" w:color="000000" w:fill="FFFFFF"/>
                  <w:noWrap/>
                  <w:vAlign w:val="center"/>
                </w:tcPr>
                <w:p w14:paraId="6D765489">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color w:val="auto"/>
                      <w:kern w:val="0"/>
                      <w:sz w:val="21"/>
                      <w:szCs w:val="21"/>
                      <w:highlight w:val="none"/>
                    </w:rPr>
                  </w:pPr>
                  <w:r>
                    <w:rPr>
                      <w:rFonts w:hint="eastAsia" w:ascii="Times New Roman" w:hAnsi="Times New Roman" w:cs="Times New Roman"/>
                      <w:color w:val="auto"/>
                      <w:sz w:val="21"/>
                      <w:szCs w:val="21"/>
                      <w:highlight w:val="none"/>
                      <w:lang w:val="en-US" w:eastAsia="zh-CN"/>
                    </w:rPr>
                    <w:t>新建堤防</w:t>
                  </w:r>
                  <w:r>
                    <w:rPr>
                      <w:rFonts w:hint="eastAsia" w:cs="Times New Roman"/>
                      <w:color w:val="auto"/>
                      <w:sz w:val="21"/>
                      <w:szCs w:val="21"/>
                      <w:highlight w:val="none"/>
                      <w:lang w:val="en-US" w:eastAsia="zh-CN"/>
                    </w:rPr>
                    <w:t>长</w:t>
                  </w:r>
                  <w:r>
                    <w:rPr>
                      <w:rFonts w:hint="default" w:ascii="Times New Roman" w:hAnsi="Times New Roman" w:eastAsia="宋体" w:cs="Times New Roman"/>
                      <w:color w:val="auto"/>
                      <w:sz w:val="21"/>
                      <w:szCs w:val="21"/>
                      <w:highlight w:val="none"/>
                      <w:lang w:eastAsia="zh-CN"/>
                    </w:rPr>
                    <w:t>1413.35m（</w:t>
                  </w:r>
                  <w:r>
                    <w:rPr>
                      <w:rFonts w:hint="eastAsia" w:ascii="Times New Roman" w:hAnsi="Times New Roman" w:cs="Times New Roman"/>
                      <w:color w:val="auto"/>
                      <w:sz w:val="21"/>
                      <w:szCs w:val="21"/>
                      <w:highlight w:val="none"/>
                      <w:lang w:eastAsia="zh-CN"/>
                    </w:rPr>
                    <w:t>左岸117.46m，右岸1295.89m</w:t>
                  </w:r>
                  <w:r>
                    <w:rPr>
                      <w:rFonts w:hint="default" w:ascii="Times New Roman" w:hAnsi="Times New Roman" w:eastAsia="宋体" w:cs="Times New Roman"/>
                      <w:color w:val="auto"/>
                      <w:sz w:val="21"/>
                      <w:szCs w:val="21"/>
                      <w:highlight w:val="none"/>
                      <w:lang w:eastAsia="zh-CN"/>
                    </w:rPr>
                    <w:t>）</w:t>
                  </w:r>
                </w:p>
              </w:tc>
              <w:tc>
                <w:tcPr>
                  <w:tcW w:w="530" w:type="pct"/>
                  <w:shd w:val="clear" w:color="000000" w:fill="FFFFFF"/>
                  <w:noWrap/>
                  <w:vAlign w:val="center"/>
                </w:tcPr>
                <w:p w14:paraId="6674FA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1.795km</w:t>
                  </w:r>
                </w:p>
              </w:tc>
              <w:tc>
                <w:tcPr>
                  <w:tcW w:w="750" w:type="pct"/>
                  <w:shd w:val="clear" w:color="000000" w:fill="FFFFFF"/>
                  <w:noWrap/>
                  <w:vAlign w:val="center"/>
                </w:tcPr>
                <w:p w14:paraId="7B21239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12" w:type="pct"/>
                  <w:shd w:val="clear" w:color="000000" w:fill="FFFFFF"/>
                  <w:noWrap/>
                  <w:vAlign w:val="center"/>
                </w:tcPr>
                <w:p w14:paraId="23FAA466">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座下河梯步</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处排涝管涵</w:t>
                  </w:r>
                </w:p>
              </w:tc>
            </w:tr>
            <w:tr w14:paraId="1F4ED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 w:type="pct"/>
                  <w:shd w:val="clear" w:color="000000" w:fill="FFFFFF"/>
                  <w:noWrap/>
                  <w:vAlign w:val="center"/>
                </w:tcPr>
                <w:p w14:paraId="2DF468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3</w:t>
                  </w:r>
                </w:p>
              </w:tc>
              <w:tc>
                <w:tcPr>
                  <w:tcW w:w="590" w:type="pct"/>
                  <w:shd w:val="clear" w:color="000000" w:fill="FFFFFF"/>
                  <w:noWrap/>
                  <w:vAlign w:val="center"/>
                </w:tcPr>
                <w:p w14:paraId="56455C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石河镇石河镇段</w:t>
                  </w:r>
                </w:p>
              </w:tc>
              <w:tc>
                <w:tcPr>
                  <w:tcW w:w="620" w:type="pct"/>
                  <w:shd w:val="clear" w:color="000000" w:fill="FFFFFF"/>
                  <w:noWrap/>
                  <w:vAlign w:val="center"/>
                </w:tcPr>
                <w:p w14:paraId="7A4F48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2.45km</w:t>
                  </w:r>
                </w:p>
              </w:tc>
              <w:tc>
                <w:tcPr>
                  <w:tcW w:w="1615" w:type="pct"/>
                  <w:shd w:val="clear" w:color="000000" w:fill="FFFFFF"/>
                  <w:noWrap/>
                  <w:vAlign w:val="center"/>
                </w:tcPr>
                <w:p w14:paraId="2676820D">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color w:val="auto"/>
                      <w:kern w:val="0"/>
                      <w:sz w:val="21"/>
                      <w:szCs w:val="21"/>
                      <w:highlight w:val="none"/>
                    </w:rPr>
                  </w:pPr>
                  <w:r>
                    <w:rPr>
                      <w:rFonts w:hint="default" w:ascii="Times New Roman" w:hAnsi="Times New Roman" w:eastAsia="宋体" w:cs="Times New Roman"/>
                      <w:color w:val="auto"/>
                      <w:sz w:val="21"/>
                      <w:szCs w:val="21"/>
                      <w:highlight w:val="none"/>
                      <w:lang w:eastAsia="zh-CN"/>
                    </w:rPr>
                    <w:t>新建护岸长2038m（左岸394m，右岸1644m）</w:t>
                  </w:r>
                </w:p>
              </w:tc>
              <w:tc>
                <w:tcPr>
                  <w:tcW w:w="530" w:type="pct"/>
                  <w:shd w:val="clear" w:color="000000" w:fill="FFFFFF"/>
                  <w:noWrap/>
                  <w:vAlign w:val="center"/>
                </w:tcPr>
                <w:p w14:paraId="42CE8D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2.45km</w:t>
                  </w:r>
                </w:p>
              </w:tc>
              <w:tc>
                <w:tcPr>
                  <w:tcW w:w="750" w:type="pct"/>
                  <w:shd w:val="clear" w:color="000000" w:fill="FFFFFF"/>
                  <w:noWrap/>
                  <w:vAlign w:val="center"/>
                </w:tcPr>
                <w:p w14:paraId="1447B0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2786m（左岸1992m，右岸317m）</w:t>
                  </w:r>
                </w:p>
              </w:tc>
              <w:tc>
                <w:tcPr>
                  <w:tcW w:w="712" w:type="pct"/>
                  <w:shd w:val="clear" w:color="000000" w:fill="FFFFFF"/>
                  <w:noWrap/>
                  <w:vAlign w:val="center"/>
                </w:tcPr>
                <w:p w14:paraId="232C172F">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11</w:t>
                  </w:r>
                  <w:r>
                    <w:rPr>
                      <w:rFonts w:hint="default" w:ascii="Times New Roman" w:hAnsi="Times New Roman" w:cs="Times New Roman"/>
                      <w:color w:val="auto"/>
                      <w:sz w:val="21"/>
                      <w:szCs w:val="21"/>
                      <w:highlight w:val="none"/>
                    </w:rPr>
                    <w:t>座下河梯步</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处排涝管涵</w:t>
                  </w:r>
                </w:p>
              </w:tc>
            </w:tr>
            <w:tr w14:paraId="1B23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 w:type="pct"/>
                  <w:shd w:val="clear" w:color="000000" w:fill="FFFFFF"/>
                  <w:noWrap/>
                  <w:vAlign w:val="center"/>
                </w:tcPr>
                <w:p w14:paraId="00BACF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4</w:t>
                  </w:r>
                </w:p>
              </w:tc>
              <w:tc>
                <w:tcPr>
                  <w:tcW w:w="590" w:type="pct"/>
                  <w:shd w:val="clear" w:color="000000" w:fill="FFFFFF"/>
                  <w:noWrap/>
                  <w:vAlign w:val="center"/>
                </w:tcPr>
                <w:p w14:paraId="06E207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石河镇双拱场段</w:t>
                  </w:r>
                </w:p>
              </w:tc>
              <w:tc>
                <w:tcPr>
                  <w:tcW w:w="620" w:type="pct"/>
                  <w:shd w:val="clear" w:color="000000" w:fill="FFFFFF"/>
                  <w:noWrap/>
                  <w:vAlign w:val="center"/>
                </w:tcPr>
                <w:p w14:paraId="06E646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2.15km</w:t>
                  </w:r>
                </w:p>
              </w:tc>
              <w:tc>
                <w:tcPr>
                  <w:tcW w:w="1615" w:type="pct"/>
                  <w:shd w:val="clear" w:color="000000" w:fill="FFFFFF"/>
                  <w:noWrap/>
                  <w:vAlign w:val="center"/>
                </w:tcPr>
                <w:p w14:paraId="470A16C0">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color w:val="auto"/>
                      <w:kern w:val="0"/>
                      <w:sz w:val="21"/>
                      <w:szCs w:val="21"/>
                      <w:highlight w:val="none"/>
                    </w:rPr>
                  </w:pPr>
                  <w:r>
                    <w:rPr>
                      <w:rFonts w:hint="default" w:ascii="Times New Roman" w:hAnsi="Times New Roman" w:eastAsia="宋体" w:cs="Times New Roman"/>
                      <w:color w:val="auto"/>
                      <w:sz w:val="21"/>
                      <w:szCs w:val="21"/>
                      <w:highlight w:val="none"/>
                      <w:lang w:eastAsia="zh-CN"/>
                    </w:rPr>
                    <w:t>新建护岸长1672m（左岸823m，右岸849m）</w:t>
                  </w:r>
                </w:p>
              </w:tc>
              <w:tc>
                <w:tcPr>
                  <w:tcW w:w="530" w:type="pct"/>
                  <w:shd w:val="clear" w:color="000000" w:fill="FFFFFF"/>
                  <w:noWrap/>
                  <w:vAlign w:val="center"/>
                </w:tcPr>
                <w:p w14:paraId="43A71C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2.15km</w:t>
                  </w:r>
                </w:p>
              </w:tc>
              <w:tc>
                <w:tcPr>
                  <w:tcW w:w="750" w:type="pct"/>
                  <w:shd w:val="clear" w:color="000000" w:fill="FFFFFF"/>
                  <w:noWrap/>
                  <w:vAlign w:val="center"/>
                </w:tcPr>
                <w:p w14:paraId="7B50DD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2650m（左岸1582m，右岸1453m）</w:t>
                  </w:r>
                </w:p>
              </w:tc>
              <w:tc>
                <w:tcPr>
                  <w:tcW w:w="712" w:type="pct"/>
                  <w:shd w:val="clear" w:color="000000" w:fill="FFFFFF"/>
                  <w:noWrap/>
                  <w:vAlign w:val="center"/>
                </w:tcPr>
                <w:p w14:paraId="783627F6">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座下河梯步</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处排涝管涵</w:t>
                  </w:r>
                </w:p>
              </w:tc>
            </w:tr>
            <w:tr w14:paraId="3EE0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 w:type="pct"/>
                  <w:shd w:val="clear" w:color="000000" w:fill="FFFFFF"/>
                  <w:noWrap/>
                  <w:vAlign w:val="center"/>
                </w:tcPr>
                <w:p w14:paraId="346D09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cs="Times New Roman"/>
                      <w:b w:val="0"/>
                      <w:bCs/>
                      <w:color w:val="auto"/>
                      <w:kern w:val="0"/>
                      <w:sz w:val="21"/>
                      <w:szCs w:val="21"/>
                      <w:highlight w:val="none"/>
                      <w:lang w:val="en-US" w:eastAsia="zh-CN"/>
                    </w:rPr>
                    <w:t>5</w:t>
                  </w:r>
                </w:p>
              </w:tc>
              <w:tc>
                <w:tcPr>
                  <w:tcW w:w="590" w:type="pct"/>
                  <w:shd w:val="clear" w:color="000000" w:fill="FFFFFF"/>
                  <w:noWrap/>
                  <w:vAlign w:val="center"/>
                </w:tcPr>
                <w:p w14:paraId="4BA857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东柳河清河镇段</w:t>
                  </w:r>
                </w:p>
              </w:tc>
              <w:tc>
                <w:tcPr>
                  <w:tcW w:w="620" w:type="pct"/>
                  <w:shd w:val="clear" w:color="000000" w:fill="FFFFFF"/>
                  <w:noWrap/>
                  <w:vAlign w:val="center"/>
                </w:tcPr>
                <w:p w14:paraId="24F72E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4.133</w:t>
                  </w:r>
                  <w:r>
                    <w:rPr>
                      <w:rFonts w:hint="default" w:ascii="Times New Roman" w:hAnsi="Times New Roman" w:cs="Times New Roman"/>
                      <w:color w:val="auto"/>
                      <w:sz w:val="21"/>
                      <w:szCs w:val="21"/>
                      <w:highlight w:val="none"/>
                      <w:lang w:val="en-US" w:eastAsia="zh-CN"/>
                    </w:rPr>
                    <w:t>km</w:t>
                  </w:r>
                </w:p>
              </w:tc>
              <w:tc>
                <w:tcPr>
                  <w:tcW w:w="1615" w:type="pct"/>
                  <w:shd w:val="clear" w:color="000000" w:fill="FFFFFF"/>
                  <w:noWrap/>
                  <w:vAlign w:val="center"/>
                </w:tcPr>
                <w:p w14:paraId="1DFDCA71">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val="0"/>
                      <w:bCs/>
                      <w:color w:val="auto"/>
                      <w:kern w:val="0"/>
                      <w:sz w:val="21"/>
                      <w:szCs w:val="21"/>
                      <w:highlight w:val="none"/>
                      <w:lang w:val="en-US" w:eastAsia="zh-CN"/>
                    </w:rPr>
                    <w:t>新建堤防总长度4512m，左岸新建2435m、右岸新建2077m。其中，东柳河干流段4131m：左岸新建堤防2321m(B段1050m、C段1271m）；右岸新建堤防1810m（A段1745m、B段65m）</w:t>
                  </w:r>
                </w:p>
              </w:tc>
              <w:tc>
                <w:tcPr>
                  <w:tcW w:w="530" w:type="pct"/>
                  <w:shd w:val="clear" w:color="000000" w:fill="FFFFFF"/>
                  <w:noWrap/>
                  <w:vAlign w:val="center"/>
                </w:tcPr>
                <w:p w14:paraId="5B3FD6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color w:val="auto"/>
                      <w:sz w:val="21"/>
                      <w:szCs w:val="21"/>
                      <w:highlight w:val="none"/>
                      <w:lang w:val="en-US" w:eastAsia="zh-CN"/>
                    </w:rPr>
                    <w:t>4.133</w:t>
                  </w:r>
                  <w:r>
                    <w:rPr>
                      <w:rFonts w:hint="default" w:ascii="Times New Roman" w:hAnsi="Times New Roman" w:cs="Times New Roman"/>
                      <w:color w:val="auto"/>
                      <w:sz w:val="21"/>
                      <w:szCs w:val="21"/>
                      <w:highlight w:val="none"/>
                      <w:lang w:val="en-US" w:eastAsia="zh-CN"/>
                    </w:rPr>
                    <w:t>km</w:t>
                  </w:r>
                </w:p>
              </w:tc>
              <w:tc>
                <w:tcPr>
                  <w:tcW w:w="750" w:type="pct"/>
                  <w:shd w:val="clear" w:color="000000" w:fill="FFFFFF"/>
                  <w:noWrap/>
                  <w:vAlign w:val="center"/>
                </w:tcPr>
                <w:p w14:paraId="6C482A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0"/>
                      <w:sz w:val="21"/>
                      <w:szCs w:val="21"/>
                      <w:highlight w:val="none"/>
                      <w:lang w:val="en-US" w:eastAsia="zh-CN"/>
                    </w:rPr>
                  </w:pPr>
                  <w:r>
                    <w:rPr>
                      <w:rFonts w:hint="eastAsia"/>
                      <w:color w:val="auto"/>
                      <w:highlight w:val="none"/>
                      <w:lang w:val="en-US" w:eastAsia="zh-CN"/>
                    </w:rPr>
                    <w:t>/</w:t>
                  </w:r>
                </w:p>
              </w:tc>
              <w:tc>
                <w:tcPr>
                  <w:tcW w:w="712" w:type="pct"/>
                  <w:shd w:val="clear" w:color="000000" w:fill="FFFFFF"/>
                  <w:noWrap/>
                  <w:vAlign w:val="center"/>
                </w:tcPr>
                <w:p w14:paraId="427C55A9">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2座人行桥、10处排涝管涵、亲水步道</w:t>
                  </w:r>
                </w:p>
              </w:tc>
            </w:tr>
            <w:tr w14:paraId="7F745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9" w:type="pct"/>
                  <w:shd w:val="clear" w:color="000000" w:fill="FFFFFF"/>
                  <w:noWrap/>
                  <w:vAlign w:val="center"/>
                </w:tcPr>
                <w:p w14:paraId="70A606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6</w:t>
                  </w:r>
                </w:p>
              </w:tc>
              <w:tc>
                <w:tcPr>
                  <w:tcW w:w="590" w:type="pct"/>
                  <w:shd w:val="clear" w:color="000000" w:fill="FFFFFF"/>
                  <w:noWrap/>
                  <w:vAlign w:val="center"/>
                </w:tcPr>
                <w:p w14:paraId="3C613B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东柳河杨家镇段</w:t>
                  </w:r>
                </w:p>
              </w:tc>
              <w:tc>
                <w:tcPr>
                  <w:tcW w:w="620" w:type="pct"/>
                  <w:shd w:val="clear" w:color="000000" w:fill="FFFFFF"/>
                  <w:noWrap/>
                  <w:vAlign w:val="center"/>
                </w:tcPr>
                <w:p w14:paraId="5904D6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5.125km</w:t>
                  </w:r>
                </w:p>
              </w:tc>
              <w:tc>
                <w:tcPr>
                  <w:tcW w:w="1615" w:type="pct"/>
                  <w:shd w:val="clear" w:color="000000" w:fill="FFFFFF"/>
                  <w:noWrap/>
                  <w:vAlign w:val="center"/>
                </w:tcPr>
                <w:p w14:paraId="00324981">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val="0"/>
                      <w:bCs/>
                      <w:color w:val="auto"/>
                      <w:kern w:val="0"/>
                      <w:sz w:val="21"/>
                      <w:szCs w:val="21"/>
                      <w:highlight w:val="none"/>
                    </w:rPr>
                    <w:t>新建堤防总长度4689m</w:t>
                  </w:r>
                  <w:r>
                    <w:rPr>
                      <w:rFonts w:hint="default" w:ascii="Times New Roman" w:hAnsi="Times New Roman" w:cs="Times New Roman"/>
                      <w:b w:val="0"/>
                      <w:bCs/>
                      <w:color w:val="auto"/>
                      <w:kern w:val="0"/>
                      <w:sz w:val="21"/>
                      <w:szCs w:val="21"/>
                      <w:highlight w:val="none"/>
                      <w:lang w:eastAsia="zh-CN"/>
                    </w:rPr>
                    <w:t>。</w:t>
                  </w:r>
                  <w:r>
                    <w:rPr>
                      <w:rFonts w:hint="default" w:ascii="Times New Roman" w:hAnsi="Times New Roman" w:cs="Times New Roman"/>
                      <w:b w:val="0"/>
                      <w:bCs/>
                      <w:color w:val="auto"/>
                      <w:kern w:val="0"/>
                      <w:sz w:val="21"/>
                      <w:szCs w:val="21"/>
                      <w:highlight w:val="none"/>
                    </w:rPr>
                    <w:t>其中</w:t>
                  </w:r>
                  <w:r>
                    <w:rPr>
                      <w:rFonts w:hint="default" w:ascii="Times New Roman" w:hAnsi="Times New Roman" w:cs="Times New Roman"/>
                      <w:b w:val="0"/>
                      <w:bCs/>
                      <w:color w:val="auto"/>
                      <w:kern w:val="0"/>
                      <w:sz w:val="21"/>
                      <w:szCs w:val="21"/>
                      <w:highlight w:val="none"/>
                      <w:lang w:eastAsia="zh-CN"/>
                    </w:rPr>
                    <w:t>，</w:t>
                  </w:r>
                  <w:r>
                    <w:rPr>
                      <w:rFonts w:hint="default" w:ascii="Times New Roman" w:hAnsi="Times New Roman" w:cs="Times New Roman"/>
                      <w:b w:val="0"/>
                      <w:bCs/>
                      <w:color w:val="auto"/>
                      <w:kern w:val="0"/>
                      <w:sz w:val="21"/>
                      <w:szCs w:val="21"/>
                      <w:highlight w:val="none"/>
                    </w:rPr>
                    <w:t>主河道新建堤防长3963m（左岸1624m；右岸2339m）；清溪沟支流段新建堤防长392m（左岸196m，右岸196m）；蚂蟥沟支流段新建堤防长334m（左岸164m，右岸170m）</w:t>
                  </w:r>
                </w:p>
              </w:tc>
              <w:tc>
                <w:tcPr>
                  <w:tcW w:w="530" w:type="pct"/>
                  <w:shd w:val="clear" w:color="000000" w:fill="FFFFFF"/>
                  <w:noWrap/>
                  <w:vAlign w:val="center"/>
                </w:tcPr>
                <w:p w14:paraId="6663A9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color w:val="auto"/>
                      <w:sz w:val="21"/>
                      <w:szCs w:val="21"/>
                      <w:highlight w:val="none"/>
                      <w:lang w:val="en-US" w:eastAsia="zh-CN"/>
                    </w:rPr>
                    <w:t>5.125km</w:t>
                  </w:r>
                </w:p>
              </w:tc>
              <w:tc>
                <w:tcPr>
                  <w:tcW w:w="750" w:type="pct"/>
                  <w:shd w:val="clear" w:color="000000" w:fill="FFFFFF"/>
                  <w:noWrap/>
                  <w:vAlign w:val="center"/>
                </w:tcPr>
                <w:p w14:paraId="31FC39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snapToGrid w:val="0"/>
                      <w:color w:val="auto"/>
                      <w:kern w:val="0"/>
                      <w:sz w:val="21"/>
                      <w:szCs w:val="21"/>
                      <w:highlight w:val="none"/>
                      <w:lang w:val="en-US" w:eastAsia="zh-CN" w:bidi="ar-SA"/>
                    </w:rPr>
                  </w:pPr>
                  <w:r>
                    <w:rPr>
                      <w:rFonts w:hint="eastAsia"/>
                      <w:color w:val="auto"/>
                      <w:highlight w:val="none"/>
                      <w:lang w:val="en-US" w:eastAsia="zh-CN"/>
                    </w:rPr>
                    <w:t>/</w:t>
                  </w:r>
                </w:p>
              </w:tc>
              <w:tc>
                <w:tcPr>
                  <w:tcW w:w="712" w:type="pct"/>
                  <w:shd w:val="clear" w:color="000000" w:fill="FFFFFF"/>
                  <w:noWrap/>
                  <w:vAlign w:val="center"/>
                </w:tcPr>
                <w:p w14:paraId="48000D4B">
                  <w:pPr>
                    <w:keepNext w:val="0"/>
                    <w:keepLines w:val="0"/>
                    <w:pageBreakBefore w:val="0"/>
                    <w:widowControl/>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b/>
                      <w:color w:val="auto"/>
                      <w:kern w:val="0"/>
                      <w:sz w:val="21"/>
                      <w:szCs w:val="21"/>
                      <w:highlight w:val="none"/>
                      <w:lang w:val="en-US"/>
                    </w:rPr>
                  </w:pPr>
                  <w:r>
                    <w:rPr>
                      <w:rFonts w:hint="eastAsia" w:cs="Times New Roman"/>
                      <w:b w:val="0"/>
                      <w:bCs/>
                      <w:color w:val="auto"/>
                      <w:kern w:val="0"/>
                      <w:sz w:val="21"/>
                      <w:szCs w:val="21"/>
                      <w:highlight w:val="none"/>
                      <w:lang w:val="en-US" w:eastAsia="zh-CN"/>
                    </w:rPr>
                    <w:t>1座人行桥、4处排涝管涵、1座桥涵、亲水步道</w:t>
                  </w:r>
                </w:p>
              </w:tc>
            </w:tr>
          </w:tbl>
          <w:p w14:paraId="12CE5F58">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2.3.</w:t>
            </w:r>
            <w:r>
              <w:rPr>
                <w:rFonts w:hint="eastAsia" w:cs="Times New Roman"/>
                <w:b/>
                <w:bCs/>
                <w:color w:val="auto"/>
                <w:highlight w:val="none"/>
                <w:lang w:val="en-US" w:eastAsia="zh-CN"/>
              </w:rPr>
              <w:t>3</w:t>
            </w:r>
            <w:r>
              <w:rPr>
                <w:rFonts w:hint="default" w:ascii="Times New Roman" w:hAnsi="Times New Roman" w:cs="Times New Roman"/>
                <w:b/>
                <w:bCs/>
                <w:color w:val="auto"/>
                <w:highlight w:val="none"/>
              </w:rPr>
              <w:t xml:space="preserve"> 项目组成</w:t>
            </w:r>
          </w:p>
          <w:p w14:paraId="099C1A7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本项目包括主体工程、</w:t>
            </w:r>
            <w:r>
              <w:rPr>
                <w:rFonts w:hint="eastAsia" w:cs="Times New Roman"/>
                <w:color w:val="auto"/>
                <w:highlight w:val="none"/>
                <w:lang w:eastAsia="zh-CN"/>
              </w:rPr>
              <w:t>附属工程</w:t>
            </w:r>
            <w:r>
              <w:rPr>
                <w:rFonts w:hint="default" w:ascii="Times New Roman" w:hAnsi="Times New Roman" w:cs="Times New Roman"/>
                <w:color w:val="auto"/>
                <w:highlight w:val="none"/>
              </w:rPr>
              <w:t>、依托工程和环保工程。</w:t>
            </w:r>
            <w:r>
              <w:rPr>
                <w:rFonts w:hint="eastAsia" w:cs="Times New Roman"/>
                <w:color w:val="auto"/>
                <w:highlight w:val="none"/>
                <w:lang w:val="en-US" w:eastAsia="zh-CN"/>
              </w:rPr>
              <w:t>二郎段、福兴段与石河镇段、双拱场段共用1个施工场地。</w:t>
            </w:r>
            <w:r>
              <w:rPr>
                <w:rFonts w:hint="default" w:ascii="Times New Roman" w:hAnsi="Times New Roman" w:cs="Times New Roman"/>
                <w:color w:val="auto"/>
                <w:highlight w:val="none"/>
              </w:rPr>
              <w:t>本项目组成见表2.3-</w:t>
            </w:r>
            <w:r>
              <w:rPr>
                <w:rFonts w:hint="eastAsia" w:cs="Times New Roman"/>
                <w:color w:val="auto"/>
                <w:highlight w:val="none"/>
                <w:lang w:val="en-US" w:eastAsia="zh-CN"/>
              </w:rPr>
              <w:t>3</w:t>
            </w:r>
            <w:r>
              <w:rPr>
                <w:rFonts w:hint="default" w:ascii="Times New Roman" w:hAnsi="Times New Roman" w:cs="Times New Roman"/>
                <w:color w:val="auto"/>
                <w:highlight w:val="none"/>
              </w:rPr>
              <w:t>。</w:t>
            </w:r>
          </w:p>
          <w:p w14:paraId="1FFFF8C5">
            <w:pPr>
              <w:pStyle w:val="21"/>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表2.3-</w:t>
            </w:r>
            <w:r>
              <w:rPr>
                <w:rFonts w:hint="eastAsia" w:cs="Times New Roman"/>
                <w:b/>
                <w:bCs/>
                <w:color w:val="auto"/>
                <w:highlight w:val="none"/>
                <w:lang w:val="en-US" w:eastAsia="zh-CN"/>
              </w:rPr>
              <w:t>3</w:t>
            </w:r>
            <w:r>
              <w:rPr>
                <w:rFonts w:hint="default" w:ascii="Times New Roman" w:hAnsi="Times New Roman" w:cs="Times New Roman"/>
                <w:b/>
                <w:bCs/>
                <w:color w:val="auto"/>
                <w:highlight w:val="none"/>
              </w:rPr>
              <w:t xml:space="preserve">  项目组成一览表</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845"/>
              <w:gridCol w:w="813"/>
              <w:gridCol w:w="232"/>
              <w:gridCol w:w="4961"/>
              <w:gridCol w:w="750"/>
              <w:gridCol w:w="663"/>
            </w:tblGrid>
            <w:tr w14:paraId="2F849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restart"/>
                  <w:noWrap w:val="0"/>
                  <w:vAlign w:val="center"/>
                </w:tcPr>
                <w:p w14:paraId="5694BE5A">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项目名称</w:t>
                  </w:r>
                </w:p>
              </w:tc>
              <w:tc>
                <w:tcPr>
                  <w:tcW w:w="845" w:type="dxa"/>
                  <w:vMerge w:val="restart"/>
                  <w:noWrap w:val="0"/>
                  <w:vAlign w:val="center"/>
                </w:tcPr>
                <w:p w14:paraId="20985F75">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建设</w:t>
                  </w:r>
                </w:p>
                <w:p w14:paraId="34265875">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内容</w:t>
                  </w:r>
                </w:p>
              </w:tc>
              <w:tc>
                <w:tcPr>
                  <w:tcW w:w="6006" w:type="dxa"/>
                  <w:gridSpan w:val="3"/>
                  <w:vMerge w:val="restart"/>
                  <w:noWrap w:val="0"/>
                  <w:vAlign w:val="center"/>
                </w:tcPr>
                <w:p w14:paraId="2D1379F8">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建设规模</w:t>
                  </w:r>
                </w:p>
              </w:tc>
              <w:tc>
                <w:tcPr>
                  <w:tcW w:w="1413" w:type="dxa"/>
                  <w:gridSpan w:val="2"/>
                  <w:noWrap w:val="0"/>
                  <w:vAlign w:val="center"/>
                </w:tcPr>
                <w:p w14:paraId="73C39A4F">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主要的环境问题</w:t>
                  </w:r>
                </w:p>
              </w:tc>
            </w:tr>
            <w:tr w14:paraId="51A7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1836856B">
                  <w:pPr>
                    <w:pStyle w:val="23"/>
                    <w:spacing w:line="240" w:lineRule="auto"/>
                    <w:rPr>
                      <w:rFonts w:hint="default" w:ascii="Times New Roman" w:hAnsi="Times New Roman" w:cs="Times New Roman"/>
                      <w:color w:val="auto"/>
                      <w:szCs w:val="21"/>
                      <w:highlight w:val="none"/>
                    </w:rPr>
                  </w:pPr>
                </w:p>
              </w:tc>
              <w:tc>
                <w:tcPr>
                  <w:tcW w:w="845" w:type="dxa"/>
                  <w:vMerge w:val="continue"/>
                  <w:noWrap w:val="0"/>
                  <w:vAlign w:val="center"/>
                </w:tcPr>
                <w:p w14:paraId="31B849E4">
                  <w:pPr>
                    <w:pStyle w:val="23"/>
                    <w:spacing w:line="240" w:lineRule="auto"/>
                    <w:rPr>
                      <w:rFonts w:hint="default" w:ascii="Times New Roman" w:hAnsi="Times New Roman" w:cs="Times New Roman"/>
                      <w:color w:val="auto"/>
                      <w:szCs w:val="21"/>
                      <w:highlight w:val="none"/>
                    </w:rPr>
                  </w:pPr>
                </w:p>
              </w:tc>
              <w:tc>
                <w:tcPr>
                  <w:tcW w:w="6006" w:type="dxa"/>
                  <w:gridSpan w:val="3"/>
                  <w:vMerge w:val="continue"/>
                  <w:noWrap w:val="0"/>
                  <w:vAlign w:val="center"/>
                </w:tcPr>
                <w:p w14:paraId="2F40E21B">
                  <w:pPr>
                    <w:pStyle w:val="23"/>
                    <w:spacing w:line="240" w:lineRule="auto"/>
                    <w:rPr>
                      <w:rFonts w:hint="default" w:ascii="Times New Roman" w:hAnsi="Times New Roman" w:cs="Times New Roman"/>
                      <w:color w:val="auto"/>
                      <w:szCs w:val="21"/>
                      <w:highlight w:val="none"/>
                    </w:rPr>
                  </w:pPr>
                </w:p>
              </w:tc>
              <w:tc>
                <w:tcPr>
                  <w:tcW w:w="750" w:type="dxa"/>
                  <w:noWrap w:val="0"/>
                  <w:vAlign w:val="center"/>
                </w:tcPr>
                <w:p w14:paraId="0E812B3E">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施工期</w:t>
                  </w:r>
                </w:p>
              </w:tc>
              <w:tc>
                <w:tcPr>
                  <w:tcW w:w="663" w:type="dxa"/>
                  <w:noWrap w:val="0"/>
                  <w:vAlign w:val="center"/>
                </w:tcPr>
                <w:p w14:paraId="1F037ED0">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运营期</w:t>
                  </w:r>
                </w:p>
              </w:tc>
            </w:tr>
            <w:tr w14:paraId="7E9A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restart"/>
                  <w:noWrap w:val="0"/>
                  <w:vAlign w:val="center"/>
                </w:tcPr>
                <w:p w14:paraId="09AC511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主体工程</w:t>
                  </w:r>
                </w:p>
              </w:tc>
              <w:tc>
                <w:tcPr>
                  <w:tcW w:w="845" w:type="dxa"/>
                  <w:vMerge w:val="restart"/>
                  <w:noWrap w:val="0"/>
                  <w:vAlign w:val="center"/>
                </w:tcPr>
                <w:p w14:paraId="4E7C68E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护岸、堤防工程</w:t>
                  </w:r>
                </w:p>
              </w:tc>
              <w:tc>
                <w:tcPr>
                  <w:tcW w:w="1045" w:type="dxa"/>
                  <w:gridSpan w:val="2"/>
                  <w:noWrap w:val="0"/>
                  <w:vAlign w:val="center"/>
                </w:tcPr>
                <w:p w14:paraId="756DE23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石河镇二郎段、福兴段</w:t>
                  </w:r>
                </w:p>
              </w:tc>
              <w:tc>
                <w:tcPr>
                  <w:tcW w:w="4961" w:type="dxa"/>
                  <w:shd w:val="clear" w:color="auto" w:fill="auto"/>
                  <w:noWrap w:val="0"/>
                  <w:vAlign w:val="center"/>
                </w:tcPr>
                <w:p w14:paraId="2F473F7C">
                  <w:pPr>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cs="Times New Roman"/>
                      <w:b w:val="0"/>
                      <w:bCs w:val="0"/>
                      <w:color w:val="auto"/>
                      <w:sz w:val="21"/>
                      <w:szCs w:val="21"/>
                      <w:highlight w:val="none"/>
                      <w:lang w:val="zh-CN"/>
                    </w:rPr>
                  </w:pPr>
                  <w:r>
                    <w:rPr>
                      <w:rFonts w:hint="default" w:ascii="Times New Roman" w:hAnsi="Times New Roman" w:cs="Times New Roman"/>
                      <w:color w:val="auto"/>
                      <w:sz w:val="21"/>
                      <w:szCs w:val="21"/>
                      <w:highlight w:val="none"/>
                    </w:rPr>
                    <w:t>位于柳城河二郎社区和福兴社区的上下游范围内，</w:t>
                  </w:r>
                  <w:r>
                    <w:rPr>
                      <w:rFonts w:hint="default" w:ascii="Times New Roman" w:hAnsi="Times New Roman" w:cs="Times New Roman"/>
                      <w:b w:val="0"/>
                      <w:bCs w:val="0"/>
                      <w:color w:val="auto"/>
                      <w:sz w:val="21"/>
                      <w:szCs w:val="21"/>
                      <w:highlight w:val="none"/>
                    </w:rPr>
                    <w:t>工程新建堤防总长5065</w:t>
                  </w:r>
                  <w:r>
                    <w:rPr>
                      <w:rFonts w:hint="default" w:ascii="Times New Roman" w:hAnsi="Times New Roman" w:cs="Times New Roman"/>
                      <w:b w:val="0"/>
                      <w:bCs w:val="0"/>
                      <w:color w:val="auto"/>
                      <w:sz w:val="21"/>
                      <w:szCs w:val="21"/>
                      <w:highlight w:val="none"/>
                      <w:lang w:val="zh-CN"/>
                    </w:rPr>
                    <w:t>m，其中柳城河二郎段新建堤防</w:t>
                  </w:r>
                  <w:r>
                    <w:rPr>
                      <w:rFonts w:hint="default" w:ascii="Times New Roman" w:hAnsi="Times New Roman" w:cs="Times New Roman"/>
                      <w:b w:val="0"/>
                      <w:bCs w:val="0"/>
                      <w:color w:val="auto"/>
                      <w:sz w:val="21"/>
                      <w:szCs w:val="21"/>
                      <w:highlight w:val="none"/>
                    </w:rPr>
                    <w:t>3651.65</w:t>
                  </w:r>
                  <w:r>
                    <w:rPr>
                      <w:rFonts w:hint="default" w:ascii="Times New Roman" w:hAnsi="Times New Roman" w:cs="Times New Roman"/>
                      <w:b w:val="0"/>
                      <w:bCs w:val="0"/>
                      <w:color w:val="auto"/>
                      <w:sz w:val="21"/>
                      <w:szCs w:val="21"/>
                      <w:highlight w:val="none"/>
                      <w:lang w:val="zh-CN"/>
                    </w:rPr>
                    <w:t>m（</w:t>
                  </w:r>
                  <w:r>
                    <w:rPr>
                      <w:rFonts w:hint="eastAsia" w:cs="Times New Roman"/>
                      <w:b w:val="0"/>
                      <w:bCs w:val="0"/>
                      <w:color w:val="auto"/>
                      <w:sz w:val="21"/>
                      <w:szCs w:val="21"/>
                      <w:highlight w:val="none"/>
                      <w:lang w:val="zh-CN"/>
                    </w:rPr>
                    <w:t>主河左岸上段931.79m，主河左岸下段390.00m，主河右岸1934.38m，河口段左岸200.35m，河口段右岸195.13m</w:t>
                  </w:r>
                  <w:r>
                    <w:rPr>
                      <w:rFonts w:hint="default" w:ascii="Times New Roman" w:hAnsi="Times New Roman" w:cs="Times New Roman"/>
                      <w:b w:val="0"/>
                      <w:bCs w:val="0"/>
                      <w:color w:val="auto"/>
                      <w:sz w:val="21"/>
                      <w:szCs w:val="21"/>
                      <w:highlight w:val="none"/>
                      <w:lang w:val="zh-CN"/>
                    </w:rPr>
                    <w:t>），福兴段新建堤防长</w:t>
                  </w:r>
                  <w:r>
                    <w:rPr>
                      <w:rFonts w:hint="default" w:ascii="Times New Roman" w:hAnsi="Times New Roman" w:cs="Times New Roman"/>
                      <w:b w:val="0"/>
                      <w:bCs w:val="0"/>
                      <w:color w:val="auto"/>
                      <w:sz w:val="21"/>
                      <w:szCs w:val="21"/>
                      <w:highlight w:val="none"/>
                    </w:rPr>
                    <w:t>1413.35</w:t>
                  </w:r>
                  <w:r>
                    <w:rPr>
                      <w:rFonts w:hint="default" w:ascii="Times New Roman" w:hAnsi="Times New Roman" w:cs="Times New Roman"/>
                      <w:b w:val="0"/>
                      <w:bCs w:val="0"/>
                      <w:color w:val="auto"/>
                      <w:sz w:val="21"/>
                      <w:szCs w:val="21"/>
                      <w:highlight w:val="none"/>
                      <w:lang w:val="zh-CN"/>
                    </w:rPr>
                    <w:t>m（</w:t>
                  </w:r>
                  <w:r>
                    <w:rPr>
                      <w:rFonts w:hint="eastAsia" w:cs="Times New Roman"/>
                      <w:b w:val="0"/>
                      <w:bCs w:val="0"/>
                      <w:color w:val="auto"/>
                      <w:sz w:val="21"/>
                      <w:szCs w:val="21"/>
                      <w:highlight w:val="none"/>
                      <w:lang w:val="zh-CN"/>
                    </w:rPr>
                    <w:t>左岸117.46m，右岸1295.89m</w:t>
                  </w:r>
                  <w:r>
                    <w:rPr>
                      <w:rFonts w:hint="default" w:ascii="Times New Roman" w:hAnsi="Times New Roman" w:cs="Times New Roman"/>
                      <w:b w:val="0"/>
                      <w:bCs w:val="0"/>
                      <w:color w:val="auto"/>
                      <w:sz w:val="21"/>
                      <w:szCs w:val="21"/>
                      <w:highlight w:val="none"/>
                      <w:lang w:val="zh-CN"/>
                    </w:rPr>
                    <w:t>）。</w:t>
                  </w:r>
                  <w:r>
                    <w:rPr>
                      <w:rFonts w:hint="default" w:ascii="Times New Roman" w:hAnsi="Times New Roman" w:cs="Times New Roman"/>
                      <w:color w:val="auto"/>
                      <w:sz w:val="21"/>
                      <w:szCs w:val="21"/>
                      <w:highlight w:val="none"/>
                    </w:rPr>
                    <w:t>二郎段</w:t>
                  </w:r>
                  <w:r>
                    <w:rPr>
                      <w:rFonts w:hint="eastAsia" w:cs="Times New Roman"/>
                      <w:color w:val="auto"/>
                      <w:sz w:val="21"/>
                      <w:szCs w:val="21"/>
                      <w:highlight w:val="none"/>
                      <w:lang w:val="en-US" w:eastAsia="zh-CN"/>
                    </w:rPr>
                    <w:t>采用</w:t>
                  </w:r>
                  <w:r>
                    <w:rPr>
                      <w:rFonts w:hint="default" w:ascii="Times New Roman" w:hAnsi="Times New Roman" w:cs="Times New Roman"/>
                      <w:color w:val="auto"/>
                      <w:sz w:val="21"/>
                      <w:szCs w:val="21"/>
                      <w:highlight w:val="none"/>
                    </w:rPr>
                    <w:t>仰斜式挡墙护坡，二郎左岸河口段堤防采用仰斜式防洪墙形式，福兴段采用镇脚基础加斜坡式护岸的堤防型式。</w:t>
                  </w:r>
                </w:p>
                <w:p w14:paraId="4039CB96">
                  <w:pPr>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cs="Times New Roman"/>
                      <w:b w:val="0"/>
                      <w:bCs w:val="0"/>
                      <w:color w:val="auto"/>
                      <w:sz w:val="21"/>
                      <w:szCs w:val="21"/>
                      <w:highlight w:val="none"/>
                      <w:lang w:val="zh-CN"/>
                    </w:rPr>
                  </w:pPr>
                  <w:r>
                    <w:rPr>
                      <w:rFonts w:hint="default" w:ascii="Times New Roman" w:hAnsi="Times New Roman" w:cs="Times New Roman"/>
                      <w:b w:val="0"/>
                      <w:bCs w:val="0"/>
                      <w:color w:val="auto"/>
                      <w:sz w:val="21"/>
                      <w:szCs w:val="21"/>
                      <w:highlight w:val="none"/>
                      <w:lang w:val="zh-CN"/>
                    </w:rPr>
                    <w:t>二郎段堤防</w:t>
                  </w:r>
                  <w:r>
                    <w:rPr>
                      <w:rFonts w:hint="default" w:ascii="Times New Roman" w:hAnsi="Times New Roman" w:cs="Times New Roman"/>
                      <w:b w:val="0"/>
                      <w:bCs w:val="0"/>
                      <w:color w:val="auto"/>
                      <w:sz w:val="21"/>
                      <w:szCs w:val="21"/>
                      <w:highlight w:val="none"/>
                      <w:lang w:val="zh-CN" w:eastAsia="zh-CN"/>
                    </w:rPr>
                    <w:t>：</w:t>
                  </w:r>
                  <w:r>
                    <w:rPr>
                      <w:rFonts w:hint="default" w:ascii="Times New Roman" w:hAnsi="Times New Roman" w:cs="Times New Roman"/>
                      <w:b w:val="0"/>
                      <w:bCs w:val="0"/>
                      <w:color w:val="auto"/>
                      <w:sz w:val="21"/>
                      <w:szCs w:val="21"/>
                      <w:highlight w:val="none"/>
                      <w:lang w:val="zh-CN"/>
                    </w:rPr>
                    <w:t>二郎左岸上段堤防长931.79m，二郎左岸下段堤防长390.00m，堤防起点设在吊楼房子和对岸处自然封头，堤防末端位于与左岸支沟会和口处，形成封头防止河水淘刷。</w:t>
                  </w:r>
                  <w:r>
                    <w:rPr>
                      <w:rFonts w:hint="default" w:ascii="Times New Roman" w:hAnsi="Times New Roman" w:cs="Times New Roman"/>
                      <w:color w:val="auto"/>
                      <w:sz w:val="21"/>
                      <w:szCs w:val="21"/>
                      <w:highlight w:val="none"/>
                    </w:rPr>
                    <w:t>右岸</w:t>
                  </w:r>
                  <w:r>
                    <w:rPr>
                      <w:rFonts w:hint="default" w:ascii="Times New Roman" w:hAnsi="Times New Roman" w:cs="Times New Roman"/>
                      <w:b w:val="0"/>
                      <w:bCs w:val="0"/>
                      <w:color w:val="auto"/>
                      <w:sz w:val="21"/>
                      <w:szCs w:val="21"/>
                      <w:highlight w:val="none"/>
                      <w:lang w:val="zh-CN"/>
                    </w:rPr>
                    <w:t>堤防起点在吊楼房子旁公路桥处顺直衔接，自然封头；堤防末端位于胡田坝处，形成封头防止河水淘刷。二郎河口段堤防起点在杨家坝处，堤防终点在支沟和主沟汇合口处，形成封头防止河水淘刷。</w:t>
                  </w:r>
                </w:p>
                <w:p w14:paraId="044F7791">
                  <w:pPr>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cs="Times New Roman"/>
                      <w:b w:val="0"/>
                      <w:bCs w:val="0"/>
                      <w:color w:val="auto"/>
                      <w:sz w:val="21"/>
                      <w:szCs w:val="21"/>
                      <w:highlight w:val="none"/>
                      <w:lang w:val="zh-CN"/>
                    </w:rPr>
                  </w:pPr>
                  <w:r>
                    <w:rPr>
                      <w:rFonts w:hint="default" w:ascii="Times New Roman" w:hAnsi="Times New Roman" w:cs="Times New Roman"/>
                      <w:b w:val="0"/>
                      <w:bCs w:val="0"/>
                      <w:color w:val="auto"/>
                      <w:sz w:val="21"/>
                      <w:szCs w:val="21"/>
                      <w:highlight w:val="none"/>
                      <w:lang w:val="zh-CN"/>
                    </w:rPr>
                    <w:t>福兴段堤防</w:t>
                  </w:r>
                  <w:r>
                    <w:rPr>
                      <w:rFonts w:hint="default" w:ascii="Times New Roman" w:hAnsi="Times New Roman" w:cs="Times New Roman"/>
                      <w:b w:val="0"/>
                      <w:bCs w:val="0"/>
                      <w:color w:val="auto"/>
                      <w:sz w:val="21"/>
                      <w:szCs w:val="21"/>
                      <w:highlight w:val="none"/>
                      <w:lang w:val="zh-CN" w:eastAsia="zh-CN"/>
                    </w:rPr>
                    <w:t>：</w:t>
                  </w:r>
                  <w:r>
                    <w:rPr>
                      <w:rFonts w:hint="default" w:ascii="Times New Roman" w:hAnsi="Times New Roman" w:cs="Times New Roman"/>
                      <w:b w:val="0"/>
                      <w:bCs w:val="0"/>
                      <w:color w:val="auto"/>
                      <w:sz w:val="21"/>
                      <w:szCs w:val="21"/>
                      <w:highlight w:val="none"/>
                      <w:lang w:val="zh-CN"/>
                    </w:rPr>
                    <w:t>福兴段</w:t>
                  </w:r>
                  <w:r>
                    <w:rPr>
                      <w:rFonts w:hint="default" w:ascii="Times New Roman" w:hAnsi="Times New Roman" w:cs="Times New Roman"/>
                      <w:color w:val="auto"/>
                      <w:sz w:val="21"/>
                      <w:szCs w:val="21"/>
                      <w:highlight w:val="none"/>
                    </w:rPr>
                    <w:t>左岸</w:t>
                  </w:r>
                  <w:r>
                    <w:rPr>
                      <w:rFonts w:hint="default" w:ascii="Times New Roman" w:hAnsi="Times New Roman" w:cs="Times New Roman"/>
                      <w:b w:val="0"/>
                      <w:bCs w:val="0"/>
                      <w:color w:val="auto"/>
                      <w:sz w:val="21"/>
                      <w:szCs w:val="21"/>
                      <w:highlight w:val="none"/>
                      <w:lang w:val="zh-CN"/>
                    </w:rPr>
                    <w:t>堤防起点设在谢李家桥处顺直衔接，自然封头；堤防末端位于起点李家桥下游117.46m边坡处，形成封头防止河水淘刷。福兴段右岸起点设在谢二坝机耕桥丘陵处顺直衔接。堤防末端位于李家桥下游117.46m耕地边坡处，形成封头防止河水淘刷。</w:t>
                  </w:r>
                </w:p>
                <w:p w14:paraId="727614A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val="0"/>
                      <w:snapToGrid w:val="0"/>
                      <w:color w:val="auto"/>
                      <w:sz w:val="21"/>
                      <w:szCs w:val="21"/>
                      <w:highlight w:val="none"/>
                      <w:lang w:val="en-US" w:eastAsia="zh-CN" w:bidi="ar-SA"/>
                    </w:rPr>
                  </w:pPr>
                  <w:r>
                    <w:rPr>
                      <w:rFonts w:hint="eastAsia"/>
                      <w:color w:val="auto"/>
                      <w:sz w:val="21"/>
                      <w:szCs w:val="20"/>
                      <w:highlight w:val="none"/>
                      <w:u w:val="none"/>
                      <w:lang w:val="en-US" w:eastAsia="zh-CN"/>
                    </w:rPr>
                    <w:t>项目二郎段已于2024年2月开工建设，福兴段已于2024年4月开工建设，堤防工程部分内容已完成</w:t>
                  </w:r>
                  <w:r>
                    <w:rPr>
                      <w:color w:val="auto"/>
                      <w:sz w:val="21"/>
                      <w:szCs w:val="20"/>
                      <w:highlight w:val="none"/>
                      <w:u w:val="none"/>
                    </w:rPr>
                    <w:t>。</w:t>
                  </w:r>
                </w:p>
              </w:tc>
              <w:tc>
                <w:tcPr>
                  <w:tcW w:w="750" w:type="dxa"/>
                  <w:vMerge w:val="restart"/>
                  <w:noWrap w:val="0"/>
                  <w:vAlign w:val="center"/>
                </w:tcPr>
                <w:p w14:paraId="2B2FFDF7">
                  <w:pPr>
                    <w:pStyle w:val="23"/>
                    <w:spacing w:line="240" w:lineRule="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施工噪声、施工固废、施工扬尘、施工废水</w:t>
                  </w:r>
                  <w:r>
                    <w:rPr>
                      <w:rFonts w:hint="eastAsia" w:cs="Times New Roman"/>
                      <w:color w:val="auto"/>
                      <w:szCs w:val="21"/>
                      <w:highlight w:val="none"/>
                      <w:lang w:eastAsia="zh-CN"/>
                    </w:rPr>
                    <w:t>、</w:t>
                  </w:r>
                  <w:r>
                    <w:rPr>
                      <w:rFonts w:hint="eastAsia" w:cs="Times New Roman"/>
                      <w:color w:val="auto"/>
                      <w:szCs w:val="21"/>
                      <w:highlight w:val="none"/>
                      <w:lang w:val="en-US" w:eastAsia="zh-CN"/>
                    </w:rPr>
                    <w:t>生态</w:t>
                  </w:r>
                </w:p>
              </w:tc>
              <w:tc>
                <w:tcPr>
                  <w:tcW w:w="663" w:type="dxa"/>
                  <w:vMerge w:val="restart"/>
                  <w:noWrap w:val="0"/>
                  <w:vAlign w:val="center"/>
                </w:tcPr>
                <w:p w14:paraId="37CDA866">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41EC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5F45D68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highlight w:val="none"/>
                    </w:rPr>
                  </w:pPr>
                </w:p>
              </w:tc>
              <w:tc>
                <w:tcPr>
                  <w:tcW w:w="845" w:type="dxa"/>
                  <w:vMerge w:val="continue"/>
                  <w:noWrap w:val="0"/>
                  <w:vAlign w:val="center"/>
                </w:tcPr>
                <w:p w14:paraId="08F934C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highlight w:val="none"/>
                    </w:rPr>
                  </w:pPr>
                </w:p>
              </w:tc>
              <w:tc>
                <w:tcPr>
                  <w:tcW w:w="1045" w:type="dxa"/>
                  <w:gridSpan w:val="2"/>
                  <w:noWrap w:val="0"/>
                  <w:vAlign w:val="center"/>
                </w:tcPr>
                <w:p w14:paraId="4008C10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石河镇石河镇段、双拱场段</w:t>
                  </w:r>
                </w:p>
              </w:tc>
              <w:tc>
                <w:tcPr>
                  <w:tcW w:w="4961" w:type="dxa"/>
                  <w:shd w:val="clear" w:color="auto" w:fill="auto"/>
                  <w:noWrap w:val="0"/>
                  <w:vAlign w:val="center"/>
                </w:tcPr>
                <w:p w14:paraId="196330BC">
                  <w:pPr>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default" w:ascii="Times New Roman" w:hAnsi="Times New Roman" w:cs="Times New Roman"/>
                      <w:b w:val="0"/>
                      <w:bCs w:val="0"/>
                      <w:color w:val="auto"/>
                      <w:sz w:val="21"/>
                      <w:szCs w:val="21"/>
                      <w:highlight w:val="none"/>
                      <w:lang w:val="zh-CN"/>
                    </w:rPr>
                  </w:pPr>
                  <w:r>
                    <w:rPr>
                      <w:rFonts w:hint="eastAsia" w:cs="Times New Roman"/>
                      <w:color w:val="auto"/>
                      <w:sz w:val="21"/>
                      <w:szCs w:val="21"/>
                      <w:highlight w:val="none"/>
                      <w:lang w:eastAsia="zh-CN"/>
                    </w:rPr>
                    <w:t>石河镇段及双拱场</w:t>
                  </w:r>
                  <w:r>
                    <w:rPr>
                      <w:rFonts w:hint="eastAsia" w:cs="Times New Roman"/>
                      <w:color w:val="auto"/>
                      <w:sz w:val="21"/>
                      <w:szCs w:val="21"/>
                      <w:highlight w:val="none"/>
                      <w:lang w:val="en-US" w:eastAsia="zh-CN"/>
                    </w:rPr>
                    <w:t>段</w:t>
                  </w:r>
                  <w:r>
                    <w:rPr>
                      <w:rFonts w:hint="default" w:ascii="Times New Roman" w:hAnsi="Times New Roman" w:cs="Times New Roman"/>
                      <w:b w:val="0"/>
                      <w:bCs w:val="0"/>
                      <w:color w:val="auto"/>
                      <w:sz w:val="21"/>
                      <w:szCs w:val="21"/>
                      <w:highlight w:val="none"/>
                    </w:rPr>
                    <w:t>工程</w:t>
                  </w:r>
                  <w:r>
                    <w:rPr>
                      <w:rFonts w:hint="eastAsia" w:cs="Times New Roman"/>
                      <w:b w:val="0"/>
                      <w:bCs w:val="0"/>
                      <w:color w:val="auto"/>
                      <w:sz w:val="21"/>
                      <w:szCs w:val="21"/>
                      <w:highlight w:val="none"/>
                      <w:lang w:eastAsia="zh-CN"/>
                    </w:rPr>
                    <w:t>新建护岸总长3710m，</w:t>
                  </w:r>
                  <w:r>
                    <w:rPr>
                      <w:rFonts w:hint="eastAsia" w:cs="Times New Roman"/>
                      <w:b w:val="0"/>
                      <w:bCs w:val="0"/>
                      <w:color w:val="auto"/>
                      <w:sz w:val="21"/>
                      <w:szCs w:val="21"/>
                      <w:highlight w:val="none"/>
                      <w:lang w:val="zh-CN" w:eastAsia="zh-CN"/>
                    </w:rPr>
                    <w:t>其中柳城河石河镇段新建护岸长2038m，左岸长394m，</w:t>
                  </w:r>
                  <w:r>
                    <w:rPr>
                      <w:rFonts w:hint="eastAsia" w:cs="Times New Roman"/>
                      <w:b w:val="0"/>
                      <w:bCs w:val="0"/>
                      <w:color w:val="auto"/>
                      <w:sz w:val="21"/>
                      <w:szCs w:val="21"/>
                      <w:highlight w:val="none"/>
                      <w:lang w:eastAsia="zh-CN"/>
                    </w:rPr>
                    <w:t>起于张家大院子，止于朝门院子</w:t>
                  </w:r>
                  <w:r>
                    <w:rPr>
                      <w:rFonts w:hint="eastAsia" w:cs="Times New Roman"/>
                      <w:b w:val="0"/>
                      <w:bCs w:val="0"/>
                      <w:color w:val="auto"/>
                      <w:sz w:val="21"/>
                      <w:szCs w:val="21"/>
                      <w:highlight w:val="none"/>
                      <w:lang w:val="zh-CN" w:eastAsia="zh-CN"/>
                    </w:rPr>
                    <w:t>，右岸1644m，</w:t>
                  </w:r>
                  <w:r>
                    <w:rPr>
                      <w:rFonts w:hint="eastAsia" w:cs="Times New Roman"/>
                      <w:b w:val="0"/>
                      <w:bCs w:val="0"/>
                      <w:color w:val="auto"/>
                      <w:sz w:val="21"/>
                      <w:szCs w:val="21"/>
                      <w:highlight w:val="none"/>
                      <w:lang w:eastAsia="zh-CN"/>
                    </w:rPr>
                    <w:t>起于罗汉山，止于赖家湾</w:t>
                  </w:r>
                  <w:r>
                    <w:rPr>
                      <w:rFonts w:hint="eastAsia" w:cs="Times New Roman"/>
                      <w:b w:val="0"/>
                      <w:bCs w:val="0"/>
                      <w:color w:val="auto"/>
                      <w:sz w:val="21"/>
                      <w:szCs w:val="21"/>
                      <w:highlight w:val="none"/>
                      <w:lang w:val="zh-CN" w:eastAsia="zh-CN"/>
                    </w:rPr>
                    <w:t>；柳城河双拱场段新建护岸长1672m，左岸长823m，</w:t>
                  </w:r>
                  <w:r>
                    <w:rPr>
                      <w:rFonts w:hint="eastAsia" w:cs="Times New Roman"/>
                      <w:b w:val="0"/>
                      <w:bCs w:val="0"/>
                      <w:color w:val="auto"/>
                      <w:sz w:val="21"/>
                      <w:szCs w:val="21"/>
                      <w:highlight w:val="none"/>
                      <w:lang w:eastAsia="zh-CN"/>
                    </w:rPr>
                    <w:t>起于小湾，止于阳河咀</w:t>
                  </w:r>
                  <w:r>
                    <w:rPr>
                      <w:rFonts w:hint="eastAsia" w:cs="Times New Roman"/>
                      <w:b w:val="0"/>
                      <w:bCs w:val="0"/>
                      <w:color w:val="auto"/>
                      <w:sz w:val="21"/>
                      <w:szCs w:val="21"/>
                      <w:highlight w:val="none"/>
                      <w:lang w:val="zh-CN" w:eastAsia="zh-CN"/>
                    </w:rPr>
                    <w:t>，右岸长849m，</w:t>
                  </w:r>
                  <w:r>
                    <w:rPr>
                      <w:rFonts w:hint="eastAsia" w:cs="Times New Roman"/>
                      <w:b w:val="0"/>
                      <w:bCs w:val="0"/>
                      <w:color w:val="auto"/>
                      <w:sz w:val="21"/>
                      <w:szCs w:val="21"/>
                      <w:highlight w:val="none"/>
                      <w:lang w:eastAsia="zh-CN"/>
                    </w:rPr>
                    <w:t>起于小湾，止于阳河咀</w:t>
                  </w:r>
                  <w:r>
                    <w:rPr>
                      <w:rFonts w:hint="default" w:cs="Times New Roman"/>
                      <w:b w:val="0"/>
                      <w:bCs w:val="0"/>
                      <w:color w:val="auto"/>
                      <w:sz w:val="21"/>
                      <w:szCs w:val="21"/>
                      <w:highlight w:val="none"/>
                      <w:lang w:val="zh-CN" w:eastAsia="zh-CN"/>
                    </w:rPr>
                    <w:t>。</w:t>
                  </w:r>
                  <w:r>
                    <w:rPr>
                      <w:rFonts w:hint="eastAsia" w:cs="Times New Roman"/>
                      <w:b w:val="0"/>
                      <w:bCs w:val="0"/>
                      <w:color w:val="auto"/>
                      <w:sz w:val="21"/>
                      <w:szCs w:val="21"/>
                      <w:highlight w:val="none"/>
                      <w:lang w:eastAsia="zh-CN"/>
                    </w:rPr>
                    <w:t>堤线基本沿天然河道常年水边线布置，堤线平顺衔</w:t>
                  </w:r>
                  <w:r>
                    <w:rPr>
                      <w:color w:val="auto"/>
                      <w:sz w:val="21"/>
                      <w:szCs w:val="21"/>
                      <w:highlight w:val="none"/>
                    </w:rPr>
                    <w:t>接、无截弯取直、不渠化河道</w:t>
                  </w:r>
                  <w:r>
                    <w:rPr>
                      <w:rFonts w:hint="default" w:ascii="Times New Roman" w:hAnsi="Times New Roman" w:cs="Times New Roman"/>
                      <w:b w:val="0"/>
                      <w:bCs w:val="0"/>
                      <w:color w:val="auto"/>
                      <w:sz w:val="21"/>
                      <w:szCs w:val="21"/>
                      <w:highlight w:val="none"/>
                      <w:lang w:val="zh-CN"/>
                    </w:rPr>
                    <w:t>。</w:t>
                  </w:r>
                  <w:r>
                    <w:rPr>
                      <w:color w:val="auto"/>
                      <w:sz w:val="21"/>
                      <w:szCs w:val="21"/>
                      <w:highlight w:val="none"/>
                    </w:rPr>
                    <w:t>新建堤防</w:t>
                  </w:r>
                  <w:r>
                    <w:rPr>
                      <w:rFonts w:hint="eastAsia"/>
                      <w:color w:val="auto"/>
                      <w:sz w:val="21"/>
                      <w:szCs w:val="21"/>
                      <w:highlight w:val="none"/>
                      <w:lang w:val="en-US" w:eastAsia="zh-CN"/>
                    </w:rPr>
                    <w:t>均</w:t>
                  </w:r>
                  <w:r>
                    <w:rPr>
                      <w:color w:val="auto"/>
                      <w:sz w:val="21"/>
                      <w:szCs w:val="21"/>
                      <w:highlight w:val="none"/>
                    </w:rPr>
                    <w:t>为斜坡式</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护坡采用</w:t>
                  </w:r>
                  <w:r>
                    <w:rPr>
                      <w:color w:val="auto"/>
                      <w:sz w:val="21"/>
                      <w:szCs w:val="21"/>
                      <w:highlight w:val="none"/>
                    </w:rPr>
                    <w:t>C20砼镇脚+麦冬护坡</w:t>
                  </w:r>
                  <w:r>
                    <w:rPr>
                      <w:rFonts w:hint="eastAsia"/>
                      <w:color w:val="auto"/>
                      <w:sz w:val="21"/>
                      <w:szCs w:val="21"/>
                      <w:highlight w:val="none"/>
                      <w:lang w:eastAsia="zh-CN"/>
                    </w:rPr>
                    <w:t>，</w:t>
                  </w:r>
                  <w:r>
                    <w:rPr>
                      <w:color w:val="auto"/>
                      <w:sz w:val="21"/>
                      <w:szCs w:val="21"/>
                      <w:highlight w:val="none"/>
                    </w:rPr>
                    <w:t>镇脚采用C25混凝土重力式挡墙</w:t>
                  </w:r>
                  <w:r>
                    <w:rPr>
                      <w:rFonts w:hint="default" w:ascii="Times New Roman" w:hAnsi="Times New Roman" w:cs="Times New Roman"/>
                      <w:color w:val="auto"/>
                      <w:sz w:val="21"/>
                      <w:szCs w:val="21"/>
                      <w:highlight w:val="none"/>
                    </w:rPr>
                    <w:t>。</w:t>
                  </w:r>
                </w:p>
                <w:p w14:paraId="0255EEA6">
                  <w:pPr>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eastAsia" w:ascii="Times New Roman" w:hAnsi="Times New Roman" w:eastAsia="宋体" w:cs="Times New Roman"/>
                      <w:b w:val="0"/>
                      <w:bCs w:val="0"/>
                      <w:color w:val="auto"/>
                      <w:sz w:val="21"/>
                      <w:szCs w:val="21"/>
                      <w:highlight w:val="none"/>
                      <w:lang w:val="zh-CN" w:eastAsia="zh-CN"/>
                    </w:rPr>
                  </w:pPr>
                  <w:r>
                    <w:rPr>
                      <w:rFonts w:hint="eastAsia" w:cs="Times New Roman"/>
                      <w:b w:val="0"/>
                      <w:bCs w:val="0"/>
                      <w:color w:val="auto"/>
                      <w:sz w:val="21"/>
                      <w:szCs w:val="21"/>
                      <w:highlight w:val="none"/>
                      <w:lang w:val="zh-CN"/>
                    </w:rPr>
                    <w:t>石河镇段</w:t>
                  </w:r>
                  <w:r>
                    <w:rPr>
                      <w:rFonts w:hint="default" w:ascii="Times New Roman" w:hAnsi="Times New Roman" w:cs="Times New Roman"/>
                      <w:b w:val="0"/>
                      <w:bCs w:val="0"/>
                      <w:color w:val="auto"/>
                      <w:sz w:val="21"/>
                      <w:szCs w:val="21"/>
                      <w:highlight w:val="none"/>
                      <w:lang w:val="zh-CN"/>
                    </w:rPr>
                    <w:t>堤防</w:t>
                  </w:r>
                  <w:r>
                    <w:rPr>
                      <w:rFonts w:hint="default" w:ascii="Times New Roman" w:hAnsi="Times New Roman" w:cs="Times New Roman"/>
                      <w:b w:val="0"/>
                      <w:bCs w:val="0"/>
                      <w:color w:val="auto"/>
                      <w:sz w:val="21"/>
                      <w:szCs w:val="21"/>
                      <w:highlight w:val="none"/>
                      <w:lang w:val="zh-CN" w:eastAsia="zh-CN"/>
                    </w:rPr>
                    <w:t>：</w:t>
                  </w:r>
                  <w:r>
                    <w:rPr>
                      <w:rFonts w:hint="eastAsia" w:cs="Times New Roman"/>
                      <w:b w:val="0"/>
                      <w:bCs w:val="0"/>
                      <w:color w:val="auto"/>
                      <w:sz w:val="21"/>
                      <w:szCs w:val="21"/>
                      <w:highlight w:val="none"/>
                      <w:lang w:eastAsia="zh-CN"/>
                    </w:rPr>
                    <w:t>新建护岸长2038m（左岸394m，右岸1644m），</w:t>
                  </w:r>
                  <w:r>
                    <w:rPr>
                      <w:color w:val="auto"/>
                      <w:sz w:val="21"/>
                      <w:szCs w:val="21"/>
                      <w:highlight w:val="none"/>
                    </w:rPr>
                    <w:t>桩号</w:t>
                  </w:r>
                  <w:r>
                    <w:rPr>
                      <w:rFonts w:hint="eastAsia"/>
                      <w:color w:val="auto"/>
                      <w:sz w:val="21"/>
                      <w:szCs w:val="21"/>
                      <w:highlight w:val="none"/>
                      <w:lang w:val="en-US" w:eastAsia="zh-CN"/>
                    </w:rPr>
                    <w:t>为</w:t>
                  </w:r>
                  <w:r>
                    <w:rPr>
                      <w:color w:val="auto"/>
                      <w:sz w:val="21"/>
                      <w:szCs w:val="21"/>
                      <w:highlight w:val="none"/>
                    </w:rPr>
                    <w:t>石Z0+447～石Z0+841、石Y0+428～石Y0+953、石Y0+965～石Y2+084段</w:t>
                  </w:r>
                  <w:r>
                    <w:rPr>
                      <w:rFonts w:hint="eastAsia"/>
                      <w:color w:val="auto"/>
                      <w:sz w:val="21"/>
                      <w:szCs w:val="21"/>
                      <w:highlight w:val="none"/>
                      <w:lang w:eastAsia="zh-CN"/>
                    </w:rPr>
                    <w:t>，</w:t>
                  </w:r>
                  <w:r>
                    <w:rPr>
                      <w:color w:val="auto"/>
                      <w:sz w:val="21"/>
                      <w:szCs w:val="21"/>
                      <w:highlight w:val="none"/>
                    </w:rPr>
                    <w:t>在P=20%水位以上0.5m新建堤顶步道，堤顶步道宽2.0m，临水侧设置防浪墙+</w:t>
                  </w:r>
                  <w:r>
                    <w:rPr>
                      <w:rFonts w:hint="eastAsia"/>
                      <w:color w:val="auto"/>
                      <w:sz w:val="21"/>
                      <w:szCs w:val="21"/>
                      <w:highlight w:val="none"/>
                    </w:rPr>
                    <w:t>青石栏杆</w:t>
                  </w:r>
                  <w:r>
                    <w:rPr>
                      <w:rFonts w:hint="default" w:ascii="Times New Roman" w:hAnsi="Times New Roman" w:cs="Times New Roman"/>
                      <w:b w:val="0"/>
                      <w:bCs w:val="0"/>
                      <w:color w:val="auto"/>
                      <w:sz w:val="21"/>
                      <w:szCs w:val="21"/>
                      <w:highlight w:val="none"/>
                      <w:lang w:val="zh-CN"/>
                    </w:rPr>
                    <w:t>。</w:t>
                  </w:r>
                  <w:r>
                    <w:rPr>
                      <w:color w:val="auto"/>
                      <w:sz w:val="21"/>
                      <w:szCs w:val="21"/>
                      <w:highlight w:val="none"/>
                    </w:rPr>
                    <w:t>堤顶步道以上岸坡坡比结合现状地形采用不统一的稳定坡比与现状岸坡平顺衔接或维持现状，局部堤段由于现状地势较低，堤顶步道背水侧需土石压实填筑，坡比1:2，坡面采用草皮护坡（台湾二号草皮），背水侧坡脚修建C25砼排水沟。堤顶步道以下斜坡坡比1:1.75，坡面采用C25钢筋砼框格梁+空心</w:t>
                  </w:r>
                  <w:r>
                    <w:rPr>
                      <w:rFonts w:hint="eastAsia"/>
                      <w:color w:val="auto"/>
                      <w:sz w:val="21"/>
                      <w:szCs w:val="21"/>
                      <w:highlight w:val="none"/>
                    </w:rPr>
                    <w:t>（实心）</w:t>
                  </w:r>
                  <w:r>
                    <w:rPr>
                      <w:color w:val="auto"/>
                      <w:sz w:val="21"/>
                      <w:szCs w:val="21"/>
                      <w:highlight w:val="none"/>
                    </w:rPr>
                    <w:t>六棱块+麦冬护坡；斜坡坡脚新建C25混凝土重力式挡墙，挡墙高2.0～3.5m，墙顶宽0.8m，墙背采用开挖料压实回填，墙身设排水孔，呈梅花型布设，排水管进水口设碎石反滤包</w:t>
                  </w:r>
                  <w:r>
                    <w:rPr>
                      <w:rFonts w:hint="eastAsia"/>
                      <w:color w:val="auto"/>
                      <w:sz w:val="21"/>
                      <w:szCs w:val="21"/>
                      <w:highlight w:val="none"/>
                      <w:lang w:eastAsia="zh-CN"/>
                    </w:rPr>
                    <w:t>。</w:t>
                  </w:r>
                </w:p>
                <w:p w14:paraId="79572CFA">
                  <w:pPr>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eastAsia"/>
                      <w:color w:val="auto"/>
                      <w:sz w:val="21"/>
                      <w:szCs w:val="21"/>
                      <w:highlight w:val="none"/>
                      <w:lang w:eastAsia="zh-CN"/>
                    </w:rPr>
                  </w:pPr>
                  <w:r>
                    <w:rPr>
                      <w:rFonts w:hint="eastAsia" w:cs="Times New Roman"/>
                      <w:b w:val="0"/>
                      <w:bCs w:val="0"/>
                      <w:color w:val="auto"/>
                      <w:sz w:val="21"/>
                      <w:szCs w:val="21"/>
                      <w:highlight w:val="none"/>
                      <w:lang w:val="zh-CN"/>
                    </w:rPr>
                    <w:t>双拱场段</w:t>
                  </w:r>
                  <w:r>
                    <w:rPr>
                      <w:rFonts w:hint="default" w:ascii="Times New Roman" w:hAnsi="Times New Roman" w:cs="Times New Roman"/>
                      <w:b w:val="0"/>
                      <w:bCs w:val="0"/>
                      <w:color w:val="auto"/>
                      <w:sz w:val="21"/>
                      <w:szCs w:val="21"/>
                      <w:highlight w:val="none"/>
                      <w:lang w:val="zh-CN"/>
                    </w:rPr>
                    <w:t>堤防</w:t>
                  </w:r>
                  <w:r>
                    <w:rPr>
                      <w:rFonts w:hint="default" w:ascii="Times New Roman" w:hAnsi="Times New Roman" w:cs="Times New Roman"/>
                      <w:b w:val="0"/>
                      <w:bCs w:val="0"/>
                      <w:color w:val="auto"/>
                      <w:sz w:val="21"/>
                      <w:szCs w:val="21"/>
                      <w:highlight w:val="none"/>
                      <w:lang w:val="zh-CN" w:eastAsia="zh-CN"/>
                    </w:rPr>
                    <w:t>：</w:t>
                  </w:r>
                  <w:r>
                    <w:rPr>
                      <w:rFonts w:hint="eastAsia" w:cs="Times New Roman"/>
                      <w:b w:val="0"/>
                      <w:bCs w:val="0"/>
                      <w:color w:val="auto"/>
                      <w:sz w:val="21"/>
                      <w:szCs w:val="21"/>
                      <w:highlight w:val="none"/>
                      <w:lang w:eastAsia="zh-CN"/>
                    </w:rPr>
                    <w:t>新建护岸长1672m（左岸823m，右岸849m），</w:t>
                  </w:r>
                  <w:r>
                    <w:rPr>
                      <w:color w:val="auto"/>
                      <w:sz w:val="21"/>
                      <w:szCs w:val="21"/>
                      <w:highlight w:val="none"/>
                    </w:rPr>
                    <w:t>桩号</w:t>
                  </w:r>
                  <w:r>
                    <w:rPr>
                      <w:rFonts w:hint="eastAsia"/>
                      <w:color w:val="auto"/>
                      <w:sz w:val="21"/>
                      <w:szCs w:val="21"/>
                      <w:highlight w:val="none"/>
                      <w:lang w:val="en-US" w:eastAsia="zh-CN"/>
                    </w:rPr>
                    <w:t>为</w:t>
                  </w:r>
                  <w:r>
                    <w:rPr>
                      <w:color w:val="auto"/>
                      <w:sz w:val="21"/>
                      <w:szCs w:val="21"/>
                      <w:highlight w:val="none"/>
                    </w:rPr>
                    <w:t>双Z0+129～双Z0+393、双Z0+682～双Z1+241段、双Y0+123～双Y0+446、双Y0+712～双Y1+238段</w:t>
                  </w:r>
                  <w:r>
                    <w:rPr>
                      <w:rFonts w:hint="default" w:ascii="Times New Roman" w:hAnsi="Times New Roman" w:cs="Times New Roman"/>
                      <w:b w:val="0"/>
                      <w:bCs w:val="0"/>
                      <w:color w:val="auto"/>
                      <w:sz w:val="21"/>
                      <w:szCs w:val="21"/>
                      <w:highlight w:val="none"/>
                      <w:lang w:val="zh-CN"/>
                    </w:rPr>
                    <w:t>。</w:t>
                  </w:r>
                  <w:r>
                    <w:rPr>
                      <w:color w:val="auto"/>
                      <w:sz w:val="21"/>
                      <w:szCs w:val="21"/>
                      <w:highlight w:val="none"/>
                    </w:rPr>
                    <w:t>新建堤防为斜坡式，在P=20%水位以上0.5m新建堤顶步道，堤顶步道宽2.0m，临水侧设置防浪墙+</w:t>
                  </w:r>
                  <w:r>
                    <w:rPr>
                      <w:rFonts w:hint="eastAsia"/>
                      <w:color w:val="auto"/>
                      <w:sz w:val="21"/>
                      <w:szCs w:val="21"/>
                      <w:highlight w:val="none"/>
                    </w:rPr>
                    <w:t>青石栏杆</w:t>
                  </w:r>
                  <w:r>
                    <w:rPr>
                      <w:color w:val="auto"/>
                      <w:sz w:val="21"/>
                      <w:szCs w:val="21"/>
                      <w:highlight w:val="none"/>
                    </w:rPr>
                    <w:t>。堤顶步道以上岸坡坡比结合现状地形采用不统一的稳定坡比与现状岸坡平顺衔接或维持现状，局部堤段由于现状地势较低，堤顶步道背水侧需土石压实填筑，坡比1:2，坡面采用草皮护坡（台湾二号草皮），背水侧坡脚修建C25砼排水沟。堤顶步道以下斜坡坡比1:1.75，坡面采用C25钢筋砼框格梁+空心</w:t>
                  </w:r>
                  <w:r>
                    <w:rPr>
                      <w:rFonts w:hint="eastAsia"/>
                      <w:color w:val="auto"/>
                      <w:sz w:val="21"/>
                      <w:szCs w:val="21"/>
                      <w:highlight w:val="none"/>
                    </w:rPr>
                    <w:t>（实心）</w:t>
                  </w:r>
                  <w:r>
                    <w:rPr>
                      <w:color w:val="auto"/>
                      <w:sz w:val="21"/>
                      <w:szCs w:val="21"/>
                      <w:highlight w:val="none"/>
                    </w:rPr>
                    <w:t>六棱块+麦冬护坡；斜坡坡脚新建C25混凝土重力式挡墙，挡墙高2.0～4.0m，墙顶宽0.8m，墙背采用开挖料压实回填，墙身设排水孔，呈梅花型布设，排水管进水口设碎石反滤包</w:t>
                  </w:r>
                  <w:r>
                    <w:rPr>
                      <w:rFonts w:hint="eastAsia"/>
                      <w:color w:val="auto"/>
                      <w:sz w:val="21"/>
                      <w:szCs w:val="21"/>
                      <w:highlight w:val="none"/>
                      <w:lang w:eastAsia="zh-CN"/>
                    </w:rPr>
                    <w:t>。</w:t>
                  </w:r>
                </w:p>
                <w:p w14:paraId="70D73FE1">
                  <w:pPr>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both"/>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0"/>
                      <w:highlight w:val="none"/>
                      <w:u w:val="none"/>
                      <w:lang w:val="en-US" w:eastAsia="zh-CN"/>
                    </w:rPr>
                    <w:t>项目石河镇段已于</w:t>
                  </w:r>
                  <w:r>
                    <w:rPr>
                      <w:rFonts w:hint="eastAsia"/>
                      <w:color w:val="auto"/>
                      <w:sz w:val="21"/>
                      <w:szCs w:val="20"/>
                      <w:highlight w:val="none"/>
                      <w:u w:val="none"/>
                      <w:lang w:eastAsia="zh-CN"/>
                    </w:rPr>
                    <w:t>2023年11月开工建设</w:t>
                  </w:r>
                  <w:r>
                    <w:rPr>
                      <w:rFonts w:hint="eastAsia"/>
                      <w:color w:val="auto"/>
                      <w:sz w:val="21"/>
                      <w:szCs w:val="20"/>
                      <w:highlight w:val="none"/>
                      <w:u w:val="none"/>
                      <w:lang w:val="en-US" w:eastAsia="zh-CN"/>
                    </w:rPr>
                    <w:t>，堤防工程部分内容已完成</w:t>
                  </w:r>
                  <w:r>
                    <w:rPr>
                      <w:color w:val="auto"/>
                      <w:sz w:val="21"/>
                      <w:szCs w:val="20"/>
                      <w:highlight w:val="none"/>
                      <w:u w:val="none"/>
                    </w:rPr>
                    <w:t>。</w:t>
                  </w:r>
                </w:p>
              </w:tc>
              <w:tc>
                <w:tcPr>
                  <w:tcW w:w="750" w:type="dxa"/>
                  <w:vMerge w:val="continue"/>
                  <w:noWrap w:val="0"/>
                  <w:vAlign w:val="center"/>
                </w:tcPr>
                <w:p w14:paraId="6CCA80B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b w:val="0"/>
                      <w:bCs w:val="0"/>
                      <w:color w:val="auto"/>
                      <w:sz w:val="21"/>
                      <w:szCs w:val="21"/>
                      <w:highlight w:val="none"/>
                      <w:lang w:val="en-US" w:eastAsia="zh-CN"/>
                    </w:rPr>
                  </w:pPr>
                </w:p>
              </w:tc>
              <w:tc>
                <w:tcPr>
                  <w:tcW w:w="663" w:type="dxa"/>
                  <w:vMerge w:val="continue"/>
                  <w:noWrap w:val="0"/>
                  <w:vAlign w:val="center"/>
                </w:tcPr>
                <w:p w14:paraId="4149329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b w:val="0"/>
                      <w:bCs w:val="0"/>
                      <w:color w:val="auto"/>
                      <w:sz w:val="21"/>
                      <w:szCs w:val="21"/>
                      <w:highlight w:val="none"/>
                      <w:lang w:val="en-US" w:eastAsia="zh-CN"/>
                    </w:rPr>
                  </w:pPr>
                </w:p>
              </w:tc>
            </w:tr>
            <w:tr w14:paraId="0B0D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718664B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b w:val="0"/>
                      <w:bCs w:val="0"/>
                      <w:color w:val="auto"/>
                      <w:sz w:val="21"/>
                      <w:szCs w:val="21"/>
                      <w:highlight w:val="none"/>
                      <w:lang w:val="en-US" w:eastAsia="zh-CN"/>
                    </w:rPr>
                  </w:pPr>
                </w:p>
              </w:tc>
              <w:tc>
                <w:tcPr>
                  <w:tcW w:w="845" w:type="dxa"/>
                  <w:vMerge w:val="continue"/>
                  <w:noWrap w:val="0"/>
                  <w:vAlign w:val="center"/>
                </w:tcPr>
                <w:p w14:paraId="6E8F2A8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b w:val="0"/>
                      <w:bCs w:val="0"/>
                      <w:color w:val="auto"/>
                      <w:sz w:val="21"/>
                      <w:szCs w:val="21"/>
                      <w:highlight w:val="none"/>
                      <w:lang w:val="en-US" w:eastAsia="zh-CN"/>
                    </w:rPr>
                  </w:pPr>
                </w:p>
              </w:tc>
              <w:tc>
                <w:tcPr>
                  <w:tcW w:w="1045" w:type="dxa"/>
                  <w:gridSpan w:val="2"/>
                  <w:noWrap w:val="0"/>
                  <w:vAlign w:val="center"/>
                </w:tcPr>
                <w:p w14:paraId="2F97A46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东柳河清河镇段</w:t>
                  </w:r>
                </w:p>
              </w:tc>
              <w:tc>
                <w:tcPr>
                  <w:tcW w:w="4961" w:type="dxa"/>
                  <w:shd w:val="clear" w:color="auto" w:fill="auto"/>
                  <w:noWrap w:val="0"/>
                  <w:vAlign w:val="center"/>
                </w:tcPr>
                <w:p w14:paraId="1288EF1A">
                  <w:pPr>
                    <w:pStyle w:val="18"/>
                    <w:spacing w:line="240" w:lineRule="auto"/>
                    <w:ind w:firstLine="0" w:firstLineChars="0"/>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新建堤防总长度4512m，左岸新建2435m、右岸新建2077m。其中，东柳河干流段4131m：左岸新建堤防2321m(B段1050m、C段1271m）；右岸新建堤防1810m（A段1745m、B段65m）。</w:t>
                  </w:r>
                </w:p>
                <w:p w14:paraId="0C5C11F6">
                  <w:pPr>
                    <w:pStyle w:val="18"/>
                    <w:spacing w:line="240" w:lineRule="auto"/>
                    <w:ind w:firstLine="0" w:firstLineChars="0"/>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田家沟支流段381m：左岸新建堤防114m(C段）；右岸新建堤防267m（C段）。</w:t>
                  </w:r>
                </w:p>
                <w:p w14:paraId="6731EDA8">
                  <w:pPr>
                    <w:pStyle w:val="18"/>
                    <w:spacing w:line="240" w:lineRule="auto"/>
                    <w:ind w:firstLine="0" w:firstLineChars="0"/>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护坡：采用三维土工网垫+草皮护坡。</w:t>
                  </w:r>
                </w:p>
                <w:p w14:paraId="4BA93B6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亲水步道：合适位置新建2.0m宽的亲水步道长1652m，其中：干流段长1271m，支流段长381m。</w:t>
                  </w:r>
                </w:p>
                <w:p w14:paraId="5A8A4E1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清河镇段于2023年3月开工，2025年1月主体工程竣工。目前在准备验收资料。</w:t>
                  </w:r>
                </w:p>
              </w:tc>
              <w:tc>
                <w:tcPr>
                  <w:tcW w:w="750" w:type="dxa"/>
                  <w:vMerge w:val="continue"/>
                  <w:noWrap w:val="0"/>
                  <w:vAlign w:val="center"/>
                </w:tcPr>
                <w:p w14:paraId="20FA9B8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b w:val="0"/>
                      <w:bCs w:val="0"/>
                      <w:color w:val="auto"/>
                      <w:sz w:val="21"/>
                      <w:szCs w:val="21"/>
                      <w:highlight w:val="none"/>
                      <w:lang w:val="en-US" w:eastAsia="zh-CN"/>
                    </w:rPr>
                  </w:pPr>
                </w:p>
              </w:tc>
              <w:tc>
                <w:tcPr>
                  <w:tcW w:w="663" w:type="dxa"/>
                  <w:vMerge w:val="continue"/>
                  <w:noWrap w:val="0"/>
                  <w:vAlign w:val="center"/>
                </w:tcPr>
                <w:p w14:paraId="059BCA2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b w:val="0"/>
                      <w:bCs w:val="0"/>
                      <w:color w:val="auto"/>
                      <w:sz w:val="21"/>
                      <w:szCs w:val="21"/>
                      <w:highlight w:val="none"/>
                      <w:lang w:val="en-US" w:eastAsia="zh-CN"/>
                    </w:rPr>
                  </w:pPr>
                </w:p>
              </w:tc>
            </w:tr>
            <w:tr w14:paraId="58E1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25FF717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b w:val="0"/>
                      <w:bCs w:val="0"/>
                      <w:color w:val="auto"/>
                      <w:sz w:val="21"/>
                      <w:szCs w:val="21"/>
                      <w:highlight w:val="none"/>
                      <w:lang w:val="en-US" w:eastAsia="zh-CN"/>
                    </w:rPr>
                  </w:pPr>
                </w:p>
              </w:tc>
              <w:tc>
                <w:tcPr>
                  <w:tcW w:w="845" w:type="dxa"/>
                  <w:vMerge w:val="continue"/>
                  <w:noWrap w:val="0"/>
                  <w:vAlign w:val="center"/>
                </w:tcPr>
                <w:p w14:paraId="1E3CEED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b w:val="0"/>
                      <w:bCs w:val="0"/>
                      <w:color w:val="auto"/>
                      <w:sz w:val="21"/>
                      <w:szCs w:val="21"/>
                      <w:highlight w:val="none"/>
                      <w:lang w:val="en-US" w:eastAsia="zh-CN"/>
                    </w:rPr>
                  </w:pPr>
                </w:p>
              </w:tc>
              <w:tc>
                <w:tcPr>
                  <w:tcW w:w="1045" w:type="dxa"/>
                  <w:gridSpan w:val="2"/>
                  <w:noWrap w:val="0"/>
                  <w:vAlign w:val="center"/>
                </w:tcPr>
                <w:p w14:paraId="7148DEA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东柳河杨家镇段</w:t>
                  </w:r>
                </w:p>
              </w:tc>
              <w:tc>
                <w:tcPr>
                  <w:tcW w:w="4961" w:type="dxa"/>
                  <w:shd w:val="clear" w:color="auto" w:fill="auto"/>
                  <w:noWrap w:val="0"/>
                  <w:vAlign w:val="center"/>
                </w:tcPr>
                <w:p w14:paraId="504ACEBA">
                  <w:pPr>
                    <w:pStyle w:val="18"/>
                    <w:spacing w:line="240" w:lineRule="auto"/>
                    <w:ind w:firstLine="0" w:firstLineChars="0"/>
                    <w:rPr>
                      <w:rFonts w:hint="eastAsia" w:ascii="Times New Roman" w:hAnsi="Times New Roman" w:eastAsia="宋体"/>
                      <w:b w:val="0"/>
                      <w:bCs/>
                      <w:color w:val="auto"/>
                      <w:sz w:val="21"/>
                      <w:szCs w:val="21"/>
                      <w:highlight w:val="none"/>
                      <w:lang w:eastAsia="zh-CN"/>
                    </w:rPr>
                  </w:pPr>
                  <w:r>
                    <w:rPr>
                      <w:rFonts w:hint="eastAsia" w:ascii="Times New Roman" w:hAnsi="Times New Roman" w:eastAsia="宋体"/>
                      <w:b w:val="0"/>
                      <w:bCs/>
                      <w:color w:val="auto"/>
                      <w:sz w:val="21"/>
                      <w:szCs w:val="21"/>
                      <w:highlight w:val="none"/>
                    </w:rPr>
                    <w:t>新建堤防总长度4689m</w:t>
                  </w:r>
                  <w:r>
                    <w:rPr>
                      <w:rFonts w:hint="eastAsia" w:ascii="Times New Roman" w:hAnsi="Times New Roman" w:eastAsia="宋体"/>
                      <w:b w:val="0"/>
                      <w:bCs/>
                      <w:color w:val="auto"/>
                      <w:sz w:val="21"/>
                      <w:szCs w:val="21"/>
                      <w:highlight w:val="none"/>
                      <w:lang w:eastAsia="zh-CN"/>
                    </w:rPr>
                    <w:t>。</w:t>
                  </w:r>
                  <w:r>
                    <w:rPr>
                      <w:rFonts w:hint="eastAsia" w:ascii="Times New Roman" w:hAnsi="Times New Roman" w:eastAsia="宋体"/>
                      <w:b w:val="0"/>
                      <w:bCs/>
                      <w:color w:val="auto"/>
                      <w:sz w:val="21"/>
                      <w:szCs w:val="21"/>
                      <w:highlight w:val="none"/>
                    </w:rPr>
                    <w:t>其中</w:t>
                  </w:r>
                  <w:r>
                    <w:rPr>
                      <w:rFonts w:hint="eastAsia" w:ascii="Times New Roman" w:hAnsi="Times New Roman" w:eastAsia="宋体"/>
                      <w:b w:val="0"/>
                      <w:bCs/>
                      <w:color w:val="auto"/>
                      <w:sz w:val="21"/>
                      <w:szCs w:val="21"/>
                      <w:highlight w:val="none"/>
                      <w:lang w:eastAsia="zh-CN"/>
                    </w:rPr>
                    <w:t>，</w:t>
                  </w:r>
                  <w:r>
                    <w:rPr>
                      <w:rFonts w:hint="eastAsia" w:ascii="Times New Roman" w:hAnsi="Times New Roman" w:eastAsia="宋体"/>
                      <w:b w:val="0"/>
                      <w:bCs/>
                      <w:color w:val="auto"/>
                      <w:sz w:val="21"/>
                      <w:szCs w:val="21"/>
                      <w:highlight w:val="none"/>
                    </w:rPr>
                    <w:t>主河道新建堤防长3963m（左岸1624m；右岸2339m）；清溪沟支流段新建堤防长392m（左岸196m，右岸196m）；蚂蟥沟支流段新建堤防长334m（左岸164m，右岸170m）</w:t>
                  </w:r>
                  <w:r>
                    <w:rPr>
                      <w:rFonts w:hint="eastAsia" w:ascii="Times New Roman" w:hAnsi="Times New Roman" w:eastAsia="宋体"/>
                      <w:b w:val="0"/>
                      <w:bCs/>
                      <w:color w:val="auto"/>
                      <w:sz w:val="21"/>
                      <w:szCs w:val="21"/>
                      <w:highlight w:val="none"/>
                      <w:lang w:eastAsia="zh-CN"/>
                    </w:rPr>
                    <w:t>。</w:t>
                  </w:r>
                </w:p>
                <w:p w14:paraId="7A466A4D">
                  <w:pPr>
                    <w:pStyle w:val="18"/>
                    <w:spacing w:line="240" w:lineRule="auto"/>
                    <w:ind w:firstLine="0" w:firstLineChars="0"/>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护坡：采用</w:t>
                  </w:r>
                  <w:r>
                    <w:rPr>
                      <w:rFonts w:hint="eastAsia" w:ascii="Times New Roman" w:hAnsi="Times New Roman" w:eastAsia="宋体" w:cs="Times New Roman"/>
                      <w:b w:val="0"/>
                      <w:bCs/>
                      <w:color w:val="auto"/>
                      <w:sz w:val="21"/>
                      <w:szCs w:val="21"/>
                      <w:highlight w:val="none"/>
                      <w:lang w:val="en-US" w:eastAsia="zh-CN"/>
                    </w:rPr>
                    <w:t>三维土工网垫+草皮护坡。</w:t>
                  </w:r>
                </w:p>
                <w:p w14:paraId="7712F1D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亲水步道：合适位置设置亲水马道，马道设计步道顶高程以设计洪水位（P=50%）的高程控制。步道结构层从上至下分别为0.05m厚青石板，0.05m水泥砂浆，0.1m厚C20砼垫层，0.1m碎石垫层。两侧设置C20砼路沿石，迎水侧为尺寸0.3×0.3m，背水侧为0.15×0.3m，临水侧设置警示桩，高度0.6m。</w:t>
                  </w:r>
                </w:p>
                <w:p w14:paraId="6C05C70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2023年3月开工，2025年1月主体工程竣工。目前在准备验收资料。</w:t>
                  </w:r>
                </w:p>
              </w:tc>
              <w:tc>
                <w:tcPr>
                  <w:tcW w:w="750" w:type="dxa"/>
                  <w:vMerge w:val="continue"/>
                  <w:noWrap w:val="0"/>
                  <w:vAlign w:val="center"/>
                </w:tcPr>
                <w:p w14:paraId="30CA8A8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b w:val="0"/>
                      <w:bCs w:val="0"/>
                      <w:color w:val="auto"/>
                      <w:sz w:val="21"/>
                      <w:szCs w:val="21"/>
                      <w:highlight w:val="none"/>
                      <w:lang w:val="en-US" w:eastAsia="zh-CN"/>
                    </w:rPr>
                  </w:pPr>
                </w:p>
              </w:tc>
              <w:tc>
                <w:tcPr>
                  <w:tcW w:w="663" w:type="dxa"/>
                  <w:vMerge w:val="continue"/>
                  <w:noWrap w:val="0"/>
                  <w:vAlign w:val="center"/>
                </w:tcPr>
                <w:p w14:paraId="3184C1C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s="Times New Roman"/>
                      <w:b w:val="0"/>
                      <w:bCs w:val="0"/>
                      <w:color w:val="auto"/>
                      <w:sz w:val="21"/>
                      <w:szCs w:val="21"/>
                      <w:highlight w:val="none"/>
                      <w:lang w:val="en-US" w:eastAsia="zh-CN"/>
                    </w:rPr>
                  </w:pPr>
                </w:p>
              </w:tc>
            </w:tr>
            <w:tr w14:paraId="5E0F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05676984">
                  <w:pPr>
                    <w:pStyle w:val="23"/>
                    <w:spacing w:line="240" w:lineRule="auto"/>
                    <w:rPr>
                      <w:rFonts w:hint="default" w:ascii="Times New Roman" w:hAnsi="Times New Roman" w:cs="Times New Roman"/>
                      <w:color w:val="auto"/>
                      <w:szCs w:val="21"/>
                      <w:highlight w:val="none"/>
                    </w:rPr>
                  </w:pPr>
                </w:p>
              </w:tc>
              <w:tc>
                <w:tcPr>
                  <w:tcW w:w="845" w:type="dxa"/>
                  <w:vMerge w:val="restart"/>
                  <w:noWrap w:val="0"/>
                  <w:vAlign w:val="center"/>
                </w:tcPr>
                <w:p w14:paraId="2C23E12B">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排涝</w:t>
                  </w:r>
                </w:p>
                <w:p w14:paraId="4E214E1D">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w:t>
                  </w:r>
                </w:p>
              </w:tc>
              <w:tc>
                <w:tcPr>
                  <w:tcW w:w="1045" w:type="dxa"/>
                  <w:gridSpan w:val="2"/>
                  <w:shd w:val="clear" w:color="auto" w:fill="auto"/>
                  <w:noWrap w:val="0"/>
                  <w:vAlign w:val="center"/>
                </w:tcPr>
                <w:p w14:paraId="3157A88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石河镇二郎段、福兴段</w:t>
                  </w:r>
                </w:p>
              </w:tc>
              <w:tc>
                <w:tcPr>
                  <w:tcW w:w="4961" w:type="dxa"/>
                  <w:shd w:val="clear" w:color="auto" w:fill="auto"/>
                  <w:noWrap w:val="0"/>
                  <w:vAlign w:val="center"/>
                </w:tcPr>
                <w:p w14:paraId="54684A8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snapToGrid w:val="0"/>
                      <w:color w:val="auto"/>
                      <w:sz w:val="21"/>
                      <w:szCs w:val="21"/>
                      <w:highlight w:val="none"/>
                    </w:rPr>
                    <w:t>在干流和支流段合适地方，新建排涝管涵将水流平顺引出，堤后区域不产生内涝</w:t>
                  </w:r>
                  <w:r>
                    <w:rPr>
                      <w:rFonts w:hint="eastAsia" w:cs="Times New Roman"/>
                      <w:snapToGrid w:val="0"/>
                      <w:color w:val="auto"/>
                      <w:sz w:val="21"/>
                      <w:szCs w:val="21"/>
                      <w:highlight w:val="none"/>
                      <w:lang w:eastAsia="zh-CN"/>
                    </w:rPr>
                    <w:t>；</w:t>
                  </w:r>
                  <w:r>
                    <w:rPr>
                      <w:rFonts w:hint="eastAsia" w:cs="Times New Roman"/>
                      <w:snapToGrid w:val="0"/>
                      <w:color w:val="auto"/>
                      <w:sz w:val="21"/>
                      <w:szCs w:val="21"/>
                      <w:highlight w:val="none"/>
                      <w:lang w:val="en-US" w:eastAsia="zh-CN"/>
                    </w:rPr>
                    <w:t>共设</w:t>
                  </w:r>
                  <w:r>
                    <w:rPr>
                      <w:rFonts w:hint="default" w:ascii="Times New Roman" w:hAnsi="Times New Roman" w:cs="Times New Roman"/>
                      <w:snapToGrid w:val="0"/>
                      <w:color w:val="auto"/>
                      <w:sz w:val="21"/>
                      <w:szCs w:val="21"/>
                      <w:highlight w:val="none"/>
                    </w:rPr>
                    <w:t>11处排涝管涵。</w:t>
                  </w:r>
                  <w:r>
                    <w:rPr>
                      <w:rFonts w:hint="eastAsia" w:cs="Times New Roman"/>
                      <w:snapToGrid w:val="0"/>
                      <w:color w:val="auto"/>
                      <w:sz w:val="21"/>
                      <w:szCs w:val="21"/>
                      <w:highlight w:val="none"/>
                      <w:lang w:val="en-US" w:eastAsia="zh-CN"/>
                    </w:rPr>
                    <w:t>其中，</w:t>
                  </w:r>
                  <w:r>
                    <w:rPr>
                      <w:rFonts w:hint="eastAsia" w:cs="Times New Roman"/>
                      <w:color w:val="auto"/>
                      <w:sz w:val="21"/>
                      <w:szCs w:val="21"/>
                      <w:highlight w:val="none"/>
                      <w:lang w:val="en-US" w:eastAsia="zh-CN"/>
                    </w:rPr>
                    <w:t>二郎段新建</w:t>
                  </w:r>
                  <w:r>
                    <w:rPr>
                      <w:rFonts w:hint="default"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处</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福兴段新建5处。</w:t>
                  </w:r>
                </w:p>
              </w:tc>
              <w:tc>
                <w:tcPr>
                  <w:tcW w:w="750" w:type="dxa"/>
                  <w:vMerge w:val="continue"/>
                  <w:noWrap w:val="0"/>
                  <w:vAlign w:val="center"/>
                </w:tcPr>
                <w:p w14:paraId="6238AC9D">
                  <w:pPr>
                    <w:pStyle w:val="23"/>
                    <w:spacing w:line="240" w:lineRule="auto"/>
                    <w:rPr>
                      <w:rFonts w:hint="default" w:ascii="Times New Roman" w:hAnsi="Times New Roman" w:cs="Times New Roman"/>
                      <w:color w:val="auto"/>
                      <w:szCs w:val="21"/>
                      <w:highlight w:val="none"/>
                    </w:rPr>
                  </w:pPr>
                </w:p>
              </w:tc>
              <w:tc>
                <w:tcPr>
                  <w:tcW w:w="663" w:type="dxa"/>
                  <w:vMerge w:val="continue"/>
                  <w:noWrap w:val="0"/>
                  <w:vAlign w:val="center"/>
                </w:tcPr>
                <w:p w14:paraId="23F0591A">
                  <w:pPr>
                    <w:pStyle w:val="23"/>
                    <w:spacing w:line="240" w:lineRule="auto"/>
                    <w:rPr>
                      <w:rFonts w:hint="default" w:ascii="Times New Roman" w:hAnsi="Times New Roman" w:cs="Times New Roman"/>
                      <w:color w:val="auto"/>
                      <w:szCs w:val="21"/>
                      <w:highlight w:val="none"/>
                    </w:rPr>
                  </w:pPr>
                </w:p>
              </w:tc>
            </w:tr>
            <w:tr w14:paraId="73E38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59FD245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color w:val="auto"/>
                      <w:highlight w:val="none"/>
                    </w:rPr>
                  </w:pPr>
                </w:p>
              </w:tc>
              <w:tc>
                <w:tcPr>
                  <w:tcW w:w="845" w:type="dxa"/>
                  <w:vMerge w:val="continue"/>
                  <w:noWrap w:val="0"/>
                  <w:vAlign w:val="center"/>
                </w:tcPr>
                <w:p w14:paraId="5F2E64B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color w:val="auto"/>
                      <w:highlight w:val="none"/>
                    </w:rPr>
                  </w:pPr>
                </w:p>
              </w:tc>
              <w:tc>
                <w:tcPr>
                  <w:tcW w:w="1045" w:type="dxa"/>
                  <w:gridSpan w:val="2"/>
                  <w:shd w:val="clear" w:color="auto" w:fill="auto"/>
                  <w:noWrap w:val="0"/>
                  <w:vAlign w:val="center"/>
                </w:tcPr>
                <w:p w14:paraId="39792E3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石河镇石河镇段、双拱场段</w:t>
                  </w:r>
                </w:p>
              </w:tc>
              <w:tc>
                <w:tcPr>
                  <w:tcW w:w="4961" w:type="dxa"/>
                  <w:shd w:val="clear" w:color="auto" w:fill="auto"/>
                  <w:noWrap w:val="0"/>
                  <w:vAlign w:val="center"/>
                </w:tcPr>
                <w:p w14:paraId="6569064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rPr>
                  </w:pPr>
                  <w:r>
                    <w:rPr>
                      <w:color w:val="auto"/>
                      <w:sz w:val="21"/>
                      <w:szCs w:val="21"/>
                      <w:highlight w:val="none"/>
                    </w:rPr>
                    <w:t>共涉及15处排涝管涵，其中，石河镇段新建8处，双拱场新建7处</w:t>
                  </w:r>
                  <w:r>
                    <w:rPr>
                      <w:rFonts w:hint="default" w:ascii="Times New Roman" w:hAnsi="Times New Roman" w:cs="Times New Roman"/>
                      <w:snapToGrid w:val="0"/>
                      <w:color w:val="auto"/>
                      <w:sz w:val="21"/>
                      <w:szCs w:val="21"/>
                      <w:highlight w:val="none"/>
                    </w:rPr>
                    <w:t>。</w:t>
                  </w:r>
                </w:p>
              </w:tc>
              <w:tc>
                <w:tcPr>
                  <w:tcW w:w="750" w:type="dxa"/>
                  <w:vMerge w:val="continue"/>
                  <w:noWrap w:val="0"/>
                  <w:vAlign w:val="center"/>
                </w:tcPr>
                <w:p w14:paraId="64BB619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rPr>
                  </w:pPr>
                </w:p>
              </w:tc>
              <w:tc>
                <w:tcPr>
                  <w:tcW w:w="663" w:type="dxa"/>
                  <w:vMerge w:val="continue"/>
                  <w:noWrap w:val="0"/>
                  <w:vAlign w:val="center"/>
                </w:tcPr>
                <w:p w14:paraId="4310125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rPr>
                  </w:pPr>
                </w:p>
              </w:tc>
            </w:tr>
            <w:tr w14:paraId="33C4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46882B2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rPr>
                  </w:pPr>
                </w:p>
              </w:tc>
              <w:tc>
                <w:tcPr>
                  <w:tcW w:w="845" w:type="dxa"/>
                  <w:vMerge w:val="continue"/>
                  <w:noWrap w:val="0"/>
                  <w:vAlign w:val="center"/>
                </w:tcPr>
                <w:p w14:paraId="12DD7A1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rPr>
                  </w:pPr>
                </w:p>
              </w:tc>
              <w:tc>
                <w:tcPr>
                  <w:tcW w:w="1045" w:type="dxa"/>
                  <w:gridSpan w:val="2"/>
                  <w:noWrap w:val="0"/>
                  <w:vAlign w:val="center"/>
                </w:tcPr>
                <w:p w14:paraId="31D8DCD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rPr>
                  </w:pPr>
                  <w:r>
                    <w:rPr>
                      <w:rFonts w:hint="eastAsia" w:cs="Times New Roman"/>
                      <w:b w:val="0"/>
                      <w:bCs w:val="0"/>
                      <w:color w:val="auto"/>
                      <w:sz w:val="21"/>
                      <w:szCs w:val="21"/>
                      <w:highlight w:val="none"/>
                      <w:lang w:val="en-US" w:eastAsia="zh-CN"/>
                    </w:rPr>
                    <w:t>东柳河清河镇段</w:t>
                  </w:r>
                </w:p>
              </w:tc>
              <w:tc>
                <w:tcPr>
                  <w:tcW w:w="4961" w:type="dxa"/>
                  <w:shd w:val="clear" w:color="auto" w:fill="auto"/>
                  <w:noWrap w:val="0"/>
                  <w:vAlign w:val="center"/>
                </w:tcPr>
                <w:p w14:paraId="612D44D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rPr>
                  </w:pPr>
                  <w:r>
                    <w:rPr>
                      <w:rFonts w:hint="eastAsia" w:ascii="Times New Roman" w:hAnsi="Times New Roman" w:eastAsia="宋体"/>
                      <w:b w:val="0"/>
                      <w:bCs/>
                      <w:color w:val="auto"/>
                      <w:sz w:val="21"/>
                      <w:szCs w:val="21"/>
                      <w:highlight w:val="none"/>
                      <w:lang w:val="en-US" w:eastAsia="zh-CN"/>
                    </w:rPr>
                    <w:t>排涝管涵：10处。目前已完工。</w:t>
                  </w:r>
                </w:p>
              </w:tc>
              <w:tc>
                <w:tcPr>
                  <w:tcW w:w="750" w:type="dxa"/>
                  <w:vMerge w:val="continue"/>
                  <w:noWrap w:val="0"/>
                  <w:vAlign w:val="center"/>
                </w:tcPr>
                <w:p w14:paraId="2136411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rPr>
                  </w:pPr>
                </w:p>
              </w:tc>
              <w:tc>
                <w:tcPr>
                  <w:tcW w:w="663" w:type="dxa"/>
                  <w:vMerge w:val="continue"/>
                  <w:noWrap w:val="0"/>
                  <w:vAlign w:val="center"/>
                </w:tcPr>
                <w:p w14:paraId="7C07773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rPr>
                  </w:pPr>
                </w:p>
              </w:tc>
            </w:tr>
            <w:tr w14:paraId="3CFB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66AC1B2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rPr>
                  </w:pPr>
                </w:p>
              </w:tc>
              <w:tc>
                <w:tcPr>
                  <w:tcW w:w="845" w:type="dxa"/>
                  <w:vMerge w:val="continue"/>
                  <w:noWrap w:val="0"/>
                  <w:vAlign w:val="center"/>
                </w:tcPr>
                <w:p w14:paraId="4782578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rPr>
                  </w:pPr>
                </w:p>
              </w:tc>
              <w:tc>
                <w:tcPr>
                  <w:tcW w:w="1045" w:type="dxa"/>
                  <w:gridSpan w:val="2"/>
                  <w:noWrap w:val="0"/>
                  <w:vAlign w:val="center"/>
                </w:tcPr>
                <w:p w14:paraId="6E48EAA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rPr>
                  </w:pPr>
                  <w:r>
                    <w:rPr>
                      <w:rFonts w:hint="eastAsia" w:cs="Times New Roman"/>
                      <w:b w:val="0"/>
                      <w:bCs w:val="0"/>
                      <w:color w:val="auto"/>
                      <w:sz w:val="21"/>
                      <w:szCs w:val="21"/>
                      <w:highlight w:val="none"/>
                      <w:lang w:val="en-US" w:eastAsia="zh-CN"/>
                    </w:rPr>
                    <w:t>东柳河杨家镇段</w:t>
                  </w:r>
                </w:p>
              </w:tc>
              <w:tc>
                <w:tcPr>
                  <w:tcW w:w="4961" w:type="dxa"/>
                  <w:shd w:val="clear" w:color="auto" w:fill="auto"/>
                  <w:noWrap w:val="0"/>
                  <w:vAlign w:val="center"/>
                </w:tcPr>
                <w:p w14:paraId="3BEEE21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rPr>
                  </w:pPr>
                  <w:r>
                    <w:rPr>
                      <w:rFonts w:hint="eastAsia" w:ascii="Times New Roman" w:hAnsi="Times New Roman" w:eastAsia="宋体"/>
                      <w:b w:val="0"/>
                      <w:bCs/>
                      <w:color w:val="auto"/>
                      <w:sz w:val="21"/>
                      <w:szCs w:val="21"/>
                      <w:highlight w:val="none"/>
                      <w:lang w:val="en-US" w:eastAsia="zh-CN"/>
                    </w:rPr>
                    <w:t>排涝管涵：4处。目前已完工。</w:t>
                  </w:r>
                </w:p>
              </w:tc>
              <w:tc>
                <w:tcPr>
                  <w:tcW w:w="750" w:type="dxa"/>
                  <w:vMerge w:val="continue"/>
                  <w:noWrap w:val="0"/>
                  <w:vAlign w:val="center"/>
                </w:tcPr>
                <w:p w14:paraId="005E468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rPr>
                  </w:pPr>
                </w:p>
              </w:tc>
              <w:tc>
                <w:tcPr>
                  <w:tcW w:w="663" w:type="dxa"/>
                  <w:vMerge w:val="continue"/>
                  <w:noWrap w:val="0"/>
                  <w:vAlign w:val="center"/>
                </w:tcPr>
                <w:p w14:paraId="6D3E514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lang w:val="en-US"/>
                    </w:rPr>
                  </w:pPr>
                </w:p>
              </w:tc>
            </w:tr>
            <w:tr w14:paraId="4F3B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69037D55">
                  <w:pPr>
                    <w:pStyle w:val="23"/>
                    <w:spacing w:line="240" w:lineRule="auto"/>
                    <w:rPr>
                      <w:rFonts w:hint="default" w:ascii="Times New Roman" w:hAnsi="Times New Roman" w:cs="Times New Roman"/>
                      <w:color w:val="auto"/>
                      <w:szCs w:val="21"/>
                      <w:highlight w:val="none"/>
                    </w:rPr>
                  </w:pPr>
                </w:p>
              </w:tc>
              <w:tc>
                <w:tcPr>
                  <w:tcW w:w="845" w:type="dxa"/>
                  <w:vMerge w:val="restart"/>
                  <w:noWrap w:val="0"/>
                  <w:vAlign w:val="center"/>
                </w:tcPr>
                <w:p w14:paraId="5806E854">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疏浚</w:t>
                  </w:r>
                </w:p>
                <w:p w14:paraId="040A1D7D">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w:t>
                  </w:r>
                </w:p>
              </w:tc>
              <w:tc>
                <w:tcPr>
                  <w:tcW w:w="1045" w:type="dxa"/>
                  <w:gridSpan w:val="2"/>
                  <w:shd w:val="clear" w:color="auto" w:fill="auto"/>
                  <w:noWrap w:val="0"/>
                  <w:vAlign w:val="center"/>
                </w:tcPr>
                <w:p w14:paraId="6159115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石河镇二郎段、福兴段</w:t>
                  </w:r>
                </w:p>
              </w:tc>
              <w:tc>
                <w:tcPr>
                  <w:tcW w:w="4961" w:type="dxa"/>
                  <w:noWrap w:val="0"/>
                  <w:vAlign w:val="center"/>
                </w:tcPr>
                <w:p w14:paraId="7EF304F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清淤范围为本治理工程涉及的柳城河干流二郎社区和支流福兴社区河段范围，清淤高程为设计河床高程，清淤长度为7.429km。</w:t>
                  </w:r>
                  <w:r>
                    <w:rPr>
                      <w:rFonts w:hint="eastAsia" w:cs="Times New Roman"/>
                      <w:snapToGrid w:val="0"/>
                      <w:color w:val="auto"/>
                      <w:sz w:val="21"/>
                      <w:szCs w:val="21"/>
                      <w:highlight w:val="none"/>
                      <w:lang w:eastAsia="zh-CN"/>
                    </w:rPr>
                    <w:t>清淤河段主要为二郎整治k0+000~k5+634和福兴整治k0+000~k1+795</w:t>
                  </w:r>
                  <w:r>
                    <w:rPr>
                      <w:rFonts w:hint="default" w:ascii="Times New Roman" w:hAnsi="Times New Roman" w:cs="Times New Roman"/>
                      <w:snapToGrid w:val="0"/>
                      <w:color w:val="auto"/>
                      <w:sz w:val="21"/>
                      <w:szCs w:val="21"/>
                      <w:highlight w:val="none"/>
                    </w:rPr>
                    <w:t>。其中二郎段治理长度5.634km；福兴场段治理长度</w:t>
                  </w:r>
                  <w:r>
                    <w:rPr>
                      <w:rFonts w:hint="default" w:ascii="Times New Roman" w:hAnsi="Times New Roman" w:cs="Times New Roman"/>
                      <w:color w:val="auto"/>
                      <w:sz w:val="21"/>
                      <w:szCs w:val="21"/>
                      <w:highlight w:val="none"/>
                    </w:rPr>
                    <w:t>1.795km。</w:t>
                  </w:r>
                  <w:r>
                    <w:rPr>
                      <w:rFonts w:hint="eastAsia"/>
                      <w:color w:val="auto"/>
                      <w:sz w:val="21"/>
                      <w:szCs w:val="20"/>
                      <w:highlight w:val="none"/>
                      <w:u w:val="none"/>
                      <w:lang w:val="en-US" w:eastAsia="zh-CN"/>
                    </w:rPr>
                    <w:t>二郎段已于2024年2月开工建设，福兴段已于2024年4月开工建设</w:t>
                  </w:r>
                  <w:r>
                    <w:rPr>
                      <w:color w:val="auto"/>
                      <w:sz w:val="21"/>
                      <w:szCs w:val="20"/>
                      <w:highlight w:val="none"/>
                      <w:u w:val="none"/>
                    </w:rPr>
                    <w:t>。</w:t>
                  </w:r>
                </w:p>
              </w:tc>
              <w:tc>
                <w:tcPr>
                  <w:tcW w:w="750" w:type="dxa"/>
                  <w:vMerge w:val="continue"/>
                  <w:noWrap w:val="0"/>
                  <w:vAlign w:val="center"/>
                </w:tcPr>
                <w:p w14:paraId="05EAC5E8">
                  <w:pPr>
                    <w:pStyle w:val="23"/>
                    <w:spacing w:line="240" w:lineRule="auto"/>
                    <w:rPr>
                      <w:rFonts w:hint="default" w:ascii="Times New Roman" w:hAnsi="Times New Roman" w:cs="Times New Roman"/>
                      <w:color w:val="auto"/>
                      <w:szCs w:val="21"/>
                      <w:highlight w:val="none"/>
                    </w:rPr>
                  </w:pPr>
                </w:p>
              </w:tc>
              <w:tc>
                <w:tcPr>
                  <w:tcW w:w="663" w:type="dxa"/>
                  <w:vMerge w:val="continue"/>
                  <w:noWrap w:val="0"/>
                  <w:vAlign w:val="center"/>
                </w:tcPr>
                <w:p w14:paraId="1172069C">
                  <w:pPr>
                    <w:pStyle w:val="23"/>
                    <w:spacing w:line="240" w:lineRule="auto"/>
                    <w:rPr>
                      <w:rFonts w:hint="default" w:ascii="Times New Roman" w:hAnsi="Times New Roman" w:cs="Times New Roman"/>
                      <w:color w:val="auto"/>
                      <w:szCs w:val="21"/>
                      <w:highlight w:val="none"/>
                    </w:rPr>
                  </w:pPr>
                </w:p>
              </w:tc>
            </w:tr>
            <w:tr w14:paraId="4E1D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2E302F7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color w:val="auto"/>
                      <w:highlight w:val="none"/>
                    </w:rPr>
                  </w:pPr>
                </w:p>
              </w:tc>
              <w:tc>
                <w:tcPr>
                  <w:tcW w:w="845" w:type="dxa"/>
                  <w:vMerge w:val="continue"/>
                  <w:noWrap w:val="0"/>
                  <w:vAlign w:val="center"/>
                </w:tcPr>
                <w:p w14:paraId="08E85CE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color w:val="auto"/>
                      <w:highlight w:val="none"/>
                    </w:rPr>
                  </w:pPr>
                </w:p>
              </w:tc>
              <w:tc>
                <w:tcPr>
                  <w:tcW w:w="1045" w:type="dxa"/>
                  <w:gridSpan w:val="2"/>
                  <w:shd w:val="clear" w:color="auto" w:fill="auto"/>
                  <w:noWrap w:val="0"/>
                  <w:vAlign w:val="center"/>
                </w:tcPr>
                <w:p w14:paraId="77EC1B6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石河镇石河镇段、双拱场段</w:t>
                  </w:r>
                </w:p>
              </w:tc>
              <w:tc>
                <w:tcPr>
                  <w:tcW w:w="4961" w:type="dxa"/>
                  <w:noWrap w:val="0"/>
                  <w:vAlign w:val="center"/>
                </w:tcPr>
                <w:p w14:paraId="79FF869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z w:val="21"/>
                      <w:szCs w:val="21"/>
                      <w:highlight w:val="none"/>
                    </w:rPr>
                    <w:t>清淤范围为本治理工程</w:t>
                  </w:r>
                  <w:r>
                    <w:rPr>
                      <w:color w:val="auto"/>
                      <w:sz w:val="21"/>
                      <w:szCs w:val="21"/>
                      <w:highlight w:val="none"/>
                    </w:rPr>
                    <w:t>河段全段</w:t>
                  </w:r>
                  <w:r>
                    <w:rPr>
                      <w:rFonts w:hint="eastAsia"/>
                      <w:color w:val="auto"/>
                      <w:sz w:val="21"/>
                      <w:szCs w:val="21"/>
                      <w:highlight w:val="none"/>
                      <w:lang w:val="en-US" w:eastAsia="zh-CN"/>
                    </w:rPr>
                    <w:t>河段范围</w:t>
                  </w:r>
                  <w:r>
                    <w:rPr>
                      <w:color w:val="auto"/>
                      <w:sz w:val="21"/>
                      <w:szCs w:val="21"/>
                      <w:highlight w:val="none"/>
                    </w:rPr>
                    <w:t>，</w:t>
                  </w:r>
                  <w:r>
                    <w:rPr>
                      <w:rFonts w:hint="eastAsia"/>
                      <w:color w:val="auto"/>
                      <w:sz w:val="21"/>
                      <w:szCs w:val="21"/>
                      <w:highlight w:val="none"/>
                      <w:lang w:val="en-US" w:eastAsia="zh-CN"/>
                    </w:rPr>
                    <w:t>清淤长度为</w:t>
                  </w:r>
                  <w:r>
                    <w:rPr>
                      <w:color w:val="auto"/>
                      <w:sz w:val="21"/>
                      <w:szCs w:val="21"/>
                      <w:highlight w:val="none"/>
                    </w:rPr>
                    <w:t>4600m</w:t>
                  </w:r>
                  <w:r>
                    <w:rPr>
                      <w:rFonts w:hint="eastAsia"/>
                      <w:color w:val="auto"/>
                      <w:sz w:val="21"/>
                      <w:szCs w:val="21"/>
                      <w:highlight w:val="none"/>
                      <w:lang w:val="en-US" w:eastAsia="zh-CN"/>
                    </w:rPr>
                    <w:t>。清淤河段为</w:t>
                  </w:r>
                  <w:r>
                    <w:rPr>
                      <w:color w:val="auto"/>
                      <w:sz w:val="21"/>
                      <w:szCs w:val="21"/>
                      <w:highlight w:val="none"/>
                    </w:rPr>
                    <w:t>石河镇段河道中心桩号石0+000~石2+450</w:t>
                  </w:r>
                  <w:r>
                    <w:rPr>
                      <w:rFonts w:hint="eastAsia"/>
                      <w:color w:val="auto"/>
                      <w:sz w:val="21"/>
                      <w:szCs w:val="21"/>
                      <w:highlight w:val="none"/>
                      <w:lang w:eastAsia="zh-CN"/>
                    </w:rPr>
                    <w:t>，</w:t>
                  </w:r>
                  <w:r>
                    <w:rPr>
                      <w:color w:val="auto"/>
                      <w:sz w:val="21"/>
                      <w:szCs w:val="21"/>
                      <w:highlight w:val="none"/>
                    </w:rPr>
                    <w:t>双拱场段对应河道中心桩号双0+000~双2+150</w:t>
                  </w:r>
                  <w:r>
                    <w:rPr>
                      <w:rFonts w:hint="eastAsia"/>
                      <w:color w:val="auto"/>
                      <w:sz w:val="21"/>
                      <w:szCs w:val="21"/>
                      <w:highlight w:val="none"/>
                      <w:lang w:eastAsia="zh-CN"/>
                    </w:rPr>
                    <w:t>。</w:t>
                  </w:r>
                  <w:r>
                    <w:rPr>
                      <w:rFonts w:hint="default" w:ascii="Times New Roman" w:hAnsi="Times New Roman" w:cs="Times New Roman"/>
                      <w:snapToGrid w:val="0"/>
                      <w:color w:val="auto"/>
                      <w:sz w:val="21"/>
                      <w:szCs w:val="21"/>
                      <w:highlight w:val="none"/>
                    </w:rPr>
                    <w:t>其中</w:t>
                  </w:r>
                  <w:r>
                    <w:rPr>
                      <w:rFonts w:hint="eastAsia" w:cs="Times New Roman"/>
                      <w:snapToGrid w:val="0"/>
                      <w:color w:val="auto"/>
                      <w:sz w:val="21"/>
                      <w:szCs w:val="21"/>
                      <w:highlight w:val="none"/>
                      <w:lang w:val="en-US" w:eastAsia="zh-CN"/>
                    </w:rPr>
                    <w:t>石河镇段</w:t>
                  </w:r>
                  <w:r>
                    <w:rPr>
                      <w:rFonts w:hint="default" w:ascii="Times New Roman" w:hAnsi="Times New Roman" w:cs="Times New Roman"/>
                      <w:snapToGrid w:val="0"/>
                      <w:color w:val="auto"/>
                      <w:sz w:val="21"/>
                      <w:szCs w:val="21"/>
                      <w:highlight w:val="none"/>
                    </w:rPr>
                    <w:t>治理长度</w:t>
                  </w:r>
                  <w:r>
                    <w:rPr>
                      <w:rFonts w:hint="eastAsia" w:cs="Times New Roman"/>
                      <w:snapToGrid w:val="0"/>
                      <w:color w:val="auto"/>
                      <w:sz w:val="21"/>
                      <w:szCs w:val="21"/>
                      <w:highlight w:val="none"/>
                      <w:lang w:val="en-US" w:eastAsia="zh-CN"/>
                    </w:rPr>
                    <w:t>2450</w:t>
                  </w:r>
                  <w:r>
                    <w:rPr>
                      <w:rFonts w:hint="default" w:ascii="Times New Roman" w:hAnsi="Times New Roman" w:cs="Times New Roman"/>
                      <w:snapToGrid w:val="0"/>
                      <w:color w:val="auto"/>
                      <w:sz w:val="21"/>
                      <w:szCs w:val="21"/>
                      <w:highlight w:val="none"/>
                    </w:rPr>
                    <w:t>km；</w:t>
                  </w:r>
                  <w:r>
                    <w:rPr>
                      <w:rFonts w:hint="eastAsia" w:cs="Times New Roman"/>
                      <w:snapToGrid w:val="0"/>
                      <w:color w:val="auto"/>
                      <w:sz w:val="21"/>
                      <w:szCs w:val="21"/>
                      <w:highlight w:val="none"/>
                      <w:lang w:val="en-US" w:eastAsia="zh-CN"/>
                    </w:rPr>
                    <w:t>双拱场</w:t>
                  </w:r>
                  <w:r>
                    <w:rPr>
                      <w:rFonts w:hint="default" w:ascii="Times New Roman" w:hAnsi="Times New Roman" w:cs="Times New Roman"/>
                      <w:snapToGrid w:val="0"/>
                      <w:color w:val="auto"/>
                      <w:sz w:val="21"/>
                      <w:szCs w:val="21"/>
                      <w:highlight w:val="none"/>
                    </w:rPr>
                    <w:t>段治理长度</w:t>
                  </w:r>
                  <w:r>
                    <w:rPr>
                      <w:rFonts w:hint="eastAsia" w:cs="Times New Roman"/>
                      <w:color w:val="auto"/>
                      <w:sz w:val="21"/>
                      <w:szCs w:val="21"/>
                      <w:highlight w:val="none"/>
                      <w:lang w:val="en-US" w:eastAsia="zh-CN"/>
                    </w:rPr>
                    <w:t>2150</w:t>
                  </w:r>
                  <w:r>
                    <w:rPr>
                      <w:rFonts w:hint="default" w:ascii="Times New Roman" w:hAnsi="Times New Roman" w:cs="Times New Roman"/>
                      <w:color w:val="auto"/>
                      <w:sz w:val="21"/>
                      <w:szCs w:val="21"/>
                      <w:highlight w:val="none"/>
                    </w:rPr>
                    <w:t>m。</w:t>
                  </w:r>
                </w:p>
                <w:p w14:paraId="66E12F4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snapToGrid w:val="0"/>
                      <w:color w:val="auto"/>
                      <w:sz w:val="21"/>
                      <w:szCs w:val="21"/>
                      <w:highlight w:val="none"/>
                      <w:lang w:val="en-US" w:eastAsia="zh-CN"/>
                    </w:rPr>
                  </w:pPr>
                  <w:r>
                    <w:rPr>
                      <w:rFonts w:hint="eastAsia"/>
                      <w:color w:val="auto"/>
                      <w:sz w:val="21"/>
                      <w:szCs w:val="20"/>
                      <w:highlight w:val="none"/>
                      <w:u w:val="none"/>
                      <w:lang w:val="en-US" w:eastAsia="zh-CN"/>
                    </w:rPr>
                    <w:t>石河镇段已于</w:t>
                  </w:r>
                  <w:r>
                    <w:rPr>
                      <w:rFonts w:hint="eastAsia"/>
                      <w:color w:val="auto"/>
                      <w:sz w:val="21"/>
                      <w:szCs w:val="20"/>
                      <w:highlight w:val="none"/>
                      <w:u w:val="none"/>
                      <w:lang w:eastAsia="zh-CN"/>
                    </w:rPr>
                    <w:t>2023年11月开工建设</w:t>
                  </w:r>
                  <w:r>
                    <w:rPr>
                      <w:color w:val="auto"/>
                      <w:sz w:val="21"/>
                      <w:szCs w:val="20"/>
                      <w:highlight w:val="none"/>
                      <w:u w:val="none"/>
                    </w:rPr>
                    <w:t>。</w:t>
                  </w:r>
                </w:p>
              </w:tc>
              <w:tc>
                <w:tcPr>
                  <w:tcW w:w="750" w:type="dxa"/>
                  <w:vMerge w:val="continue"/>
                  <w:noWrap w:val="0"/>
                  <w:vAlign w:val="center"/>
                </w:tcPr>
                <w:p w14:paraId="32428DA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snapToGrid w:val="0"/>
                      <w:color w:val="auto"/>
                      <w:sz w:val="21"/>
                      <w:szCs w:val="21"/>
                      <w:highlight w:val="none"/>
                      <w:lang w:val="en-US" w:eastAsia="zh-CN"/>
                    </w:rPr>
                  </w:pPr>
                </w:p>
              </w:tc>
              <w:tc>
                <w:tcPr>
                  <w:tcW w:w="663" w:type="dxa"/>
                  <w:vMerge w:val="continue"/>
                  <w:noWrap w:val="0"/>
                  <w:vAlign w:val="center"/>
                </w:tcPr>
                <w:p w14:paraId="706AE09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snapToGrid w:val="0"/>
                      <w:color w:val="auto"/>
                      <w:sz w:val="21"/>
                      <w:szCs w:val="21"/>
                      <w:highlight w:val="none"/>
                      <w:lang w:val="en-US" w:eastAsia="zh-CN"/>
                    </w:rPr>
                  </w:pPr>
                </w:p>
              </w:tc>
            </w:tr>
            <w:tr w14:paraId="15E1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781" w:type="dxa"/>
                  <w:vMerge w:val="continue"/>
                  <w:noWrap w:val="0"/>
                  <w:vAlign w:val="center"/>
                </w:tcPr>
                <w:p w14:paraId="4405445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snapToGrid w:val="0"/>
                      <w:color w:val="auto"/>
                      <w:sz w:val="21"/>
                      <w:szCs w:val="21"/>
                      <w:highlight w:val="none"/>
                      <w:lang w:val="en-US" w:eastAsia="zh-CN"/>
                    </w:rPr>
                  </w:pPr>
                </w:p>
              </w:tc>
              <w:tc>
                <w:tcPr>
                  <w:tcW w:w="845" w:type="dxa"/>
                  <w:vMerge w:val="continue"/>
                  <w:noWrap w:val="0"/>
                  <w:vAlign w:val="center"/>
                </w:tcPr>
                <w:p w14:paraId="001168C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snapToGrid w:val="0"/>
                      <w:color w:val="auto"/>
                      <w:sz w:val="21"/>
                      <w:szCs w:val="21"/>
                      <w:highlight w:val="none"/>
                      <w:lang w:val="en-US" w:eastAsia="zh-CN"/>
                    </w:rPr>
                  </w:pPr>
                </w:p>
              </w:tc>
              <w:tc>
                <w:tcPr>
                  <w:tcW w:w="1045" w:type="dxa"/>
                  <w:gridSpan w:val="2"/>
                  <w:shd w:val="clear" w:color="auto" w:fill="auto"/>
                  <w:noWrap w:val="0"/>
                  <w:vAlign w:val="center"/>
                </w:tcPr>
                <w:p w14:paraId="003C9D5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东柳河清河镇段</w:t>
                  </w:r>
                </w:p>
              </w:tc>
              <w:tc>
                <w:tcPr>
                  <w:tcW w:w="4961" w:type="dxa"/>
                  <w:noWrap w:val="0"/>
                  <w:vAlign w:val="center"/>
                </w:tcPr>
                <w:p w14:paraId="1D22E612">
                  <w:pPr>
                    <w:pStyle w:val="18"/>
                    <w:spacing w:line="240" w:lineRule="auto"/>
                    <w:ind w:firstLine="0" w:firstLineChars="0"/>
                    <w:rPr>
                      <w:rFonts w:hint="default" w:ascii="Times New Roman" w:hAnsi="Times New Roman" w:cs="Times New Roman"/>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rPr>
                    <w:t>清淤范围为本治理工程</w:t>
                  </w:r>
                  <w:r>
                    <w:rPr>
                      <w:b w:val="0"/>
                      <w:bCs/>
                      <w:color w:val="auto"/>
                      <w:sz w:val="21"/>
                      <w:szCs w:val="21"/>
                      <w:highlight w:val="none"/>
                    </w:rPr>
                    <w:t>河段全段</w:t>
                  </w:r>
                  <w:r>
                    <w:rPr>
                      <w:rFonts w:hint="eastAsia"/>
                      <w:b w:val="0"/>
                      <w:bCs/>
                      <w:color w:val="auto"/>
                      <w:sz w:val="21"/>
                      <w:szCs w:val="21"/>
                      <w:highlight w:val="none"/>
                      <w:lang w:val="en-US" w:eastAsia="zh-CN"/>
                    </w:rPr>
                    <w:t>河段范围</w:t>
                  </w:r>
                  <w:r>
                    <w:rPr>
                      <w:b w:val="0"/>
                      <w:bCs/>
                      <w:color w:val="auto"/>
                      <w:sz w:val="21"/>
                      <w:szCs w:val="21"/>
                      <w:highlight w:val="none"/>
                    </w:rPr>
                    <w:t>，</w:t>
                  </w:r>
                  <w:r>
                    <w:rPr>
                      <w:rFonts w:hint="eastAsia"/>
                      <w:b w:val="0"/>
                      <w:bCs/>
                      <w:color w:val="auto"/>
                      <w:sz w:val="21"/>
                      <w:szCs w:val="21"/>
                      <w:highlight w:val="none"/>
                      <w:lang w:val="en-US" w:eastAsia="zh-CN"/>
                    </w:rPr>
                    <w:t>清淤长度为4133</w:t>
                  </w:r>
                  <w:r>
                    <w:rPr>
                      <w:b w:val="0"/>
                      <w:bCs/>
                      <w:color w:val="auto"/>
                      <w:sz w:val="21"/>
                      <w:szCs w:val="21"/>
                      <w:highlight w:val="none"/>
                    </w:rPr>
                    <w:t>m</w:t>
                  </w:r>
                  <w:r>
                    <w:rPr>
                      <w:rFonts w:hint="eastAsia"/>
                      <w:b w:val="0"/>
                      <w:bCs/>
                      <w:color w:val="auto"/>
                      <w:sz w:val="21"/>
                      <w:szCs w:val="21"/>
                      <w:highlight w:val="none"/>
                      <w:lang w:val="en-US" w:eastAsia="zh-CN"/>
                    </w:rPr>
                    <w:t>。</w:t>
                  </w:r>
                  <w:r>
                    <w:rPr>
                      <w:b w:val="0"/>
                      <w:bCs/>
                      <w:color w:val="auto"/>
                      <w:sz w:val="21"/>
                      <w:szCs w:val="21"/>
                      <w:highlight w:val="none"/>
                    </w:rPr>
                    <w:t>治理对象包括干流段和支流段两部分</w:t>
                  </w:r>
                  <w:r>
                    <w:rPr>
                      <w:rFonts w:hint="eastAsia"/>
                      <w:b w:val="0"/>
                      <w:bCs/>
                      <w:color w:val="auto"/>
                      <w:sz w:val="21"/>
                      <w:szCs w:val="21"/>
                      <w:highlight w:val="none"/>
                    </w:rPr>
                    <w:t>，</w:t>
                  </w:r>
                  <w:r>
                    <w:rPr>
                      <w:b w:val="0"/>
                      <w:bCs/>
                      <w:color w:val="auto"/>
                      <w:sz w:val="21"/>
                      <w:szCs w:val="21"/>
                      <w:highlight w:val="none"/>
                    </w:rPr>
                    <w:t>其中东柳河干流段治理长度</w:t>
                  </w:r>
                  <w:r>
                    <w:rPr>
                      <w:rFonts w:hint="eastAsia"/>
                      <w:b w:val="0"/>
                      <w:bCs/>
                      <w:color w:val="auto"/>
                      <w:sz w:val="21"/>
                      <w:szCs w:val="21"/>
                      <w:highlight w:val="none"/>
                    </w:rPr>
                    <w:t>3808</w:t>
                  </w:r>
                  <w:r>
                    <w:rPr>
                      <w:b w:val="0"/>
                      <w:bCs/>
                      <w:color w:val="auto"/>
                      <w:sz w:val="21"/>
                      <w:szCs w:val="21"/>
                      <w:highlight w:val="none"/>
                    </w:rPr>
                    <w:t>m，起于</w:t>
                  </w:r>
                  <w:r>
                    <w:rPr>
                      <w:rFonts w:hint="eastAsia"/>
                      <w:b w:val="0"/>
                      <w:bCs/>
                      <w:color w:val="auto"/>
                      <w:sz w:val="21"/>
                      <w:szCs w:val="21"/>
                      <w:highlight w:val="none"/>
                    </w:rPr>
                    <w:t>4#公路桥</w:t>
                  </w:r>
                  <w:r>
                    <w:rPr>
                      <w:b w:val="0"/>
                      <w:bCs/>
                      <w:color w:val="auto"/>
                      <w:sz w:val="21"/>
                      <w:szCs w:val="21"/>
                      <w:highlight w:val="none"/>
                    </w:rPr>
                    <w:t>止于刘家河拦水堰；田家沟支流段治理长度</w:t>
                  </w:r>
                  <w:r>
                    <w:rPr>
                      <w:rFonts w:hint="eastAsia"/>
                      <w:b w:val="0"/>
                      <w:bCs/>
                      <w:color w:val="auto"/>
                      <w:sz w:val="21"/>
                      <w:szCs w:val="21"/>
                      <w:highlight w:val="none"/>
                    </w:rPr>
                    <w:t>325m，起于5#公路桥上游约200m处止于汇合口处</w:t>
                  </w:r>
                  <w:r>
                    <w:rPr>
                      <w:rFonts w:hint="eastAsia" w:ascii="Times New Roman" w:hAnsi="Times New Roman" w:eastAsia="宋体"/>
                      <w:b w:val="0"/>
                      <w:color w:val="auto"/>
                      <w:sz w:val="21"/>
                      <w:szCs w:val="21"/>
                      <w:highlight w:val="none"/>
                    </w:rPr>
                    <w:t>。</w:t>
                  </w:r>
                  <w:r>
                    <w:rPr>
                      <w:rFonts w:hint="eastAsia" w:ascii="Times New Roman" w:hAnsi="Times New Roman" w:eastAsia="宋体"/>
                      <w:b w:val="0"/>
                      <w:bCs/>
                      <w:color w:val="auto"/>
                      <w:sz w:val="21"/>
                      <w:szCs w:val="21"/>
                      <w:highlight w:val="none"/>
                      <w:lang w:val="en-US" w:eastAsia="zh-CN"/>
                    </w:rPr>
                    <w:t>目前已完工。</w:t>
                  </w:r>
                </w:p>
              </w:tc>
              <w:tc>
                <w:tcPr>
                  <w:tcW w:w="750" w:type="dxa"/>
                  <w:vMerge w:val="continue"/>
                  <w:noWrap w:val="0"/>
                  <w:vAlign w:val="center"/>
                </w:tcPr>
                <w:p w14:paraId="1BBB78D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snapToGrid w:val="0"/>
                      <w:color w:val="auto"/>
                      <w:sz w:val="21"/>
                      <w:szCs w:val="21"/>
                      <w:highlight w:val="none"/>
                      <w:lang w:val="en-US" w:eastAsia="zh-CN"/>
                    </w:rPr>
                  </w:pPr>
                </w:p>
              </w:tc>
              <w:tc>
                <w:tcPr>
                  <w:tcW w:w="663" w:type="dxa"/>
                  <w:vMerge w:val="continue"/>
                  <w:noWrap w:val="0"/>
                  <w:vAlign w:val="center"/>
                </w:tcPr>
                <w:p w14:paraId="32BE537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snapToGrid w:val="0"/>
                      <w:color w:val="auto"/>
                      <w:sz w:val="21"/>
                      <w:szCs w:val="21"/>
                      <w:highlight w:val="none"/>
                      <w:lang w:val="en-US" w:eastAsia="zh-CN"/>
                    </w:rPr>
                  </w:pPr>
                </w:p>
              </w:tc>
            </w:tr>
            <w:tr w14:paraId="30B9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40ADEB7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snapToGrid w:val="0"/>
                      <w:color w:val="auto"/>
                      <w:sz w:val="21"/>
                      <w:szCs w:val="21"/>
                      <w:highlight w:val="none"/>
                      <w:lang w:val="en-US" w:eastAsia="zh-CN"/>
                    </w:rPr>
                  </w:pPr>
                </w:p>
              </w:tc>
              <w:tc>
                <w:tcPr>
                  <w:tcW w:w="845" w:type="dxa"/>
                  <w:vMerge w:val="continue"/>
                  <w:noWrap w:val="0"/>
                  <w:vAlign w:val="center"/>
                </w:tcPr>
                <w:p w14:paraId="39AC19F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snapToGrid w:val="0"/>
                      <w:color w:val="auto"/>
                      <w:sz w:val="21"/>
                      <w:szCs w:val="21"/>
                      <w:highlight w:val="none"/>
                      <w:lang w:val="en-US" w:eastAsia="zh-CN"/>
                    </w:rPr>
                  </w:pPr>
                </w:p>
              </w:tc>
              <w:tc>
                <w:tcPr>
                  <w:tcW w:w="1045" w:type="dxa"/>
                  <w:gridSpan w:val="2"/>
                  <w:shd w:val="clear" w:color="auto" w:fill="auto"/>
                  <w:noWrap w:val="0"/>
                  <w:vAlign w:val="center"/>
                </w:tcPr>
                <w:p w14:paraId="2C6DE5E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东柳河杨家镇段</w:t>
                  </w:r>
                </w:p>
              </w:tc>
              <w:tc>
                <w:tcPr>
                  <w:tcW w:w="4961" w:type="dxa"/>
                  <w:noWrap w:val="0"/>
                  <w:vAlign w:val="center"/>
                </w:tcPr>
                <w:p w14:paraId="3282A515">
                  <w:pPr>
                    <w:pStyle w:val="18"/>
                    <w:spacing w:line="240" w:lineRule="auto"/>
                    <w:ind w:firstLine="0" w:firstLineChars="0"/>
                    <w:rPr>
                      <w:rFonts w:hint="default" w:ascii="Times New Roman" w:hAnsi="Times New Roman" w:cs="Times New Roman"/>
                      <w:b w:val="0"/>
                      <w:bCs/>
                      <w:snapToGrid w:val="0"/>
                      <w:color w:val="auto"/>
                      <w:sz w:val="21"/>
                      <w:szCs w:val="21"/>
                      <w:highlight w:val="none"/>
                      <w:lang w:val="en-US" w:eastAsia="zh-CN"/>
                    </w:rPr>
                  </w:pPr>
                  <w:r>
                    <w:rPr>
                      <w:rFonts w:hint="default" w:ascii="Times New Roman" w:hAnsi="Times New Roman" w:cs="Times New Roman"/>
                      <w:b w:val="0"/>
                      <w:bCs/>
                      <w:snapToGrid w:val="0"/>
                      <w:color w:val="auto"/>
                      <w:sz w:val="21"/>
                      <w:szCs w:val="21"/>
                      <w:highlight w:val="none"/>
                    </w:rPr>
                    <w:t>清淤范围为本治理工程</w:t>
                  </w:r>
                  <w:r>
                    <w:rPr>
                      <w:b w:val="0"/>
                      <w:bCs/>
                      <w:color w:val="auto"/>
                      <w:sz w:val="21"/>
                      <w:szCs w:val="21"/>
                      <w:highlight w:val="none"/>
                    </w:rPr>
                    <w:t>河段全段</w:t>
                  </w:r>
                  <w:r>
                    <w:rPr>
                      <w:rFonts w:hint="eastAsia"/>
                      <w:b w:val="0"/>
                      <w:bCs/>
                      <w:color w:val="auto"/>
                      <w:sz w:val="21"/>
                      <w:szCs w:val="21"/>
                      <w:highlight w:val="none"/>
                      <w:lang w:val="en-US" w:eastAsia="zh-CN"/>
                    </w:rPr>
                    <w:t>河段范围</w:t>
                  </w:r>
                  <w:r>
                    <w:rPr>
                      <w:b w:val="0"/>
                      <w:bCs/>
                      <w:color w:val="auto"/>
                      <w:sz w:val="21"/>
                      <w:szCs w:val="21"/>
                      <w:highlight w:val="none"/>
                    </w:rPr>
                    <w:t>，</w:t>
                  </w:r>
                  <w:r>
                    <w:rPr>
                      <w:rFonts w:hint="eastAsia"/>
                      <w:b w:val="0"/>
                      <w:bCs/>
                      <w:color w:val="auto"/>
                      <w:sz w:val="21"/>
                      <w:szCs w:val="21"/>
                      <w:highlight w:val="none"/>
                      <w:lang w:val="en-US" w:eastAsia="zh-CN"/>
                    </w:rPr>
                    <w:t>清淤长度为</w:t>
                  </w:r>
                  <w:r>
                    <w:rPr>
                      <w:rFonts w:hint="eastAsia"/>
                      <w:b w:val="0"/>
                      <w:bCs/>
                      <w:color w:val="auto"/>
                      <w:sz w:val="21"/>
                      <w:szCs w:val="21"/>
                      <w:highlight w:val="none"/>
                    </w:rPr>
                    <w:t>5125m，其中干流段起于G5515公路桥上游872m处，止于杨家镇污水处理厂，河道中心治理长度4772m；清溪沟支流段起于入河口上游189m处止于入河口处</w:t>
                  </w:r>
                  <w:r>
                    <w:rPr>
                      <w:rFonts w:hint="eastAsia"/>
                      <w:b w:val="0"/>
                      <w:bCs/>
                      <w:color w:val="auto"/>
                      <w:sz w:val="21"/>
                      <w:szCs w:val="21"/>
                      <w:highlight w:val="none"/>
                      <w:lang w:eastAsia="zh-CN"/>
                    </w:rPr>
                    <w:t>，</w:t>
                  </w:r>
                  <w:r>
                    <w:rPr>
                      <w:rFonts w:hint="eastAsia"/>
                      <w:b w:val="0"/>
                      <w:bCs/>
                      <w:color w:val="auto"/>
                      <w:sz w:val="21"/>
                      <w:szCs w:val="21"/>
                      <w:highlight w:val="none"/>
                    </w:rPr>
                    <w:t>河道中心治理长度189m</w:t>
                  </w:r>
                  <w:r>
                    <w:rPr>
                      <w:rFonts w:hint="eastAsia"/>
                      <w:b w:val="0"/>
                      <w:bCs/>
                      <w:color w:val="auto"/>
                      <w:sz w:val="21"/>
                      <w:szCs w:val="21"/>
                      <w:highlight w:val="none"/>
                      <w:lang w:eastAsia="zh-CN"/>
                    </w:rPr>
                    <w:t>；</w:t>
                  </w:r>
                  <w:r>
                    <w:rPr>
                      <w:rFonts w:hint="eastAsia"/>
                      <w:b w:val="0"/>
                      <w:bCs/>
                      <w:color w:val="auto"/>
                      <w:sz w:val="21"/>
                      <w:szCs w:val="21"/>
                      <w:highlight w:val="none"/>
                    </w:rPr>
                    <w:t>蚂蟥沟支流段起于入河口上游164m处</w:t>
                  </w:r>
                  <w:r>
                    <w:rPr>
                      <w:rFonts w:hint="eastAsia"/>
                      <w:b w:val="0"/>
                      <w:bCs/>
                      <w:color w:val="auto"/>
                      <w:sz w:val="21"/>
                      <w:szCs w:val="21"/>
                      <w:highlight w:val="none"/>
                      <w:lang w:eastAsia="zh-CN"/>
                    </w:rPr>
                    <w:t>，</w:t>
                  </w:r>
                  <w:r>
                    <w:rPr>
                      <w:rFonts w:hint="eastAsia"/>
                      <w:b w:val="0"/>
                      <w:bCs/>
                      <w:color w:val="auto"/>
                      <w:sz w:val="21"/>
                      <w:szCs w:val="21"/>
                      <w:highlight w:val="none"/>
                    </w:rPr>
                    <w:t>止于入河口处</w:t>
                  </w:r>
                  <w:r>
                    <w:rPr>
                      <w:rFonts w:hint="eastAsia"/>
                      <w:b w:val="0"/>
                      <w:bCs/>
                      <w:color w:val="auto"/>
                      <w:sz w:val="21"/>
                      <w:szCs w:val="21"/>
                      <w:highlight w:val="none"/>
                      <w:lang w:eastAsia="zh-CN"/>
                    </w:rPr>
                    <w:t>，</w:t>
                  </w:r>
                  <w:r>
                    <w:rPr>
                      <w:rFonts w:hint="eastAsia"/>
                      <w:b w:val="0"/>
                      <w:bCs/>
                      <w:color w:val="auto"/>
                      <w:sz w:val="21"/>
                      <w:szCs w:val="21"/>
                      <w:highlight w:val="none"/>
                    </w:rPr>
                    <w:t>河道中心治理长度164m</w:t>
                  </w:r>
                  <w:r>
                    <w:rPr>
                      <w:rFonts w:hint="eastAsia" w:ascii="Times New Roman" w:hAnsi="Times New Roman" w:eastAsia="宋体"/>
                      <w:b w:val="0"/>
                      <w:bCs/>
                      <w:color w:val="auto"/>
                      <w:sz w:val="21"/>
                      <w:szCs w:val="21"/>
                      <w:highlight w:val="none"/>
                    </w:rPr>
                    <w:t>。</w:t>
                  </w:r>
                  <w:r>
                    <w:rPr>
                      <w:rFonts w:hint="eastAsia" w:ascii="Times New Roman" w:hAnsi="Times New Roman" w:eastAsia="宋体"/>
                      <w:b w:val="0"/>
                      <w:bCs/>
                      <w:color w:val="auto"/>
                      <w:sz w:val="21"/>
                      <w:szCs w:val="21"/>
                      <w:highlight w:val="none"/>
                      <w:lang w:val="en-US" w:eastAsia="zh-CN"/>
                    </w:rPr>
                    <w:t>目前已完工。</w:t>
                  </w:r>
                </w:p>
              </w:tc>
              <w:tc>
                <w:tcPr>
                  <w:tcW w:w="750" w:type="dxa"/>
                  <w:vMerge w:val="continue"/>
                  <w:noWrap w:val="0"/>
                  <w:vAlign w:val="center"/>
                </w:tcPr>
                <w:p w14:paraId="104565C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snapToGrid w:val="0"/>
                      <w:color w:val="auto"/>
                      <w:sz w:val="21"/>
                      <w:szCs w:val="21"/>
                      <w:highlight w:val="none"/>
                      <w:lang w:val="en-US" w:eastAsia="zh-CN"/>
                    </w:rPr>
                  </w:pPr>
                </w:p>
              </w:tc>
              <w:tc>
                <w:tcPr>
                  <w:tcW w:w="663" w:type="dxa"/>
                  <w:vMerge w:val="continue"/>
                  <w:noWrap w:val="0"/>
                  <w:vAlign w:val="center"/>
                </w:tcPr>
                <w:p w14:paraId="29AF5C1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snapToGrid w:val="0"/>
                      <w:color w:val="auto"/>
                      <w:sz w:val="21"/>
                      <w:szCs w:val="21"/>
                      <w:highlight w:val="none"/>
                      <w:lang w:val="en-US" w:eastAsia="zh-CN"/>
                    </w:rPr>
                  </w:pPr>
                </w:p>
              </w:tc>
            </w:tr>
            <w:tr w14:paraId="2382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restart"/>
                  <w:noWrap w:val="0"/>
                  <w:vAlign w:val="center"/>
                </w:tcPr>
                <w:p w14:paraId="4824951A">
                  <w:pPr>
                    <w:pStyle w:val="23"/>
                    <w:spacing w:line="240" w:lineRule="auto"/>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附属工程</w:t>
                  </w:r>
                </w:p>
              </w:tc>
              <w:tc>
                <w:tcPr>
                  <w:tcW w:w="845" w:type="dxa"/>
                  <w:vMerge w:val="restart"/>
                  <w:noWrap w:val="0"/>
                  <w:vAlign w:val="center"/>
                </w:tcPr>
                <w:p w14:paraId="0DF6D9D5">
                  <w:pPr>
                    <w:pStyle w:val="23"/>
                    <w:spacing w:line="240" w:lineRule="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穿堤</w:t>
                  </w:r>
                </w:p>
                <w:p w14:paraId="31CA4E94">
                  <w:pPr>
                    <w:pStyle w:val="23"/>
                    <w:spacing w:line="240" w:lineRule="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涵管</w:t>
                  </w:r>
                </w:p>
              </w:tc>
              <w:tc>
                <w:tcPr>
                  <w:tcW w:w="1045" w:type="dxa"/>
                  <w:gridSpan w:val="2"/>
                  <w:shd w:val="clear" w:color="auto" w:fill="auto"/>
                  <w:noWrap w:val="0"/>
                  <w:vAlign w:val="center"/>
                </w:tcPr>
                <w:p w14:paraId="1DDE7BA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石河镇二郎段、福兴段</w:t>
                  </w:r>
                </w:p>
              </w:tc>
              <w:tc>
                <w:tcPr>
                  <w:tcW w:w="4961" w:type="dxa"/>
                  <w:shd w:val="clear" w:color="auto" w:fill="auto"/>
                  <w:noWrap w:val="0"/>
                  <w:vAlign w:val="center"/>
                </w:tcPr>
                <w:p w14:paraId="6A56458F">
                  <w:pPr>
                    <w:spacing w:line="240" w:lineRule="auto"/>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根据《堤防工程设计规范》（GB50286-2013）的规定，</w:t>
                  </w:r>
                  <w:r>
                    <w:rPr>
                      <w:rFonts w:hint="eastAsia" w:cs="Times New Roman"/>
                      <w:color w:val="auto"/>
                      <w:sz w:val="21"/>
                      <w:szCs w:val="21"/>
                      <w:highlight w:val="none"/>
                      <w:lang w:val="en-US" w:eastAsia="zh-CN"/>
                    </w:rPr>
                    <w:t>该工程段</w:t>
                  </w:r>
                  <w:r>
                    <w:rPr>
                      <w:rFonts w:hint="default" w:ascii="Times New Roman" w:hAnsi="Times New Roman" w:cs="Times New Roman"/>
                      <w:color w:val="auto"/>
                      <w:sz w:val="21"/>
                      <w:szCs w:val="21"/>
                      <w:highlight w:val="none"/>
                    </w:rPr>
                    <w:t>管涵设计均用作堤后排水标准为5年一遇。在各段堤防堤背后新建一条C20砼排水沟排涝，沟走向与堤背地势平行，从上往下游排至河道，二郎段排水沟为净空尺寸0..3*0.3m，壁厚为20cm的C20砼排水沟，福兴段排水沟净空尺寸为0.3*0.3m，壁厚20cm的C20砼排水沟，平均每隔500m设Φ300PE管涵穿堤排入柳城河，堤内侧设拍门，防止河水倒灌。</w:t>
                  </w:r>
                  <w:r>
                    <w:rPr>
                      <w:rFonts w:hint="eastAsia" w:cs="Times New Roman"/>
                      <w:color w:val="auto"/>
                      <w:sz w:val="21"/>
                      <w:szCs w:val="21"/>
                      <w:highlight w:val="none"/>
                      <w:lang w:val="en-US" w:eastAsia="zh-CN"/>
                    </w:rPr>
                    <w:t>该工程段</w:t>
                  </w:r>
                  <w:r>
                    <w:rPr>
                      <w:rFonts w:hint="default" w:ascii="Times New Roman" w:hAnsi="Times New Roman" w:cs="Times New Roman"/>
                      <w:color w:val="auto"/>
                      <w:sz w:val="21"/>
                      <w:szCs w:val="21"/>
                      <w:highlight w:val="none"/>
                    </w:rPr>
                    <w:t>共涉及11处排涝管涵。</w:t>
                  </w:r>
                  <w:r>
                    <w:rPr>
                      <w:rFonts w:hint="eastAsia" w:cs="Times New Roman"/>
                      <w:snapToGrid w:val="0"/>
                      <w:color w:val="auto"/>
                      <w:sz w:val="21"/>
                      <w:szCs w:val="21"/>
                      <w:highlight w:val="none"/>
                      <w:lang w:val="en-US" w:eastAsia="zh-CN"/>
                    </w:rPr>
                    <w:t>其中，</w:t>
                  </w:r>
                  <w:r>
                    <w:rPr>
                      <w:rFonts w:hint="eastAsia" w:cs="Times New Roman"/>
                      <w:color w:val="auto"/>
                      <w:sz w:val="21"/>
                      <w:szCs w:val="21"/>
                      <w:highlight w:val="none"/>
                      <w:lang w:val="en-US" w:eastAsia="zh-CN"/>
                    </w:rPr>
                    <w:t>二郎段新建</w:t>
                  </w:r>
                  <w:r>
                    <w:rPr>
                      <w:rFonts w:hint="default"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处</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福兴段新建5处。</w:t>
                  </w:r>
                </w:p>
              </w:tc>
              <w:tc>
                <w:tcPr>
                  <w:tcW w:w="750" w:type="dxa"/>
                  <w:vMerge w:val="continue"/>
                  <w:noWrap w:val="0"/>
                  <w:vAlign w:val="center"/>
                </w:tcPr>
                <w:p w14:paraId="40803D50">
                  <w:pPr>
                    <w:pStyle w:val="23"/>
                    <w:spacing w:line="240" w:lineRule="auto"/>
                    <w:rPr>
                      <w:rFonts w:hint="default" w:ascii="Times New Roman" w:hAnsi="Times New Roman" w:cs="Times New Roman"/>
                      <w:color w:val="auto"/>
                      <w:szCs w:val="21"/>
                      <w:highlight w:val="none"/>
                    </w:rPr>
                  </w:pPr>
                </w:p>
              </w:tc>
              <w:tc>
                <w:tcPr>
                  <w:tcW w:w="663" w:type="dxa"/>
                  <w:vMerge w:val="continue"/>
                  <w:noWrap w:val="0"/>
                  <w:vAlign w:val="center"/>
                </w:tcPr>
                <w:p w14:paraId="2A9E72C1">
                  <w:pPr>
                    <w:pStyle w:val="23"/>
                    <w:spacing w:line="240" w:lineRule="auto"/>
                    <w:rPr>
                      <w:rFonts w:hint="default" w:ascii="Times New Roman" w:hAnsi="Times New Roman" w:cs="Times New Roman"/>
                      <w:color w:val="auto"/>
                      <w:szCs w:val="21"/>
                      <w:highlight w:val="none"/>
                    </w:rPr>
                  </w:pPr>
                </w:p>
              </w:tc>
            </w:tr>
            <w:tr w14:paraId="7F10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6BCE4B18">
                  <w:pPr>
                    <w:spacing w:line="240" w:lineRule="auto"/>
                    <w:ind w:firstLine="0" w:firstLineChars="0"/>
                    <w:jc w:val="left"/>
                    <w:rPr>
                      <w:color w:val="auto"/>
                      <w:highlight w:val="none"/>
                    </w:rPr>
                  </w:pPr>
                </w:p>
              </w:tc>
              <w:tc>
                <w:tcPr>
                  <w:tcW w:w="845" w:type="dxa"/>
                  <w:vMerge w:val="continue"/>
                  <w:noWrap w:val="0"/>
                  <w:vAlign w:val="center"/>
                </w:tcPr>
                <w:p w14:paraId="115449A0">
                  <w:pPr>
                    <w:spacing w:line="240" w:lineRule="auto"/>
                    <w:ind w:firstLine="0" w:firstLineChars="0"/>
                    <w:jc w:val="left"/>
                    <w:rPr>
                      <w:color w:val="auto"/>
                      <w:highlight w:val="none"/>
                    </w:rPr>
                  </w:pPr>
                </w:p>
              </w:tc>
              <w:tc>
                <w:tcPr>
                  <w:tcW w:w="1045" w:type="dxa"/>
                  <w:gridSpan w:val="2"/>
                  <w:shd w:val="clear" w:color="auto" w:fill="auto"/>
                  <w:noWrap w:val="0"/>
                  <w:vAlign w:val="center"/>
                </w:tcPr>
                <w:p w14:paraId="3EC2FDF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石河镇石河镇段、双拱场段</w:t>
                  </w:r>
                </w:p>
              </w:tc>
              <w:tc>
                <w:tcPr>
                  <w:tcW w:w="4961" w:type="dxa"/>
                  <w:shd w:val="clear" w:color="auto" w:fill="auto"/>
                  <w:noWrap w:val="0"/>
                  <w:vAlign w:val="center"/>
                </w:tcPr>
                <w:p w14:paraId="034FEDF3">
                  <w:pPr>
                    <w:spacing w:line="240" w:lineRule="auto"/>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根据《堤防工程设计规范》（GB50286-2013）的规定，</w:t>
                  </w:r>
                  <w:r>
                    <w:rPr>
                      <w:rFonts w:hint="eastAsia" w:cs="Times New Roman"/>
                      <w:color w:val="auto"/>
                      <w:sz w:val="21"/>
                      <w:szCs w:val="21"/>
                      <w:highlight w:val="none"/>
                      <w:lang w:val="en-US" w:eastAsia="zh-CN"/>
                    </w:rPr>
                    <w:t>该工程段</w:t>
                  </w:r>
                  <w:r>
                    <w:rPr>
                      <w:rFonts w:hint="default" w:ascii="Times New Roman" w:hAnsi="Times New Roman" w:cs="Times New Roman"/>
                      <w:color w:val="auto"/>
                      <w:sz w:val="21"/>
                      <w:szCs w:val="21"/>
                      <w:highlight w:val="none"/>
                    </w:rPr>
                    <w:t>管涵设计均用作堤后排水标准为5年一遇。</w:t>
                  </w:r>
                  <w:r>
                    <w:rPr>
                      <w:color w:val="auto"/>
                      <w:sz w:val="21"/>
                      <w:szCs w:val="21"/>
                      <w:highlight w:val="none"/>
                    </w:rPr>
                    <w:t>采用钢筋混凝土穿堤涵管排除洪水</w:t>
                  </w:r>
                  <w:r>
                    <w:rPr>
                      <w:rFonts w:hint="eastAsia"/>
                      <w:color w:val="auto"/>
                      <w:sz w:val="21"/>
                      <w:szCs w:val="21"/>
                      <w:highlight w:val="none"/>
                      <w:lang w:eastAsia="zh-CN"/>
                    </w:rPr>
                    <w:t>，</w:t>
                  </w:r>
                  <w:r>
                    <w:rPr>
                      <w:rFonts w:hint="eastAsia"/>
                      <w:color w:val="auto"/>
                      <w:sz w:val="21"/>
                      <w:szCs w:val="21"/>
                      <w:highlight w:val="none"/>
                      <w:lang w:val="en-US" w:eastAsia="zh-CN"/>
                    </w:rPr>
                    <w:t>规格为</w:t>
                  </w:r>
                  <w:r>
                    <w:rPr>
                      <w:color w:val="auto"/>
                      <w:kern w:val="0"/>
                      <w:sz w:val="21"/>
                      <w:szCs w:val="21"/>
                      <w:highlight w:val="none"/>
                    </w:rPr>
                    <w:t>Φ500 II级钢筋砼管涵</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该工程段</w:t>
                  </w:r>
                  <w:r>
                    <w:rPr>
                      <w:color w:val="auto"/>
                      <w:sz w:val="21"/>
                      <w:szCs w:val="21"/>
                      <w:highlight w:val="none"/>
                    </w:rPr>
                    <w:t>共涉及15处排涝管涵</w:t>
                  </w:r>
                  <w:r>
                    <w:rPr>
                      <w:rFonts w:hint="eastAsia"/>
                      <w:color w:val="auto"/>
                      <w:sz w:val="21"/>
                      <w:szCs w:val="21"/>
                      <w:highlight w:val="none"/>
                      <w:lang w:eastAsia="zh-CN"/>
                    </w:rPr>
                    <w:t>。</w:t>
                  </w:r>
                  <w:r>
                    <w:rPr>
                      <w:color w:val="auto"/>
                      <w:sz w:val="21"/>
                      <w:szCs w:val="21"/>
                      <w:highlight w:val="none"/>
                    </w:rPr>
                    <w:t>其中，石河镇段新建8处，双拱场新建7处</w:t>
                  </w:r>
                  <w:r>
                    <w:rPr>
                      <w:rFonts w:hint="default" w:ascii="Times New Roman" w:hAnsi="Times New Roman" w:cs="Times New Roman"/>
                      <w:snapToGrid w:val="0"/>
                      <w:color w:val="auto"/>
                      <w:sz w:val="21"/>
                      <w:szCs w:val="21"/>
                      <w:highlight w:val="none"/>
                    </w:rPr>
                    <w:t>。</w:t>
                  </w:r>
                </w:p>
              </w:tc>
              <w:tc>
                <w:tcPr>
                  <w:tcW w:w="750" w:type="dxa"/>
                  <w:vMerge w:val="continue"/>
                  <w:noWrap w:val="0"/>
                  <w:vAlign w:val="center"/>
                </w:tcPr>
                <w:p w14:paraId="1214C758">
                  <w:pPr>
                    <w:spacing w:line="240" w:lineRule="auto"/>
                    <w:ind w:firstLine="0" w:firstLineChars="0"/>
                    <w:jc w:val="left"/>
                    <w:rPr>
                      <w:color w:val="auto"/>
                      <w:highlight w:val="none"/>
                    </w:rPr>
                  </w:pPr>
                </w:p>
              </w:tc>
              <w:tc>
                <w:tcPr>
                  <w:tcW w:w="663" w:type="dxa"/>
                  <w:vMerge w:val="continue"/>
                  <w:noWrap w:val="0"/>
                  <w:vAlign w:val="center"/>
                </w:tcPr>
                <w:p w14:paraId="2526188A">
                  <w:pPr>
                    <w:spacing w:line="240" w:lineRule="auto"/>
                    <w:ind w:firstLine="0" w:firstLineChars="0"/>
                    <w:jc w:val="left"/>
                    <w:rPr>
                      <w:color w:val="auto"/>
                      <w:highlight w:val="none"/>
                    </w:rPr>
                  </w:pPr>
                </w:p>
              </w:tc>
            </w:tr>
            <w:tr w14:paraId="105A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513ACEEF">
                  <w:pPr>
                    <w:spacing w:line="240" w:lineRule="auto"/>
                    <w:ind w:firstLine="0" w:firstLineChars="0"/>
                    <w:jc w:val="left"/>
                    <w:rPr>
                      <w:color w:val="auto"/>
                      <w:highlight w:val="none"/>
                    </w:rPr>
                  </w:pPr>
                </w:p>
              </w:tc>
              <w:tc>
                <w:tcPr>
                  <w:tcW w:w="845" w:type="dxa"/>
                  <w:vMerge w:val="continue"/>
                  <w:noWrap w:val="0"/>
                  <w:vAlign w:val="center"/>
                </w:tcPr>
                <w:p w14:paraId="009A2918">
                  <w:pPr>
                    <w:spacing w:line="240" w:lineRule="auto"/>
                    <w:ind w:firstLine="0" w:firstLineChars="0"/>
                    <w:jc w:val="left"/>
                    <w:rPr>
                      <w:color w:val="auto"/>
                      <w:highlight w:val="none"/>
                    </w:rPr>
                  </w:pPr>
                </w:p>
              </w:tc>
              <w:tc>
                <w:tcPr>
                  <w:tcW w:w="1045" w:type="dxa"/>
                  <w:gridSpan w:val="2"/>
                  <w:shd w:val="clear" w:color="auto" w:fill="auto"/>
                  <w:noWrap w:val="0"/>
                  <w:vAlign w:val="center"/>
                </w:tcPr>
                <w:p w14:paraId="5BF424C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东柳河清河镇段</w:t>
                  </w:r>
                </w:p>
              </w:tc>
              <w:tc>
                <w:tcPr>
                  <w:tcW w:w="4961" w:type="dxa"/>
                  <w:shd w:val="clear" w:color="auto" w:fill="auto"/>
                  <w:noWrap w:val="0"/>
                  <w:vAlign w:val="center"/>
                </w:tcPr>
                <w:p w14:paraId="2F3C06C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color w:val="auto"/>
                      <w:sz w:val="21"/>
                      <w:szCs w:val="21"/>
                      <w:highlight w:val="none"/>
                    </w:rPr>
                  </w:pPr>
                  <w:r>
                    <w:rPr>
                      <w:rFonts w:hint="eastAsia" w:ascii="Times New Roman" w:hAnsi="Times New Roman" w:eastAsia="宋体"/>
                      <w:b w:val="0"/>
                      <w:bCs/>
                      <w:color w:val="auto"/>
                      <w:sz w:val="21"/>
                      <w:szCs w:val="21"/>
                      <w:highlight w:val="none"/>
                      <w:lang w:val="en-US" w:eastAsia="zh-CN"/>
                    </w:rPr>
                    <w:t>排涝管涵：10处。其中，右岸新建7处排涝管涵，满足堤防排涝；左岸3处现状已有排水管口处按原规格接出。目前已完工。</w:t>
                  </w:r>
                </w:p>
              </w:tc>
              <w:tc>
                <w:tcPr>
                  <w:tcW w:w="750" w:type="dxa"/>
                  <w:vMerge w:val="continue"/>
                  <w:noWrap w:val="0"/>
                  <w:vAlign w:val="center"/>
                </w:tcPr>
                <w:p w14:paraId="51D18AEC">
                  <w:pPr>
                    <w:spacing w:line="240" w:lineRule="auto"/>
                    <w:ind w:firstLine="0" w:firstLineChars="0"/>
                    <w:jc w:val="left"/>
                    <w:rPr>
                      <w:color w:val="auto"/>
                      <w:highlight w:val="none"/>
                    </w:rPr>
                  </w:pPr>
                </w:p>
              </w:tc>
              <w:tc>
                <w:tcPr>
                  <w:tcW w:w="663" w:type="dxa"/>
                  <w:vMerge w:val="continue"/>
                  <w:noWrap w:val="0"/>
                  <w:vAlign w:val="center"/>
                </w:tcPr>
                <w:p w14:paraId="115D3367">
                  <w:pPr>
                    <w:spacing w:line="240" w:lineRule="auto"/>
                    <w:ind w:firstLine="0" w:firstLineChars="0"/>
                    <w:jc w:val="left"/>
                    <w:rPr>
                      <w:color w:val="auto"/>
                      <w:highlight w:val="none"/>
                    </w:rPr>
                  </w:pPr>
                </w:p>
              </w:tc>
            </w:tr>
            <w:tr w14:paraId="12F6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2655A93B">
                  <w:pPr>
                    <w:spacing w:line="240" w:lineRule="auto"/>
                    <w:ind w:firstLine="0" w:firstLineChars="0"/>
                    <w:jc w:val="left"/>
                    <w:rPr>
                      <w:color w:val="auto"/>
                      <w:highlight w:val="none"/>
                    </w:rPr>
                  </w:pPr>
                </w:p>
              </w:tc>
              <w:tc>
                <w:tcPr>
                  <w:tcW w:w="845" w:type="dxa"/>
                  <w:vMerge w:val="continue"/>
                  <w:noWrap w:val="0"/>
                  <w:vAlign w:val="center"/>
                </w:tcPr>
                <w:p w14:paraId="765E1ACE">
                  <w:pPr>
                    <w:spacing w:line="240" w:lineRule="auto"/>
                    <w:ind w:firstLine="0" w:firstLineChars="0"/>
                    <w:jc w:val="left"/>
                    <w:rPr>
                      <w:color w:val="auto"/>
                      <w:highlight w:val="none"/>
                    </w:rPr>
                  </w:pPr>
                </w:p>
              </w:tc>
              <w:tc>
                <w:tcPr>
                  <w:tcW w:w="1045" w:type="dxa"/>
                  <w:gridSpan w:val="2"/>
                  <w:shd w:val="clear" w:color="auto" w:fill="auto"/>
                  <w:noWrap w:val="0"/>
                  <w:vAlign w:val="center"/>
                </w:tcPr>
                <w:p w14:paraId="0174E7C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东柳河杨家镇段</w:t>
                  </w:r>
                </w:p>
              </w:tc>
              <w:tc>
                <w:tcPr>
                  <w:tcW w:w="4961" w:type="dxa"/>
                  <w:noWrap w:val="0"/>
                  <w:vAlign w:val="center"/>
                </w:tcPr>
                <w:p w14:paraId="7319009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color w:val="auto"/>
                      <w:highlight w:val="none"/>
                    </w:rPr>
                  </w:pPr>
                  <w:r>
                    <w:rPr>
                      <w:rFonts w:hint="eastAsia" w:ascii="Times New Roman" w:hAnsi="Times New Roman" w:eastAsia="宋体"/>
                      <w:b w:val="0"/>
                      <w:bCs/>
                      <w:color w:val="auto"/>
                      <w:sz w:val="21"/>
                      <w:szCs w:val="21"/>
                      <w:highlight w:val="none"/>
                      <w:lang w:val="en-US" w:eastAsia="zh-CN"/>
                    </w:rPr>
                    <w:t>排涝管涵：4处，其中，左岸新建2处、右岸新建2处。目前已完工。</w:t>
                  </w:r>
                </w:p>
              </w:tc>
              <w:tc>
                <w:tcPr>
                  <w:tcW w:w="750" w:type="dxa"/>
                  <w:vMerge w:val="continue"/>
                  <w:noWrap w:val="0"/>
                  <w:vAlign w:val="center"/>
                </w:tcPr>
                <w:p w14:paraId="3388B55F">
                  <w:pPr>
                    <w:spacing w:line="240" w:lineRule="auto"/>
                    <w:ind w:firstLine="0" w:firstLineChars="0"/>
                    <w:jc w:val="left"/>
                    <w:rPr>
                      <w:color w:val="auto"/>
                      <w:highlight w:val="none"/>
                    </w:rPr>
                  </w:pPr>
                </w:p>
              </w:tc>
              <w:tc>
                <w:tcPr>
                  <w:tcW w:w="663" w:type="dxa"/>
                  <w:vMerge w:val="continue"/>
                  <w:noWrap w:val="0"/>
                  <w:vAlign w:val="center"/>
                </w:tcPr>
                <w:p w14:paraId="24685619">
                  <w:pPr>
                    <w:spacing w:line="240" w:lineRule="auto"/>
                    <w:ind w:firstLine="0" w:firstLineChars="0"/>
                    <w:jc w:val="left"/>
                    <w:rPr>
                      <w:color w:val="auto"/>
                      <w:highlight w:val="none"/>
                    </w:rPr>
                  </w:pPr>
                </w:p>
              </w:tc>
            </w:tr>
            <w:tr w14:paraId="3915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19EE5A2A">
                  <w:pPr>
                    <w:pStyle w:val="23"/>
                    <w:spacing w:line="240" w:lineRule="auto"/>
                    <w:rPr>
                      <w:rFonts w:hint="default" w:ascii="Times New Roman" w:hAnsi="Times New Roman" w:cs="Times New Roman"/>
                      <w:color w:val="auto"/>
                      <w:szCs w:val="21"/>
                      <w:highlight w:val="none"/>
                    </w:rPr>
                  </w:pPr>
                </w:p>
              </w:tc>
              <w:tc>
                <w:tcPr>
                  <w:tcW w:w="845" w:type="dxa"/>
                  <w:vMerge w:val="restart"/>
                  <w:noWrap w:val="0"/>
                  <w:vAlign w:val="center"/>
                </w:tcPr>
                <w:p w14:paraId="644824E8">
                  <w:pPr>
                    <w:pStyle w:val="23"/>
                    <w:spacing w:line="240" w:lineRule="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下河梯步</w:t>
                  </w:r>
                </w:p>
              </w:tc>
              <w:tc>
                <w:tcPr>
                  <w:tcW w:w="1045" w:type="dxa"/>
                  <w:gridSpan w:val="2"/>
                  <w:shd w:val="clear" w:color="auto" w:fill="auto"/>
                  <w:noWrap w:val="0"/>
                  <w:vAlign w:val="center"/>
                </w:tcPr>
                <w:p w14:paraId="1840D74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石河镇二郎段、福兴段</w:t>
                  </w:r>
                </w:p>
              </w:tc>
              <w:tc>
                <w:tcPr>
                  <w:tcW w:w="4961" w:type="dxa"/>
                  <w:shd w:val="clear" w:color="auto" w:fill="auto"/>
                  <w:noWrap w:val="0"/>
                  <w:vAlign w:val="center"/>
                </w:tcPr>
                <w:p w14:paraId="76084EA3">
                  <w:pPr>
                    <w:pStyle w:val="23"/>
                    <w:spacing w:line="240" w:lineRule="auto"/>
                    <w:ind w:left="0" w:leftChars="0" w:firstLine="0" w:firstLineChars="0"/>
                    <w:jc w:val="both"/>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highlight w:val="none"/>
                    </w:rPr>
                    <w:t>在新建堤防处间隔300m左右新建下河梯步，共新建梯步10处。梯步宽2m，采用C25砼现浇，下设20cm厚碎石垫层</w:t>
                  </w:r>
                  <w:r>
                    <w:rPr>
                      <w:rFonts w:hint="default" w:ascii="Times New Roman" w:hAnsi="Times New Roman" w:cs="Times New Roman"/>
                      <w:color w:val="auto"/>
                      <w:highlight w:val="none"/>
                      <w:lang w:eastAsia="zh-CN"/>
                    </w:rPr>
                    <w:t>。</w:t>
                  </w:r>
                </w:p>
              </w:tc>
              <w:tc>
                <w:tcPr>
                  <w:tcW w:w="750" w:type="dxa"/>
                  <w:vMerge w:val="continue"/>
                  <w:noWrap w:val="0"/>
                  <w:vAlign w:val="center"/>
                </w:tcPr>
                <w:p w14:paraId="294937F2">
                  <w:pPr>
                    <w:pStyle w:val="23"/>
                    <w:spacing w:line="240" w:lineRule="auto"/>
                    <w:rPr>
                      <w:rFonts w:hint="default" w:ascii="Times New Roman" w:hAnsi="Times New Roman" w:cs="Times New Roman"/>
                      <w:color w:val="auto"/>
                      <w:szCs w:val="21"/>
                      <w:highlight w:val="none"/>
                    </w:rPr>
                  </w:pPr>
                </w:p>
              </w:tc>
              <w:tc>
                <w:tcPr>
                  <w:tcW w:w="663" w:type="dxa"/>
                  <w:vMerge w:val="continue"/>
                  <w:noWrap w:val="0"/>
                  <w:vAlign w:val="center"/>
                </w:tcPr>
                <w:p w14:paraId="77E4F9AA">
                  <w:pPr>
                    <w:pStyle w:val="23"/>
                    <w:spacing w:line="240" w:lineRule="auto"/>
                    <w:rPr>
                      <w:rFonts w:hint="default" w:ascii="Times New Roman" w:hAnsi="Times New Roman" w:cs="Times New Roman"/>
                      <w:color w:val="auto"/>
                      <w:szCs w:val="21"/>
                      <w:highlight w:val="none"/>
                    </w:rPr>
                  </w:pPr>
                </w:p>
              </w:tc>
            </w:tr>
            <w:tr w14:paraId="1BCCB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781" w:type="dxa"/>
                  <w:vMerge w:val="continue"/>
                  <w:noWrap w:val="0"/>
                  <w:vAlign w:val="center"/>
                </w:tcPr>
                <w:p w14:paraId="1C4C2120">
                  <w:pPr>
                    <w:pStyle w:val="23"/>
                    <w:spacing w:line="240" w:lineRule="auto"/>
                    <w:jc w:val="both"/>
                    <w:rPr>
                      <w:color w:val="auto"/>
                      <w:highlight w:val="none"/>
                    </w:rPr>
                  </w:pPr>
                </w:p>
              </w:tc>
              <w:tc>
                <w:tcPr>
                  <w:tcW w:w="845" w:type="dxa"/>
                  <w:vMerge w:val="continue"/>
                  <w:noWrap w:val="0"/>
                  <w:vAlign w:val="center"/>
                </w:tcPr>
                <w:p w14:paraId="39FA484F">
                  <w:pPr>
                    <w:pStyle w:val="23"/>
                    <w:spacing w:line="240" w:lineRule="auto"/>
                    <w:jc w:val="both"/>
                    <w:rPr>
                      <w:color w:val="auto"/>
                      <w:highlight w:val="none"/>
                    </w:rPr>
                  </w:pPr>
                </w:p>
              </w:tc>
              <w:tc>
                <w:tcPr>
                  <w:tcW w:w="1045" w:type="dxa"/>
                  <w:gridSpan w:val="2"/>
                  <w:shd w:val="clear" w:color="auto" w:fill="auto"/>
                  <w:noWrap w:val="0"/>
                  <w:vAlign w:val="center"/>
                </w:tcPr>
                <w:p w14:paraId="5EA3DFA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石河镇石河镇段、双拱场段</w:t>
                  </w:r>
                </w:p>
              </w:tc>
              <w:tc>
                <w:tcPr>
                  <w:tcW w:w="4961" w:type="dxa"/>
                  <w:shd w:val="clear" w:color="auto" w:fill="auto"/>
                  <w:noWrap w:val="0"/>
                  <w:vAlign w:val="center"/>
                </w:tcPr>
                <w:p w14:paraId="6B69C861">
                  <w:pPr>
                    <w:pStyle w:val="23"/>
                    <w:spacing w:line="240" w:lineRule="auto"/>
                    <w:ind w:left="0" w:leftChars="0" w:firstLine="0" w:firstLineChars="0"/>
                    <w:jc w:val="both"/>
                    <w:rPr>
                      <w:rFonts w:hint="default" w:ascii="Times New Roman" w:hAnsi="Times New Roman" w:eastAsia="宋体" w:cs="Times New Roman"/>
                      <w:snapToGrid w:val="0"/>
                      <w:color w:val="auto"/>
                      <w:w w:val="100"/>
                      <w:sz w:val="21"/>
                      <w:szCs w:val="21"/>
                      <w:highlight w:val="none"/>
                      <w:lang w:val="en-US" w:eastAsia="zh-CN" w:bidi="ar-SA"/>
                    </w:rPr>
                  </w:pPr>
                  <w:r>
                    <w:rPr>
                      <w:color w:val="auto"/>
                      <w:sz w:val="21"/>
                      <w:szCs w:val="21"/>
                      <w:highlight w:val="none"/>
                    </w:rPr>
                    <w:t>在新建护岸段间隔200m左右新建下河梯步，共新建梯步20处。梯步宽2m，采用C25砼现浇，下设10cm厚碎石垫层</w:t>
                  </w:r>
                  <w:r>
                    <w:rPr>
                      <w:rFonts w:hint="default" w:ascii="Times New Roman" w:hAnsi="Times New Roman" w:cs="Times New Roman"/>
                      <w:color w:val="auto"/>
                      <w:sz w:val="21"/>
                      <w:szCs w:val="21"/>
                      <w:highlight w:val="none"/>
                      <w:lang w:eastAsia="zh-CN"/>
                    </w:rPr>
                    <w:t>。</w:t>
                  </w:r>
                </w:p>
              </w:tc>
              <w:tc>
                <w:tcPr>
                  <w:tcW w:w="750" w:type="dxa"/>
                  <w:vMerge w:val="continue"/>
                  <w:noWrap w:val="0"/>
                  <w:vAlign w:val="center"/>
                </w:tcPr>
                <w:p w14:paraId="4C191988">
                  <w:pPr>
                    <w:pStyle w:val="23"/>
                    <w:spacing w:line="240" w:lineRule="auto"/>
                    <w:jc w:val="both"/>
                    <w:rPr>
                      <w:color w:val="auto"/>
                      <w:highlight w:val="none"/>
                    </w:rPr>
                  </w:pPr>
                </w:p>
              </w:tc>
              <w:tc>
                <w:tcPr>
                  <w:tcW w:w="663" w:type="dxa"/>
                  <w:vMerge w:val="continue"/>
                  <w:noWrap w:val="0"/>
                  <w:vAlign w:val="center"/>
                </w:tcPr>
                <w:p w14:paraId="331E182C">
                  <w:pPr>
                    <w:pStyle w:val="23"/>
                    <w:spacing w:line="240" w:lineRule="auto"/>
                    <w:jc w:val="both"/>
                    <w:rPr>
                      <w:color w:val="auto"/>
                      <w:highlight w:val="none"/>
                    </w:rPr>
                  </w:pPr>
                </w:p>
              </w:tc>
            </w:tr>
            <w:tr w14:paraId="7599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81" w:type="dxa"/>
                  <w:vMerge w:val="continue"/>
                  <w:noWrap w:val="0"/>
                  <w:vAlign w:val="center"/>
                </w:tcPr>
                <w:p w14:paraId="03A055C0">
                  <w:pPr>
                    <w:pStyle w:val="23"/>
                    <w:spacing w:line="240" w:lineRule="auto"/>
                    <w:jc w:val="both"/>
                    <w:rPr>
                      <w:color w:val="auto"/>
                      <w:highlight w:val="none"/>
                    </w:rPr>
                  </w:pPr>
                </w:p>
              </w:tc>
              <w:tc>
                <w:tcPr>
                  <w:tcW w:w="845" w:type="dxa"/>
                  <w:vMerge w:val="restart"/>
                  <w:noWrap w:val="0"/>
                  <w:vAlign w:val="center"/>
                </w:tcPr>
                <w:p w14:paraId="67191C49">
                  <w:pPr>
                    <w:pStyle w:val="23"/>
                    <w:spacing w:line="240" w:lineRule="auto"/>
                    <w:jc w:val="center"/>
                    <w:rPr>
                      <w:rFonts w:hint="eastAsia"/>
                      <w:color w:val="auto"/>
                      <w:highlight w:val="none"/>
                      <w:lang w:val="en-US" w:eastAsia="zh-CN"/>
                    </w:rPr>
                  </w:pPr>
                  <w:r>
                    <w:rPr>
                      <w:rFonts w:hint="eastAsia"/>
                      <w:color w:val="auto"/>
                      <w:highlight w:val="none"/>
                      <w:lang w:val="en-US" w:eastAsia="zh-CN"/>
                    </w:rPr>
                    <w:t>亲水</w:t>
                  </w:r>
                </w:p>
                <w:p w14:paraId="057BF95E">
                  <w:pPr>
                    <w:pStyle w:val="23"/>
                    <w:spacing w:line="240" w:lineRule="auto"/>
                    <w:jc w:val="center"/>
                    <w:rPr>
                      <w:rFonts w:hint="default" w:eastAsia="宋体"/>
                      <w:color w:val="auto"/>
                      <w:highlight w:val="none"/>
                      <w:lang w:val="en-US" w:eastAsia="zh-CN"/>
                    </w:rPr>
                  </w:pPr>
                  <w:r>
                    <w:rPr>
                      <w:rFonts w:hint="eastAsia"/>
                      <w:color w:val="auto"/>
                      <w:highlight w:val="none"/>
                      <w:lang w:val="en-US" w:eastAsia="zh-CN"/>
                    </w:rPr>
                    <w:t>步道</w:t>
                  </w:r>
                </w:p>
              </w:tc>
              <w:tc>
                <w:tcPr>
                  <w:tcW w:w="1045" w:type="dxa"/>
                  <w:gridSpan w:val="2"/>
                  <w:shd w:val="clear" w:color="auto" w:fill="auto"/>
                  <w:noWrap w:val="0"/>
                  <w:vAlign w:val="center"/>
                </w:tcPr>
                <w:p w14:paraId="602735F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东柳河清河镇段</w:t>
                  </w:r>
                </w:p>
              </w:tc>
              <w:tc>
                <w:tcPr>
                  <w:tcW w:w="4961" w:type="dxa"/>
                  <w:shd w:val="clear" w:color="auto" w:fill="auto"/>
                  <w:noWrap w:val="0"/>
                  <w:vAlign w:val="center"/>
                </w:tcPr>
                <w:p w14:paraId="4C052B07">
                  <w:pPr>
                    <w:pStyle w:val="23"/>
                    <w:spacing w:line="240" w:lineRule="auto"/>
                    <w:ind w:left="0" w:leftChars="0" w:firstLine="0" w:firstLineChars="0"/>
                    <w:jc w:val="both"/>
                    <w:rPr>
                      <w:color w:val="auto"/>
                      <w:sz w:val="21"/>
                      <w:szCs w:val="21"/>
                      <w:highlight w:val="none"/>
                    </w:rPr>
                  </w:pPr>
                  <w:r>
                    <w:rPr>
                      <w:rFonts w:hint="eastAsia"/>
                      <w:color w:val="auto"/>
                      <w:sz w:val="21"/>
                      <w:szCs w:val="21"/>
                      <w:highlight w:val="none"/>
                    </w:rPr>
                    <w:t>新建2.0m宽的亲水步道</w:t>
                  </w:r>
                  <w:r>
                    <w:rPr>
                      <w:rFonts w:hint="eastAsia"/>
                      <w:color w:val="auto"/>
                      <w:sz w:val="21"/>
                      <w:szCs w:val="21"/>
                      <w:highlight w:val="none"/>
                      <w:lang w:eastAsia="zh-CN"/>
                    </w:rPr>
                    <w:t>，</w:t>
                  </w:r>
                  <w:r>
                    <w:rPr>
                      <w:rFonts w:hint="eastAsia"/>
                      <w:color w:val="auto"/>
                      <w:sz w:val="21"/>
                      <w:szCs w:val="21"/>
                      <w:highlight w:val="none"/>
                    </w:rPr>
                    <w:t>长1652m</w:t>
                  </w:r>
                  <w:r>
                    <w:rPr>
                      <w:rFonts w:hint="eastAsia"/>
                      <w:color w:val="auto"/>
                      <w:sz w:val="21"/>
                      <w:szCs w:val="21"/>
                      <w:highlight w:val="none"/>
                      <w:lang w:eastAsia="zh-CN"/>
                    </w:rPr>
                    <w:t>。</w:t>
                  </w:r>
                  <w:r>
                    <w:rPr>
                      <w:rFonts w:hint="eastAsia"/>
                      <w:color w:val="auto"/>
                      <w:sz w:val="21"/>
                      <w:szCs w:val="21"/>
                      <w:highlight w:val="none"/>
                    </w:rPr>
                    <w:t>其中：干流段长1271m，支流段长381m，设计步道顶高程以设计洪水位（P=50%）+0.5m的高程控制。步道结构层和栏杆同堤顶结构。</w:t>
                  </w:r>
                  <w:r>
                    <w:rPr>
                      <w:rFonts w:hint="eastAsia" w:ascii="Times New Roman" w:hAnsi="Times New Roman" w:eastAsia="宋体"/>
                      <w:b w:val="0"/>
                      <w:bCs/>
                      <w:color w:val="auto"/>
                      <w:sz w:val="21"/>
                      <w:szCs w:val="21"/>
                      <w:highlight w:val="none"/>
                      <w:lang w:val="en-US" w:eastAsia="zh-CN"/>
                    </w:rPr>
                    <w:t>目前已完工。</w:t>
                  </w:r>
                </w:p>
              </w:tc>
              <w:tc>
                <w:tcPr>
                  <w:tcW w:w="750" w:type="dxa"/>
                  <w:vMerge w:val="continue"/>
                  <w:noWrap w:val="0"/>
                  <w:vAlign w:val="center"/>
                </w:tcPr>
                <w:p w14:paraId="3871D990">
                  <w:pPr>
                    <w:pStyle w:val="23"/>
                    <w:spacing w:line="240" w:lineRule="auto"/>
                    <w:jc w:val="both"/>
                    <w:rPr>
                      <w:color w:val="auto"/>
                      <w:highlight w:val="none"/>
                    </w:rPr>
                  </w:pPr>
                </w:p>
              </w:tc>
              <w:tc>
                <w:tcPr>
                  <w:tcW w:w="663" w:type="dxa"/>
                  <w:vMerge w:val="continue"/>
                  <w:noWrap w:val="0"/>
                  <w:vAlign w:val="center"/>
                </w:tcPr>
                <w:p w14:paraId="6FA0DC0C">
                  <w:pPr>
                    <w:pStyle w:val="23"/>
                    <w:spacing w:line="240" w:lineRule="auto"/>
                    <w:jc w:val="both"/>
                    <w:rPr>
                      <w:color w:val="auto"/>
                      <w:highlight w:val="none"/>
                    </w:rPr>
                  </w:pPr>
                </w:p>
              </w:tc>
            </w:tr>
            <w:tr w14:paraId="3A60B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81" w:type="dxa"/>
                  <w:vMerge w:val="continue"/>
                  <w:noWrap w:val="0"/>
                  <w:vAlign w:val="center"/>
                </w:tcPr>
                <w:p w14:paraId="2AE3FEB5">
                  <w:pPr>
                    <w:pStyle w:val="23"/>
                    <w:spacing w:line="240" w:lineRule="auto"/>
                    <w:jc w:val="both"/>
                    <w:rPr>
                      <w:color w:val="auto"/>
                      <w:highlight w:val="none"/>
                    </w:rPr>
                  </w:pPr>
                </w:p>
              </w:tc>
              <w:tc>
                <w:tcPr>
                  <w:tcW w:w="845" w:type="dxa"/>
                  <w:vMerge w:val="continue"/>
                  <w:noWrap w:val="0"/>
                  <w:vAlign w:val="center"/>
                </w:tcPr>
                <w:p w14:paraId="7BE94D85">
                  <w:pPr>
                    <w:pStyle w:val="23"/>
                    <w:spacing w:line="240" w:lineRule="auto"/>
                    <w:jc w:val="center"/>
                    <w:rPr>
                      <w:rFonts w:hint="eastAsia"/>
                      <w:color w:val="auto"/>
                      <w:highlight w:val="none"/>
                      <w:lang w:val="en-US" w:eastAsia="zh-CN"/>
                    </w:rPr>
                  </w:pPr>
                </w:p>
              </w:tc>
              <w:tc>
                <w:tcPr>
                  <w:tcW w:w="1045" w:type="dxa"/>
                  <w:gridSpan w:val="2"/>
                  <w:shd w:val="clear" w:color="auto" w:fill="auto"/>
                  <w:noWrap w:val="0"/>
                  <w:vAlign w:val="center"/>
                </w:tcPr>
                <w:p w14:paraId="3690802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东柳河杨家镇段</w:t>
                  </w:r>
                </w:p>
              </w:tc>
              <w:tc>
                <w:tcPr>
                  <w:tcW w:w="4961" w:type="dxa"/>
                  <w:shd w:val="clear" w:color="auto" w:fill="auto"/>
                  <w:noWrap w:val="0"/>
                  <w:vAlign w:val="center"/>
                </w:tcPr>
                <w:p w14:paraId="2EBE0401">
                  <w:pPr>
                    <w:pStyle w:val="23"/>
                    <w:spacing w:line="240" w:lineRule="auto"/>
                    <w:ind w:left="0" w:leftChars="0" w:firstLine="0" w:firstLineChars="0"/>
                    <w:jc w:val="both"/>
                    <w:rPr>
                      <w:color w:val="auto"/>
                      <w:sz w:val="21"/>
                      <w:szCs w:val="21"/>
                      <w:highlight w:val="none"/>
                    </w:rPr>
                  </w:pPr>
                  <w:r>
                    <w:rPr>
                      <w:rFonts w:hint="eastAsia"/>
                      <w:color w:val="auto"/>
                      <w:sz w:val="21"/>
                      <w:szCs w:val="21"/>
                      <w:highlight w:val="none"/>
                    </w:rPr>
                    <w:t>新建2.0m宽的亲水步道</w:t>
                  </w:r>
                  <w:r>
                    <w:rPr>
                      <w:rFonts w:hint="eastAsia"/>
                      <w:color w:val="auto"/>
                      <w:sz w:val="21"/>
                      <w:szCs w:val="21"/>
                      <w:highlight w:val="none"/>
                      <w:lang w:eastAsia="zh-CN"/>
                    </w:rPr>
                    <w:t>，</w:t>
                  </w:r>
                  <w:r>
                    <w:rPr>
                      <w:rFonts w:hint="eastAsia"/>
                      <w:color w:val="auto"/>
                      <w:sz w:val="21"/>
                      <w:szCs w:val="21"/>
                      <w:highlight w:val="none"/>
                    </w:rPr>
                    <w:t>长</w:t>
                  </w:r>
                  <w:r>
                    <w:rPr>
                      <w:rFonts w:hint="eastAsia"/>
                      <w:color w:val="auto"/>
                      <w:sz w:val="21"/>
                      <w:szCs w:val="21"/>
                      <w:highlight w:val="none"/>
                      <w:lang w:val="en-US" w:eastAsia="zh-CN"/>
                    </w:rPr>
                    <w:t>4365</w:t>
                  </w:r>
                  <w:r>
                    <w:rPr>
                      <w:rFonts w:hint="eastAsia"/>
                      <w:color w:val="auto"/>
                      <w:sz w:val="21"/>
                      <w:szCs w:val="21"/>
                      <w:highlight w:val="none"/>
                    </w:rPr>
                    <w:t>m</w:t>
                  </w:r>
                  <w:r>
                    <w:rPr>
                      <w:rFonts w:hint="eastAsia"/>
                      <w:color w:val="auto"/>
                      <w:sz w:val="21"/>
                      <w:szCs w:val="21"/>
                      <w:highlight w:val="none"/>
                      <w:lang w:eastAsia="zh-CN"/>
                    </w:rPr>
                    <w:t>。</w:t>
                  </w:r>
                  <w:r>
                    <w:rPr>
                      <w:rFonts w:hint="eastAsia"/>
                      <w:color w:val="auto"/>
                      <w:sz w:val="21"/>
                      <w:szCs w:val="21"/>
                      <w:highlight w:val="none"/>
                    </w:rPr>
                    <w:t>步道结构层从上至下分别为0.05m厚青石板，0.05m水泥砂浆，0.1m厚C20砼垫层，0.1m碎石垫层。两侧设置C20砼路沿石，迎水侧为尺寸0.3×0.3m，背水侧为0.15×0.3m，临水侧设置警示桩，高度0.6m。</w:t>
                  </w:r>
                  <w:r>
                    <w:rPr>
                      <w:rFonts w:hint="eastAsia" w:ascii="Times New Roman" w:hAnsi="Times New Roman" w:eastAsia="宋体"/>
                      <w:b w:val="0"/>
                      <w:bCs/>
                      <w:color w:val="auto"/>
                      <w:sz w:val="21"/>
                      <w:szCs w:val="21"/>
                      <w:highlight w:val="none"/>
                      <w:lang w:val="en-US" w:eastAsia="zh-CN"/>
                    </w:rPr>
                    <w:t>目前已完工。</w:t>
                  </w:r>
                </w:p>
              </w:tc>
              <w:tc>
                <w:tcPr>
                  <w:tcW w:w="750" w:type="dxa"/>
                  <w:vMerge w:val="continue"/>
                  <w:noWrap w:val="0"/>
                  <w:vAlign w:val="center"/>
                </w:tcPr>
                <w:p w14:paraId="3A69F718">
                  <w:pPr>
                    <w:pStyle w:val="23"/>
                    <w:spacing w:line="240" w:lineRule="auto"/>
                    <w:jc w:val="both"/>
                    <w:rPr>
                      <w:color w:val="auto"/>
                      <w:highlight w:val="none"/>
                    </w:rPr>
                  </w:pPr>
                </w:p>
              </w:tc>
              <w:tc>
                <w:tcPr>
                  <w:tcW w:w="663" w:type="dxa"/>
                  <w:vMerge w:val="continue"/>
                  <w:noWrap w:val="0"/>
                  <w:vAlign w:val="center"/>
                </w:tcPr>
                <w:p w14:paraId="0B553510">
                  <w:pPr>
                    <w:pStyle w:val="23"/>
                    <w:spacing w:line="240" w:lineRule="auto"/>
                    <w:jc w:val="both"/>
                    <w:rPr>
                      <w:color w:val="auto"/>
                      <w:highlight w:val="none"/>
                    </w:rPr>
                  </w:pPr>
                </w:p>
              </w:tc>
            </w:tr>
            <w:tr w14:paraId="61AF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81" w:type="dxa"/>
                  <w:vMerge w:val="continue"/>
                  <w:noWrap w:val="0"/>
                  <w:vAlign w:val="center"/>
                </w:tcPr>
                <w:p w14:paraId="54F97747">
                  <w:pPr>
                    <w:pStyle w:val="23"/>
                    <w:spacing w:line="240" w:lineRule="auto"/>
                    <w:jc w:val="both"/>
                    <w:rPr>
                      <w:color w:val="auto"/>
                      <w:highlight w:val="none"/>
                    </w:rPr>
                  </w:pPr>
                </w:p>
              </w:tc>
              <w:tc>
                <w:tcPr>
                  <w:tcW w:w="845" w:type="dxa"/>
                  <w:vMerge w:val="restart"/>
                  <w:noWrap w:val="0"/>
                  <w:vAlign w:val="center"/>
                </w:tcPr>
                <w:p w14:paraId="77322502">
                  <w:pPr>
                    <w:pStyle w:val="23"/>
                    <w:spacing w:line="240" w:lineRule="auto"/>
                    <w:jc w:val="center"/>
                    <w:rPr>
                      <w:rFonts w:hint="eastAsia"/>
                      <w:color w:val="auto"/>
                      <w:highlight w:val="none"/>
                      <w:lang w:val="en-US" w:eastAsia="zh-CN"/>
                    </w:rPr>
                  </w:pPr>
                  <w:r>
                    <w:rPr>
                      <w:rFonts w:hint="eastAsia"/>
                      <w:color w:val="auto"/>
                      <w:highlight w:val="none"/>
                      <w:lang w:val="en-US" w:eastAsia="zh-CN"/>
                    </w:rPr>
                    <w:t>人行</w:t>
                  </w:r>
                </w:p>
                <w:p w14:paraId="555B7047">
                  <w:pPr>
                    <w:pStyle w:val="23"/>
                    <w:spacing w:line="240" w:lineRule="auto"/>
                    <w:jc w:val="center"/>
                    <w:rPr>
                      <w:rFonts w:hint="eastAsia"/>
                      <w:color w:val="auto"/>
                      <w:highlight w:val="none"/>
                      <w:lang w:val="en-US" w:eastAsia="zh-CN"/>
                    </w:rPr>
                  </w:pPr>
                  <w:r>
                    <w:rPr>
                      <w:rFonts w:hint="eastAsia"/>
                      <w:color w:val="auto"/>
                      <w:highlight w:val="none"/>
                      <w:lang w:val="en-US" w:eastAsia="zh-CN"/>
                    </w:rPr>
                    <w:t>桥及</w:t>
                  </w:r>
                </w:p>
                <w:p w14:paraId="389D5C2A">
                  <w:pPr>
                    <w:pStyle w:val="23"/>
                    <w:spacing w:line="240" w:lineRule="auto"/>
                    <w:jc w:val="center"/>
                    <w:rPr>
                      <w:rFonts w:hint="default" w:eastAsia="宋体"/>
                      <w:color w:val="auto"/>
                      <w:highlight w:val="none"/>
                      <w:lang w:val="en-US" w:eastAsia="zh-CN"/>
                    </w:rPr>
                  </w:pPr>
                  <w:r>
                    <w:rPr>
                      <w:rFonts w:hint="eastAsia"/>
                      <w:color w:val="auto"/>
                      <w:highlight w:val="none"/>
                      <w:lang w:val="en-US" w:eastAsia="zh-CN"/>
                    </w:rPr>
                    <w:t>桥涵</w:t>
                  </w:r>
                </w:p>
              </w:tc>
              <w:tc>
                <w:tcPr>
                  <w:tcW w:w="1045" w:type="dxa"/>
                  <w:gridSpan w:val="2"/>
                  <w:shd w:val="clear" w:color="auto" w:fill="auto"/>
                  <w:noWrap w:val="0"/>
                  <w:vAlign w:val="center"/>
                </w:tcPr>
                <w:p w14:paraId="103CF4D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东柳河清河镇段</w:t>
                  </w:r>
                </w:p>
              </w:tc>
              <w:tc>
                <w:tcPr>
                  <w:tcW w:w="4961" w:type="dxa"/>
                  <w:shd w:val="clear" w:color="auto" w:fill="auto"/>
                  <w:noWrap w:val="0"/>
                  <w:vAlign w:val="center"/>
                </w:tcPr>
                <w:p w14:paraId="1CA4BFFE">
                  <w:pPr>
                    <w:pStyle w:val="23"/>
                    <w:spacing w:line="240" w:lineRule="auto"/>
                    <w:ind w:left="0" w:leftChars="0" w:firstLine="0" w:firstLineChars="0"/>
                    <w:jc w:val="both"/>
                    <w:rPr>
                      <w:rFonts w:hint="eastAsia"/>
                      <w:color w:val="auto"/>
                      <w:sz w:val="21"/>
                      <w:szCs w:val="21"/>
                      <w:highlight w:val="none"/>
                      <w:lang w:val="en-US" w:eastAsia="zh-CN"/>
                    </w:rPr>
                  </w:pPr>
                  <w:r>
                    <w:rPr>
                      <w:rFonts w:hint="eastAsia"/>
                      <w:color w:val="auto"/>
                      <w:sz w:val="21"/>
                      <w:szCs w:val="21"/>
                      <w:highlight w:val="none"/>
                      <w:lang w:val="en-US" w:eastAsia="zh-CN"/>
                    </w:rPr>
                    <w:t>人行桥：新建人行桥1座，位于田家沟右岸桩号TY0+277支沟河口处。采用单跨简支梁板桥结构，净跨4m，桥板连接田家沟右岸新建亲水步道，采用π形梁结构，桥面宽2m，板厚0.12m，梁尺寸0.2m×0.50m（宽×高）。</w:t>
                  </w:r>
                </w:p>
                <w:p w14:paraId="4BF88351">
                  <w:pPr>
                    <w:pStyle w:val="23"/>
                    <w:spacing w:line="240" w:lineRule="auto"/>
                    <w:ind w:left="0" w:leftChars="0" w:firstLine="0" w:firstLineChars="0"/>
                    <w:jc w:val="both"/>
                    <w:rPr>
                      <w:rFonts w:hint="eastAsia"/>
                      <w:color w:val="auto"/>
                      <w:sz w:val="21"/>
                      <w:szCs w:val="21"/>
                      <w:highlight w:val="none"/>
                      <w:lang w:val="en-US" w:eastAsia="zh-CN"/>
                    </w:rPr>
                  </w:pPr>
                  <w:r>
                    <w:rPr>
                      <w:rFonts w:hint="eastAsia"/>
                      <w:color w:val="auto"/>
                      <w:sz w:val="21"/>
                      <w:szCs w:val="21"/>
                      <w:highlight w:val="none"/>
                      <w:lang w:val="en-US" w:eastAsia="zh-CN"/>
                    </w:rPr>
                    <w:t>桥涵：采用10年一遇的防洪标准，采用单跨简支梁板桥结构，净跨6m，桥板连接主河道右岸新建堤顶路面，采用π形梁结构，桥面宽3m，板厚0.12m，梁尺寸0.25m×0.60m（宽×高）。</w:t>
                  </w:r>
                </w:p>
                <w:p w14:paraId="652C30B9">
                  <w:pPr>
                    <w:pStyle w:val="23"/>
                    <w:spacing w:line="240" w:lineRule="auto"/>
                    <w:ind w:left="0" w:leftChars="0" w:firstLine="0" w:firstLineChars="0"/>
                    <w:jc w:val="both"/>
                    <w:rPr>
                      <w:color w:val="auto"/>
                      <w:sz w:val="21"/>
                      <w:szCs w:val="21"/>
                      <w:highlight w:val="none"/>
                    </w:rPr>
                  </w:pPr>
                  <w:r>
                    <w:rPr>
                      <w:rFonts w:hint="eastAsia" w:ascii="Times New Roman" w:hAnsi="Times New Roman" w:eastAsia="宋体"/>
                      <w:b w:val="0"/>
                      <w:bCs/>
                      <w:color w:val="auto"/>
                      <w:sz w:val="21"/>
                      <w:szCs w:val="21"/>
                      <w:highlight w:val="none"/>
                      <w:lang w:val="en-US" w:eastAsia="zh-CN"/>
                    </w:rPr>
                    <w:t>目前已完工。</w:t>
                  </w:r>
                </w:p>
              </w:tc>
              <w:tc>
                <w:tcPr>
                  <w:tcW w:w="750" w:type="dxa"/>
                  <w:vMerge w:val="continue"/>
                  <w:noWrap w:val="0"/>
                  <w:vAlign w:val="center"/>
                </w:tcPr>
                <w:p w14:paraId="6B21594C">
                  <w:pPr>
                    <w:pStyle w:val="23"/>
                    <w:spacing w:line="240" w:lineRule="auto"/>
                    <w:jc w:val="both"/>
                    <w:rPr>
                      <w:color w:val="auto"/>
                      <w:highlight w:val="none"/>
                    </w:rPr>
                  </w:pPr>
                </w:p>
              </w:tc>
              <w:tc>
                <w:tcPr>
                  <w:tcW w:w="663" w:type="dxa"/>
                  <w:vMerge w:val="continue"/>
                  <w:noWrap w:val="0"/>
                  <w:vAlign w:val="center"/>
                </w:tcPr>
                <w:p w14:paraId="485A2612">
                  <w:pPr>
                    <w:pStyle w:val="23"/>
                    <w:spacing w:line="240" w:lineRule="auto"/>
                    <w:jc w:val="both"/>
                    <w:rPr>
                      <w:color w:val="auto"/>
                      <w:highlight w:val="none"/>
                    </w:rPr>
                  </w:pPr>
                </w:p>
              </w:tc>
            </w:tr>
            <w:tr w14:paraId="4BE3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81" w:type="dxa"/>
                  <w:vMerge w:val="continue"/>
                  <w:noWrap w:val="0"/>
                  <w:vAlign w:val="center"/>
                </w:tcPr>
                <w:p w14:paraId="7A20E482">
                  <w:pPr>
                    <w:pStyle w:val="23"/>
                    <w:spacing w:line="240" w:lineRule="auto"/>
                    <w:jc w:val="both"/>
                    <w:rPr>
                      <w:color w:val="auto"/>
                      <w:highlight w:val="none"/>
                    </w:rPr>
                  </w:pPr>
                </w:p>
              </w:tc>
              <w:tc>
                <w:tcPr>
                  <w:tcW w:w="845" w:type="dxa"/>
                  <w:vMerge w:val="continue"/>
                  <w:noWrap w:val="0"/>
                  <w:vAlign w:val="center"/>
                </w:tcPr>
                <w:p w14:paraId="13B8264C">
                  <w:pPr>
                    <w:pStyle w:val="23"/>
                    <w:spacing w:line="240" w:lineRule="auto"/>
                    <w:jc w:val="center"/>
                    <w:rPr>
                      <w:rFonts w:hint="eastAsia"/>
                      <w:color w:val="auto"/>
                      <w:highlight w:val="none"/>
                      <w:lang w:val="en-US" w:eastAsia="zh-CN"/>
                    </w:rPr>
                  </w:pPr>
                </w:p>
              </w:tc>
              <w:tc>
                <w:tcPr>
                  <w:tcW w:w="1045" w:type="dxa"/>
                  <w:gridSpan w:val="2"/>
                  <w:shd w:val="clear" w:color="auto" w:fill="auto"/>
                  <w:noWrap w:val="0"/>
                  <w:vAlign w:val="center"/>
                </w:tcPr>
                <w:p w14:paraId="0E713C7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东柳河杨家镇段</w:t>
                  </w:r>
                </w:p>
              </w:tc>
              <w:tc>
                <w:tcPr>
                  <w:tcW w:w="4961" w:type="dxa"/>
                  <w:shd w:val="clear" w:color="auto" w:fill="auto"/>
                  <w:noWrap w:val="0"/>
                  <w:vAlign w:val="center"/>
                </w:tcPr>
                <w:p w14:paraId="008A7D3B">
                  <w:pPr>
                    <w:pStyle w:val="23"/>
                    <w:spacing w:line="240" w:lineRule="auto"/>
                    <w:ind w:left="0" w:leftChars="0" w:firstLine="0" w:firstLineChars="0"/>
                    <w:jc w:val="both"/>
                    <w:rPr>
                      <w:rFonts w:hint="eastAsia"/>
                      <w:color w:val="auto"/>
                      <w:sz w:val="21"/>
                      <w:szCs w:val="21"/>
                      <w:highlight w:val="none"/>
                      <w:lang w:val="en-US" w:eastAsia="zh-CN"/>
                    </w:rPr>
                  </w:pPr>
                  <w:r>
                    <w:rPr>
                      <w:rFonts w:hint="eastAsia"/>
                      <w:color w:val="auto"/>
                      <w:sz w:val="21"/>
                      <w:szCs w:val="21"/>
                      <w:highlight w:val="none"/>
                      <w:lang w:val="en-US" w:eastAsia="zh-CN"/>
                    </w:rPr>
                    <w:t>桥涵：主河道杨Y1+071~杨Y1+076处支流姜家沟支流河口处新建桥涵1座。</w:t>
                  </w:r>
                </w:p>
                <w:p w14:paraId="50F9F9D1">
                  <w:pPr>
                    <w:pStyle w:val="23"/>
                    <w:spacing w:line="240" w:lineRule="auto"/>
                    <w:ind w:left="0" w:leftChars="0" w:firstLine="0" w:firstLineChars="0"/>
                    <w:jc w:val="both"/>
                    <w:rPr>
                      <w:rFonts w:hint="eastAsia"/>
                      <w:color w:val="auto"/>
                      <w:sz w:val="21"/>
                      <w:szCs w:val="21"/>
                      <w:highlight w:val="none"/>
                      <w:lang w:val="en-US" w:eastAsia="zh-CN"/>
                    </w:rPr>
                  </w:pPr>
                  <w:r>
                    <w:rPr>
                      <w:rFonts w:hint="eastAsia"/>
                      <w:color w:val="auto"/>
                      <w:sz w:val="21"/>
                      <w:szCs w:val="21"/>
                      <w:highlight w:val="none"/>
                      <w:lang w:val="en-US" w:eastAsia="zh-CN"/>
                    </w:rPr>
                    <w:t>人行桥：姜家沟支流新建1座人行桥。人行桥采用C20砼材料砌筑，桥墩位于两岸岸坡。</w:t>
                  </w:r>
                </w:p>
                <w:p w14:paraId="1E8B09C4">
                  <w:pPr>
                    <w:pStyle w:val="23"/>
                    <w:spacing w:line="240" w:lineRule="auto"/>
                    <w:ind w:left="0" w:leftChars="0" w:firstLine="0" w:firstLineChars="0"/>
                    <w:jc w:val="both"/>
                    <w:rPr>
                      <w:rFonts w:hint="eastAsia"/>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目前已完工。</w:t>
                  </w:r>
                </w:p>
              </w:tc>
              <w:tc>
                <w:tcPr>
                  <w:tcW w:w="750" w:type="dxa"/>
                  <w:vMerge w:val="continue"/>
                  <w:noWrap w:val="0"/>
                  <w:vAlign w:val="center"/>
                </w:tcPr>
                <w:p w14:paraId="196A837C">
                  <w:pPr>
                    <w:pStyle w:val="23"/>
                    <w:spacing w:line="240" w:lineRule="auto"/>
                    <w:jc w:val="both"/>
                    <w:rPr>
                      <w:color w:val="auto"/>
                      <w:highlight w:val="none"/>
                    </w:rPr>
                  </w:pPr>
                </w:p>
              </w:tc>
              <w:tc>
                <w:tcPr>
                  <w:tcW w:w="663" w:type="dxa"/>
                  <w:vMerge w:val="continue"/>
                  <w:noWrap w:val="0"/>
                  <w:vAlign w:val="center"/>
                </w:tcPr>
                <w:p w14:paraId="7B259BBE">
                  <w:pPr>
                    <w:pStyle w:val="23"/>
                    <w:spacing w:line="240" w:lineRule="auto"/>
                    <w:jc w:val="both"/>
                    <w:rPr>
                      <w:color w:val="auto"/>
                      <w:highlight w:val="none"/>
                    </w:rPr>
                  </w:pPr>
                </w:p>
              </w:tc>
            </w:tr>
            <w:tr w14:paraId="0B87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81" w:type="dxa"/>
                  <w:vMerge w:val="continue"/>
                  <w:noWrap w:val="0"/>
                  <w:vAlign w:val="center"/>
                </w:tcPr>
                <w:p w14:paraId="5E00460D">
                  <w:pPr>
                    <w:pStyle w:val="23"/>
                    <w:spacing w:line="240" w:lineRule="auto"/>
                    <w:jc w:val="both"/>
                    <w:rPr>
                      <w:rFonts w:hint="default" w:ascii="Times New Roman" w:hAnsi="Times New Roman" w:cs="Times New Roman"/>
                      <w:color w:val="auto"/>
                      <w:highlight w:val="none"/>
                    </w:rPr>
                  </w:pPr>
                </w:p>
              </w:tc>
              <w:tc>
                <w:tcPr>
                  <w:tcW w:w="845" w:type="dxa"/>
                  <w:noWrap w:val="0"/>
                  <w:vAlign w:val="center"/>
                </w:tcPr>
                <w:p w14:paraId="66F0F1A4">
                  <w:pPr>
                    <w:pStyle w:val="23"/>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安全警示牌</w:t>
                  </w:r>
                </w:p>
              </w:tc>
              <w:tc>
                <w:tcPr>
                  <w:tcW w:w="6006" w:type="dxa"/>
                  <w:gridSpan w:val="3"/>
                  <w:noWrap w:val="0"/>
                  <w:vAlign w:val="center"/>
                </w:tcPr>
                <w:p w14:paraId="77D8A670">
                  <w:pPr>
                    <w:pStyle w:val="23"/>
                    <w:spacing w:line="240" w:lineRule="auto"/>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highlight w:val="none"/>
                    </w:rPr>
                    <w:t>在河道醒目位置设置安全警示牌</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其中，二郎段、福兴段</w:t>
                  </w:r>
                  <w:r>
                    <w:rPr>
                      <w:rFonts w:hint="default" w:ascii="Times New Roman" w:hAnsi="Times New Roman" w:cs="Times New Roman"/>
                      <w:color w:val="auto"/>
                      <w:szCs w:val="21"/>
                      <w:highlight w:val="none"/>
                      <w:lang w:val="en-US" w:eastAsia="zh-CN"/>
                    </w:rPr>
                    <w:t>共</w:t>
                  </w:r>
                  <w:r>
                    <w:rPr>
                      <w:rFonts w:hint="default" w:ascii="Times New Roman" w:hAnsi="Times New Roman" w:cs="Times New Roman"/>
                      <w:color w:val="auto"/>
                      <w:highlight w:val="none"/>
                    </w:rPr>
                    <w:t>8块</w:t>
                  </w:r>
                  <w:r>
                    <w:rPr>
                      <w:rFonts w:hint="eastAsia" w:cs="Times New Roman"/>
                      <w:color w:val="auto"/>
                      <w:highlight w:val="none"/>
                      <w:lang w:eastAsia="zh-CN"/>
                    </w:rPr>
                    <w:t>，</w:t>
                  </w:r>
                  <w:r>
                    <w:rPr>
                      <w:rFonts w:hint="eastAsia" w:cs="Times New Roman"/>
                      <w:color w:val="auto"/>
                      <w:highlight w:val="none"/>
                      <w:lang w:val="en-US" w:eastAsia="zh-CN"/>
                    </w:rPr>
                    <w:t>石河镇段、双拱场段共4块</w:t>
                  </w:r>
                  <w:r>
                    <w:rPr>
                      <w:rFonts w:hint="eastAsia" w:cs="Times New Roman"/>
                      <w:color w:val="auto"/>
                      <w:highlight w:val="none"/>
                      <w:lang w:eastAsia="zh-CN"/>
                    </w:rPr>
                    <w:t>、</w:t>
                  </w:r>
                  <w:r>
                    <w:rPr>
                      <w:rFonts w:hint="eastAsia" w:cs="Times New Roman"/>
                      <w:color w:val="auto"/>
                      <w:highlight w:val="none"/>
                      <w:lang w:val="en-US" w:eastAsia="zh-CN"/>
                    </w:rPr>
                    <w:t>清河镇段6块、杨家镇段4块。</w:t>
                  </w:r>
                </w:p>
              </w:tc>
              <w:tc>
                <w:tcPr>
                  <w:tcW w:w="750" w:type="dxa"/>
                  <w:vMerge w:val="continue"/>
                  <w:noWrap w:val="0"/>
                  <w:vAlign w:val="center"/>
                </w:tcPr>
                <w:p w14:paraId="57BAAE56">
                  <w:pPr>
                    <w:pStyle w:val="23"/>
                    <w:spacing w:line="240" w:lineRule="auto"/>
                    <w:jc w:val="both"/>
                    <w:rPr>
                      <w:rFonts w:hint="default" w:ascii="Times New Roman" w:hAnsi="Times New Roman" w:cs="Times New Roman"/>
                      <w:color w:val="auto"/>
                      <w:szCs w:val="21"/>
                      <w:highlight w:val="none"/>
                    </w:rPr>
                  </w:pPr>
                </w:p>
              </w:tc>
              <w:tc>
                <w:tcPr>
                  <w:tcW w:w="663" w:type="dxa"/>
                  <w:vMerge w:val="continue"/>
                  <w:noWrap w:val="0"/>
                  <w:vAlign w:val="center"/>
                </w:tcPr>
                <w:p w14:paraId="4EDD59F1">
                  <w:pPr>
                    <w:pStyle w:val="23"/>
                    <w:spacing w:line="240" w:lineRule="auto"/>
                    <w:jc w:val="both"/>
                    <w:rPr>
                      <w:rFonts w:hint="default" w:ascii="Times New Roman" w:hAnsi="Times New Roman" w:cs="Times New Roman"/>
                      <w:color w:val="auto"/>
                      <w:szCs w:val="21"/>
                      <w:highlight w:val="none"/>
                    </w:rPr>
                  </w:pPr>
                </w:p>
              </w:tc>
            </w:tr>
            <w:tr w14:paraId="6FE8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81" w:type="dxa"/>
                  <w:vMerge w:val="continue"/>
                  <w:noWrap w:val="0"/>
                  <w:vAlign w:val="center"/>
                </w:tcPr>
                <w:p w14:paraId="54824468">
                  <w:pPr>
                    <w:pStyle w:val="23"/>
                    <w:spacing w:line="240" w:lineRule="auto"/>
                    <w:jc w:val="both"/>
                    <w:rPr>
                      <w:color w:val="auto"/>
                      <w:highlight w:val="none"/>
                    </w:rPr>
                  </w:pPr>
                </w:p>
              </w:tc>
              <w:tc>
                <w:tcPr>
                  <w:tcW w:w="845" w:type="dxa"/>
                  <w:noWrap w:val="0"/>
                  <w:vAlign w:val="center"/>
                </w:tcPr>
                <w:p w14:paraId="67D5ED1C">
                  <w:pPr>
                    <w:pStyle w:val="23"/>
                    <w:spacing w:line="240" w:lineRule="auto"/>
                    <w:jc w:val="both"/>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白蚁整治</w:t>
                  </w:r>
                </w:p>
              </w:tc>
              <w:tc>
                <w:tcPr>
                  <w:tcW w:w="6006" w:type="dxa"/>
                  <w:gridSpan w:val="3"/>
                  <w:noWrap w:val="0"/>
                  <w:vAlign w:val="center"/>
                </w:tcPr>
                <w:p w14:paraId="2CA081E1">
                  <w:pPr>
                    <w:pStyle w:val="23"/>
                    <w:spacing w:line="240" w:lineRule="auto"/>
                    <w:jc w:val="both"/>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对</w:t>
                  </w:r>
                  <w:r>
                    <w:rPr>
                      <w:rFonts w:hint="eastAsia"/>
                      <w:color w:val="auto"/>
                      <w:sz w:val="21"/>
                      <w:szCs w:val="21"/>
                      <w:highlight w:val="none"/>
                    </w:rPr>
                    <w:t>柳城河</w:t>
                  </w:r>
                  <w:r>
                    <w:rPr>
                      <w:color w:val="auto"/>
                      <w:sz w:val="21"/>
                      <w:szCs w:val="21"/>
                      <w:highlight w:val="none"/>
                    </w:rPr>
                    <w:t>石河镇段、双拱场段</w:t>
                  </w:r>
                  <w:r>
                    <w:rPr>
                      <w:rFonts w:hint="eastAsia"/>
                      <w:color w:val="auto"/>
                      <w:sz w:val="21"/>
                      <w:szCs w:val="21"/>
                      <w:highlight w:val="none"/>
                    </w:rPr>
                    <w:t>范</w:t>
                  </w:r>
                  <w:r>
                    <w:rPr>
                      <w:rFonts w:hint="eastAsia" w:ascii="Times New Roman" w:hAnsi="Times New Roman" w:eastAsia="宋体" w:cs="Times New Roman"/>
                      <w:color w:val="auto"/>
                      <w:sz w:val="21"/>
                      <w:szCs w:val="21"/>
                      <w:highlight w:val="none"/>
                    </w:rPr>
                    <w:t>围</w:t>
                  </w:r>
                  <w:r>
                    <w:rPr>
                      <w:rFonts w:hint="eastAsia" w:eastAsia="宋体" w:cs="Times New Roman"/>
                      <w:color w:val="auto"/>
                      <w:sz w:val="21"/>
                      <w:szCs w:val="21"/>
                      <w:highlight w:val="none"/>
                      <w:lang w:eastAsia="zh-CN"/>
                    </w:rPr>
                    <w:t>、</w:t>
                  </w:r>
                  <w:r>
                    <w:rPr>
                      <w:rFonts w:hint="eastAsia" w:eastAsia="宋体" w:cs="Times New Roman"/>
                      <w:color w:val="auto"/>
                      <w:sz w:val="21"/>
                      <w:szCs w:val="21"/>
                      <w:highlight w:val="none"/>
                      <w:lang w:val="en-US" w:eastAsia="zh-CN"/>
                    </w:rPr>
                    <w:t>柳城河</w:t>
                  </w:r>
                  <w:r>
                    <w:rPr>
                      <w:rFonts w:hint="eastAsia" w:cs="Times New Roman"/>
                      <w:b w:val="0"/>
                      <w:bCs w:val="0"/>
                      <w:snapToGrid w:val="0"/>
                      <w:color w:val="auto"/>
                      <w:sz w:val="21"/>
                      <w:szCs w:val="21"/>
                      <w:highlight w:val="none"/>
                      <w:lang w:val="en-US" w:eastAsia="zh-CN" w:bidi="ar-SA"/>
                    </w:rPr>
                    <w:t>石河镇二郎、福兴段范围</w:t>
                  </w:r>
                  <w:r>
                    <w:rPr>
                      <w:rFonts w:hint="eastAsia" w:eastAsia="宋体" w:cs="Times New Roman"/>
                      <w:color w:val="auto"/>
                      <w:sz w:val="21"/>
                      <w:szCs w:val="21"/>
                      <w:highlight w:val="none"/>
                      <w:lang w:val="en-US" w:eastAsia="zh-CN"/>
                    </w:rPr>
                    <w:t>进行白蚁整治。</w:t>
                  </w:r>
                </w:p>
              </w:tc>
              <w:tc>
                <w:tcPr>
                  <w:tcW w:w="750" w:type="dxa"/>
                  <w:vMerge w:val="continue"/>
                  <w:noWrap w:val="0"/>
                  <w:vAlign w:val="center"/>
                </w:tcPr>
                <w:p w14:paraId="4A60DC11">
                  <w:pPr>
                    <w:pStyle w:val="23"/>
                    <w:spacing w:line="240" w:lineRule="auto"/>
                    <w:jc w:val="both"/>
                    <w:rPr>
                      <w:rFonts w:hint="default" w:ascii="Times New Roman" w:hAnsi="Times New Roman" w:cs="Times New Roman"/>
                      <w:color w:val="auto"/>
                      <w:highlight w:val="none"/>
                    </w:rPr>
                  </w:pPr>
                </w:p>
              </w:tc>
              <w:tc>
                <w:tcPr>
                  <w:tcW w:w="663" w:type="dxa"/>
                  <w:vMerge w:val="continue"/>
                  <w:noWrap w:val="0"/>
                  <w:vAlign w:val="center"/>
                </w:tcPr>
                <w:p w14:paraId="53D5E1F9">
                  <w:pPr>
                    <w:pStyle w:val="23"/>
                    <w:spacing w:line="240" w:lineRule="auto"/>
                    <w:jc w:val="both"/>
                    <w:rPr>
                      <w:rFonts w:hint="default" w:ascii="Times New Roman" w:hAnsi="Times New Roman" w:cs="Times New Roman"/>
                      <w:color w:val="auto"/>
                      <w:highlight w:val="none"/>
                    </w:rPr>
                  </w:pPr>
                </w:p>
              </w:tc>
            </w:tr>
            <w:tr w14:paraId="5650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restart"/>
                  <w:noWrap w:val="0"/>
                  <w:vAlign w:val="center"/>
                </w:tcPr>
                <w:p w14:paraId="04DF7317">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临时工程</w:t>
                  </w:r>
                </w:p>
              </w:tc>
              <w:tc>
                <w:tcPr>
                  <w:tcW w:w="845" w:type="dxa"/>
                  <w:vMerge w:val="restart"/>
                  <w:shd w:val="clear" w:color="auto" w:fill="auto"/>
                  <w:noWrap w:val="0"/>
                  <w:vAlign w:val="center"/>
                </w:tcPr>
                <w:p w14:paraId="6EEFCDFD">
                  <w:pPr>
                    <w:pStyle w:val="23"/>
                    <w:spacing w:line="240" w:lineRule="auto"/>
                    <w:ind w:left="0" w:leftChars="0" w:firstLine="0" w:firstLineChars="0"/>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Cs w:val="21"/>
                      <w:highlight w:val="none"/>
                    </w:rPr>
                    <w:t>施工导流</w:t>
                  </w:r>
                </w:p>
              </w:tc>
              <w:tc>
                <w:tcPr>
                  <w:tcW w:w="1045" w:type="dxa"/>
                  <w:gridSpan w:val="2"/>
                  <w:shd w:val="clear" w:color="auto" w:fill="auto"/>
                  <w:noWrap w:val="0"/>
                  <w:vAlign w:val="center"/>
                </w:tcPr>
                <w:p w14:paraId="4659A58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石河镇二郎段、福兴段</w:t>
                  </w:r>
                </w:p>
              </w:tc>
              <w:tc>
                <w:tcPr>
                  <w:tcW w:w="4961" w:type="dxa"/>
                  <w:shd w:val="clear" w:color="auto" w:fill="auto"/>
                  <w:noWrap w:val="0"/>
                  <w:vAlign w:val="center"/>
                </w:tcPr>
                <w:p w14:paraId="1D25C350">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bidi="ar"/>
                    </w:rPr>
                    <w:t>导流时段选择为12月～次年3月，</w:t>
                  </w:r>
                  <w:r>
                    <w:rPr>
                      <w:rFonts w:hint="default" w:ascii="Times New Roman" w:hAnsi="Times New Roman" w:cs="Times New Roman"/>
                      <w:color w:val="auto"/>
                      <w:sz w:val="21"/>
                      <w:szCs w:val="21"/>
                      <w:highlight w:val="none"/>
                    </w:rPr>
                    <w:t>二郎段导流流量为13.11m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/s、福兴段导流流量为0.9m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/s</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kern w:val="0"/>
                      <w:sz w:val="21"/>
                      <w:szCs w:val="21"/>
                      <w:highlight w:val="none"/>
                      <w:lang w:val="en-US" w:eastAsia="zh-CN" w:bidi="ar"/>
                    </w:rPr>
                    <w:t>根据护岸工程布置及现状地形条件，</w:t>
                  </w:r>
                  <w:r>
                    <w:rPr>
                      <w:rFonts w:hint="default" w:ascii="Times New Roman" w:hAnsi="Times New Roman" w:cs="Times New Roman"/>
                      <w:color w:val="auto"/>
                      <w:sz w:val="21"/>
                      <w:szCs w:val="21"/>
                      <w:highlight w:val="none"/>
                    </w:rPr>
                    <w:t>导流方式采用一期分段土石围堰法导流，采用原河床过水。二郎段导流时下游柳城滩拦河坝拆除缺口（4.0m×2.5m×2.0m、长×厚×高），待堤防结构施工完成后进行恢复。福兴段导流时将河堰口拦河坝拆除，待堤防结构施工完成后二郎段拦河坝进行恢复</w:t>
                  </w:r>
                  <w:r>
                    <w:rPr>
                      <w:rFonts w:hint="default" w:ascii="Times New Roman" w:hAnsi="Times New Roman" w:cs="Times New Roman"/>
                      <w:color w:val="auto"/>
                      <w:sz w:val="21"/>
                      <w:szCs w:val="21"/>
                      <w:highlight w:val="none"/>
                      <w:lang w:eastAsia="zh-CN"/>
                    </w:rPr>
                    <w:t>。</w:t>
                  </w:r>
                </w:p>
                <w:p w14:paraId="441FAB1B">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二郎段围堰利用堤基开挖料填筑，在围堰的迎水面放置土工膜并用编织袋装渣料压实，断面顶宽0.7m，高1.3m，迎水面及背水面坡比为1:1.5，二郎段堤防工程</w:t>
                  </w:r>
                  <w:r>
                    <w:rPr>
                      <w:rFonts w:hint="eastAsia" w:cs="Times New Roman"/>
                      <w:color w:val="auto"/>
                      <w:sz w:val="21"/>
                      <w:szCs w:val="21"/>
                      <w:highlight w:val="none"/>
                      <w:lang w:eastAsia="zh-CN"/>
                    </w:rPr>
                    <w:t>围堰总长2866.17m，其中左岸围堰长931.79m</w:t>
                  </w:r>
                  <w:r>
                    <w:rPr>
                      <w:rFonts w:hint="default" w:ascii="Times New Roman" w:hAnsi="Times New Roman" w:cs="Times New Roman"/>
                      <w:color w:val="auto"/>
                      <w:sz w:val="21"/>
                      <w:szCs w:val="21"/>
                      <w:highlight w:val="none"/>
                    </w:rPr>
                    <w:t>，右岸围堰长1934.38m；福兴段围堰利用堤基开挖料装编织袋填筑，内设土工膜防渗，断面顶宽1.0m，高0.9m，迎水面及背水面垂直，福兴段堤防工程围堰总长1413.35m，其中左岸围堰长117.46m，右岸围堰长1295.89m。</w:t>
                  </w:r>
                </w:p>
              </w:tc>
              <w:tc>
                <w:tcPr>
                  <w:tcW w:w="750" w:type="dxa"/>
                  <w:vMerge w:val="restart"/>
                  <w:shd w:val="clear" w:color="auto" w:fill="auto"/>
                  <w:noWrap w:val="0"/>
                  <w:vAlign w:val="center"/>
                </w:tcPr>
                <w:p w14:paraId="55192A28">
                  <w:pPr>
                    <w:pStyle w:val="23"/>
                    <w:spacing w:line="240" w:lineRule="auto"/>
                    <w:ind w:left="0" w:leftChars="0" w:firstLine="0" w:firstLineChars="0"/>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Cs w:val="21"/>
                      <w:highlight w:val="none"/>
                    </w:rPr>
                    <w:t>施工噪声、施工固废、施工扬尘、施工废水</w:t>
                  </w:r>
                  <w:r>
                    <w:rPr>
                      <w:rFonts w:hint="eastAsia" w:cs="Times New Roman"/>
                      <w:color w:val="auto"/>
                      <w:szCs w:val="21"/>
                      <w:highlight w:val="none"/>
                      <w:lang w:eastAsia="zh-CN"/>
                    </w:rPr>
                    <w:t>、</w:t>
                  </w:r>
                  <w:r>
                    <w:rPr>
                      <w:rFonts w:hint="eastAsia" w:cs="Times New Roman"/>
                      <w:color w:val="auto"/>
                      <w:szCs w:val="21"/>
                      <w:highlight w:val="none"/>
                      <w:lang w:val="en-US" w:eastAsia="zh-CN"/>
                    </w:rPr>
                    <w:t>生态</w:t>
                  </w:r>
                </w:p>
              </w:tc>
              <w:tc>
                <w:tcPr>
                  <w:tcW w:w="663" w:type="dxa"/>
                  <w:vMerge w:val="continue"/>
                  <w:noWrap w:val="0"/>
                  <w:vAlign w:val="center"/>
                </w:tcPr>
                <w:p w14:paraId="6A216607">
                  <w:pPr>
                    <w:pStyle w:val="23"/>
                    <w:spacing w:line="240" w:lineRule="auto"/>
                    <w:rPr>
                      <w:rFonts w:hint="default" w:ascii="Times New Roman" w:hAnsi="Times New Roman" w:cs="Times New Roman"/>
                      <w:color w:val="auto"/>
                      <w:szCs w:val="21"/>
                      <w:highlight w:val="none"/>
                    </w:rPr>
                  </w:pPr>
                </w:p>
              </w:tc>
            </w:tr>
            <w:tr w14:paraId="667E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390BADB3">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color w:val="auto"/>
                      <w:highlight w:val="none"/>
                    </w:rPr>
                  </w:pPr>
                </w:p>
              </w:tc>
              <w:tc>
                <w:tcPr>
                  <w:tcW w:w="845" w:type="dxa"/>
                  <w:vMerge w:val="continue"/>
                  <w:shd w:val="clear" w:color="auto" w:fill="auto"/>
                  <w:noWrap w:val="0"/>
                  <w:vAlign w:val="center"/>
                </w:tcPr>
                <w:p w14:paraId="41BC1C75">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color w:val="auto"/>
                      <w:highlight w:val="none"/>
                    </w:rPr>
                  </w:pPr>
                </w:p>
              </w:tc>
              <w:tc>
                <w:tcPr>
                  <w:tcW w:w="1045" w:type="dxa"/>
                  <w:gridSpan w:val="2"/>
                  <w:shd w:val="clear" w:color="auto" w:fill="auto"/>
                  <w:noWrap w:val="0"/>
                  <w:vAlign w:val="center"/>
                </w:tcPr>
                <w:p w14:paraId="0806E39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石河镇石河镇段、双拱场段</w:t>
                  </w:r>
                </w:p>
              </w:tc>
              <w:tc>
                <w:tcPr>
                  <w:tcW w:w="4961" w:type="dxa"/>
                  <w:shd w:val="clear" w:color="auto" w:fill="auto"/>
                  <w:noWrap w:val="0"/>
                  <w:vAlign w:val="center"/>
                </w:tcPr>
                <w:p w14:paraId="41F44CA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导流时段选择为12月～次年3月，</w:t>
                  </w:r>
                  <w:r>
                    <w:rPr>
                      <w:rFonts w:hint="eastAsia" w:cs="Times New Roman"/>
                      <w:color w:val="auto"/>
                      <w:sz w:val="21"/>
                      <w:szCs w:val="21"/>
                      <w:highlight w:val="none"/>
                      <w:lang w:eastAsia="zh-CN"/>
                    </w:rPr>
                    <w:t>石河镇段干流导流流量为2.1m</w:t>
                  </w:r>
                  <w:r>
                    <w:rPr>
                      <w:rFonts w:hint="eastAsia" w:cs="Times New Roman"/>
                      <w:color w:val="auto"/>
                      <w:sz w:val="21"/>
                      <w:szCs w:val="21"/>
                      <w:highlight w:val="none"/>
                      <w:vertAlign w:val="superscript"/>
                      <w:lang w:eastAsia="zh-CN"/>
                    </w:rPr>
                    <w:t>3</w:t>
                  </w:r>
                  <w:r>
                    <w:rPr>
                      <w:rFonts w:hint="eastAsia" w:cs="Times New Roman"/>
                      <w:color w:val="auto"/>
                      <w:sz w:val="21"/>
                      <w:szCs w:val="21"/>
                      <w:highlight w:val="none"/>
                      <w:lang w:eastAsia="zh-CN"/>
                    </w:rPr>
                    <w:t>/s，双拱场段干流导流流量为8.9m</w:t>
                  </w:r>
                  <w:r>
                    <w:rPr>
                      <w:rFonts w:hint="eastAsia" w:cs="Times New Roman"/>
                      <w:color w:val="auto"/>
                      <w:sz w:val="21"/>
                      <w:szCs w:val="21"/>
                      <w:highlight w:val="none"/>
                      <w:vertAlign w:val="superscript"/>
                      <w:lang w:eastAsia="zh-CN"/>
                    </w:rPr>
                    <w:t>3</w:t>
                  </w:r>
                  <w:r>
                    <w:rPr>
                      <w:rFonts w:hint="eastAsia" w:cs="Times New Roman"/>
                      <w:color w:val="auto"/>
                      <w:sz w:val="21"/>
                      <w:szCs w:val="21"/>
                      <w:highlight w:val="none"/>
                      <w:lang w:eastAsia="zh-CN"/>
                    </w:rPr>
                    <w:t>/s</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kern w:val="0"/>
                      <w:sz w:val="21"/>
                      <w:szCs w:val="21"/>
                      <w:highlight w:val="none"/>
                      <w:lang w:val="en-US" w:eastAsia="zh-CN" w:bidi="ar"/>
                    </w:rPr>
                    <w:t>根据护岸工程布置及现状地形条件，</w:t>
                  </w:r>
                  <w:r>
                    <w:rPr>
                      <w:rFonts w:hint="eastAsia"/>
                      <w:color w:val="auto"/>
                      <w:sz w:val="21"/>
                      <w:szCs w:val="21"/>
                      <w:highlight w:val="none"/>
                    </w:rPr>
                    <w:t>考虑两处河段工程下部均设有C20砼挡墙，其一期施工控制高程高于1</w:t>
                  </w:r>
                  <w:r>
                    <w:rPr>
                      <w:color w:val="auto"/>
                      <w:sz w:val="21"/>
                      <w:szCs w:val="21"/>
                      <w:highlight w:val="none"/>
                    </w:rPr>
                    <w:t>2</w:t>
                  </w:r>
                  <w:r>
                    <w:rPr>
                      <w:rFonts w:hint="eastAsia"/>
                      <w:color w:val="auto"/>
                      <w:sz w:val="21"/>
                      <w:szCs w:val="21"/>
                      <w:highlight w:val="none"/>
                    </w:rPr>
                    <w:t>月～次年3月在5年一遇枯期洪水位相对高程；一期施工时，施工导流均采用纵向围堰导流；待河道两侧施工完成砼挡墙后，对纵向围堰进行拆除，利用河道进行导流即可；二期施工主要为上部护坡及堤顶等项目，导流时段为4-5月，利用下部河道已成型断面导流能满足施工期要求</w:t>
                  </w:r>
                  <w:r>
                    <w:rPr>
                      <w:rFonts w:hint="default" w:ascii="Times New Roman" w:hAnsi="Times New Roman" w:cs="Times New Roman"/>
                      <w:color w:val="auto"/>
                      <w:sz w:val="21"/>
                      <w:szCs w:val="21"/>
                      <w:highlight w:val="none"/>
                    </w:rPr>
                    <w:t>。</w:t>
                  </w:r>
                  <w:r>
                    <w:rPr>
                      <w:rFonts w:hint="eastAsia"/>
                      <w:color w:val="auto"/>
                      <w:sz w:val="21"/>
                      <w:szCs w:val="21"/>
                      <w:highlight w:val="none"/>
                    </w:rPr>
                    <w:t>石河镇段导流时石梁子拦河坝拆除缺口（3.0m×2.5m×2.2m、长×厚×高），待下部结构施工完成后进行恢复。双拱场段导流时江水大桥石河堰拆除缺口（4.0m×2.0m×2.0m、长×厚×高，坝后岩石开挖15.0m×5.0m×1.5m、长×厚×高），控制底高程300.00m，待下部结构施工完成后进行恢复。</w:t>
                  </w:r>
                </w:p>
                <w:p w14:paraId="5608754D">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color w:val="auto"/>
                      <w:sz w:val="21"/>
                      <w:szCs w:val="21"/>
                      <w:highlight w:val="none"/>
                    </w:rPr>
                  </w:pPr>
                  <w:r>
                    <w:rPr>
                      <w:rFonts w:hint="eastAsia"/>
                      <w:color w:val="auto"/>
                      <w:sz w:val="21"/>
                      <w:szCs w:val="21"/>
                      <w:highlight w:val="none"/>
                    </w:rPr>
                    <w:t>石河镇段采用纵向围堰导流，导流流量为2.1m</w:t>
                  </w:r>
                  <w:r>
                    <w:rPr>
                      <w:rFonts w:hint="eastAsia"/>
                      <w:color w:val="auto"/>
                      <w:sz w:val="21"/>
                      <w:szCs w:val="21"/>
                      <w:highlight w:val="none"/>
                      <w:vertAlign w:val="superscript"/>
                    </w:rPr>
                    <w:t>3</w:t>
                  </w:r>
                  <w:r>
                    <w:rPr>
                      <w:rFonts w:hint="eastAsia"/>
                      <w:color w:val="auto"/>
                      <w:sz w:val="21"/>
                      <w:szCs w:val="21"/>
                      <w:highlight w:val="none"/>
                    </w:rPr>
                    <w:t>/s，围堰高度2.0m；双拱场段采用纵向围堰导流，导流流量为8.9m</w:t>
                  </w:r>
                  <w:r>
                    <w:rPr>
                      <w:rFonts w:hint="eastAsia"/>
                      <w:color w:val="auto"/>
                      <w:sz w:val="21"/>
                      <w:szCs w:val="21"/>
                      <w:highlight w:val="none"/>
                      <w:vertAlign w:val="superscript"/>
                    </w:rPr>
                    <w:t>3</w:t>
                  </w:r>
                  <w:r>
                    <w:rPr>
                      <w:rFonts w:hint="eastAsia"/>
                      <w:color w:val="auto"/>
                      <w:sz w:val="21"/>
                      <w:szCs w:val="21"/>
                      <w:highlight w:val="none"/>
                    </w:rPr>
                    <w:t>/s，围堰高度2.4m。</w:t>
                  </w:r>
                </w:p>
                <w:p w14:paraId="1E9712F1">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在基坑开挖时，利用开挖弃土填筑围堰。围堰迎水面坡比为1:1，背坡坡比为1:1，迎水面设防渗土工膜及50cm厚渣料编织袋进行防护。</w:t>
                  </w:r>
                </w:p>
              </w:tc>
              <w:tc>
                <w:tcPr>
                  <w:tcW w:w="750" w:type="dxa"/>
                  <w:vMerge w:val="continue"/>
                  <w:noWrap w:val="0"/>
                  <w:vAlign w:val="center"/>
                </w:tcPr>
                <w:p w14:paraId="5C652920">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color w:val="auto"/>
                      <w:highlight w:val="none"/>
                    </w:rPr>
                  </w:pPr>
                </w:p>
              </w:tc>
              <w:tc>
                <w:tcPr>
                  <w:tcW w:w="663" w:type="dxa"/>
                  <w:vMerge w:val="continue"/>
                  <w:noWrap w:val="0"/>
                  <w:vAlign w:val="center"/>
                </w:tcPr>
                <w:p w14:paraId="002EF0DA">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color w:val="auto"/>
                      <w:highlight w:val="none"/>
                    </w:rPr>
                  </w:pPr>
                </w:p>
              </w:tc>
            </w:tr>
            <w:tr w14:paraId="412F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2DFF362F">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color w:val="auto"/>
                      <w:highlight w:val="none"/>
                    </w:rPr>
                  </w:pPr>
                </w:p>
              </w:tc>
              <w:tc>
                <w:tcPr>
                  <w:tcW w:w="845" w:type="dxa"/>
                  <w:vMerge w:val="continue"/>
                  <w:shd w:val="clear" w:color="auto" w:fill="auto"/>
                  <w:noWrap w:val="0"/>
                  <w:vAlign w:val="center"/>
                </w:tcPr>
                <w:p w14:paraId="52A53D4B">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color w:val="auto"/>
                      <w:highlight w:val="none"/>
                    </w:rPr>
                  </w:pPr>
                </w:p>
              </w:tc>
              <w:tc>
                <w:tcPr>
                  <w:tcW w:w="1045" w:type="dxa"/>
                  <w:gridSpan w:val="2"/>
                  <w:shd w:val="clear" w:color="auto" w:fill="auto"/>
                  <w:noWrap w:val="0"/>
                  <w:vAlign w:val="center"/>
                </w:tcPr>
                <w:p w14:paraId="5012A46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color w:val="auto"/>
                      <w:highlight w:val="none"/>
                    </w:rPr>
                  </w:pPr>
                  <w:r>
                    <w:rPr>
                      <w:rFonts w:hint="eastAsia" w:cs="Times New Roman"/>
                      <w:b w:val="0"/>
                      <w:bCs w:val="0"/>
                      <w:color w:val="auto"/>
                      <w:sz w:val="21"/>
                      <w:szCs w:val="21"/>
                      <w:highlight w:val="none"/>
                      <w:lang w:val="en-US" w:eastAsia="zh-CN"/>
                    </w:rPr>
                    <w:t>东柳河清河镇段</w:t>
                  </w:r>
                </w:p>
              </w:tc>
              <w:tc>
                <w:tcPr>
                  <w:tcW w:w="4961" w:type="dxa"/>
                  <w:shd w:val="clear" w:color="auto" w:fill="auto"/>
                  <w:noWrap w:val="0"/>
                  <w:vAlign w:val="center"/>
                </w:tcPr>
                <w:p w14:paraId="643F9BF5">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东柳河干流导流流量为27.6m3/s，田家沟支流导流流量为0.3m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/s。主河道施工导流采用开挖下游石滩降低水位即可；田家沟支流采用围堰截流、管道导流方式</w:t>
                  </w:r>
                </w:p>
              </w:tc>
              <w:tc>
                <w:tcPr>
                  <w:tcW w:w="750" w:type="dxa"/>
                  <w:vMerge w:val="continue"/>
                  <w:noWrap w:val="0"/>
                  <w:vAlign w:val="center"/>
                </w:tcPr>
                <w:p w14:paraId="291946B8">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color w:val="auto"/>
                      <w:highlight w:val="none"/>
                    </w:rPr>
                  </w:pPr>
                </w:p>
              </w:tc>
              <w:tc>
                <w:tcPr>
                  <w:tcW w:w="663" w:type="dxa"/>
                  <w:vMerge w:val="continue"/>
                  <w:noWrap w:val="0"/>
                  <w:vAlign w:val="center"/>
                </w:tcPr>
                <w:p w14:paraId="43C7FB62">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color w:val="auto"/>
                      <w:highlight w:val="none"/>
                    </w:rPr>
                  </w:pPr>
                </w:p>
              </w:tc>
            </w:tr>
            <w:tr w14:paraId="15BC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43E47FEF">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color w:val="auto"/>
                      <w:highlight w:val="none"/>
                    </w:rPr>
                  </w:pPr>
                </w:p>
              </w:tc>
              <w:tc>
                <w:tcPr>
                  <w:tcW w:w="845" w:type="dxa"/>
                  <w:vMerge w:val="continue"/>
                  <w:shd w:val="clear" w:color="auto" w:fill="auto"/>
                  <w:noWrap w:val="0"/>
                  <w:vAlign w:val="center"/>
                </w:tcPr>
                <w:p w14:paraId="2E571EAF">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color w:val="auto"/>
                      <w:highlight w:val="none"/>
                    </w:rPr>
                  </w:pPr>
                </w:p>
              </w:tc>
              <w:tc>
                <w:tcPr>
                  <w:tcW w:w="1045" w:type="dxa"/>
                  <w:gridSpan w:val="2"/>
                  <w:shd w:val="clear" w:color="auto" w:fill="auto"/>
                  <w:noWrap w:val="0"/>
                  <w:vAlign w:val="center"/>
                </w:tcPr>
                <w:p w14:paraId="48AF13A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color w:val="auto"/>
                      <w:highlight w:val="none"/>
                    </w:rPr>
                  </w:pPr>
                  <w:r>
                    <w:rPr>
                      <w:rFonts w:hint="eastAsia" w:cs="Times New Roman"/>
                      <w:b w:val="0"/>
                      <w:bCs w:val="0"/>
                      <w:color w:val="auto"/>
                      <w:sz w:val="21"/>
                      <w:szCs w:val="21"/>
                      <w:highlight w:val="none"/>
                      <w:lang w:val="en-US" w:eastAsia="zh-CN"/>
                    </w:rPr>
                    <w:t>东柳河杨家镇段</w:t>
                  </w:r>
                </w:p>
              </w:tc>
              <w:tc>
                <w:tcPr>
                  <w:tcW w:w="4961" w:type="dxa"/>
                  <w:shd w:val="clear" w:color="auto" w:fill="auto"/>
                  <w:noWrap w:val="0"/>
                  <w:vAlign w:val="center"/>
                </w:tcPr>
                <w:p w14:paraId="370051EE">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东柳河干流导流流量为23.6m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/s，清溪沟支流导流流量为1.3m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/s，蚂蟥沟支流导流流量为0.6m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/s。</w:t>
                  </w:r>
                  <w:r>
                    <w:rPr>
                      <w:rFonts w:hint="eastAsia" w:ascii="Times New Roman" w:hAnsi="Times New Roman" w:eastAsia="宋体" w:cs="Times New Roman"/>
                      <w:color w:val="auto"/>
                      <w:sz w:val="21"/>
                      <w:szCs w:val="21"/>
                      <w:highlight w:val="none"/>
                    </w:rPr>
                    <w:t>主河道施工导流采用单边围堰导流</w:t>
                  </w:r>
                  <w:r>
                    <w:rPr>
                      <w:rFonts w:hint="eastAsia" w:ascii="Times New Roman" w:hAnsi="Times New Roman" w:eastAsia="宋体" w:cs="Times New Roman"/>
                      <w:color w:val="auto"/>
                      <w:sz w:val="21"/>
                      <w:szCs w:val="21"/>
                      <w:highlight w:val="none"/>
                      <w:lang w:val="en-US" w:eastAsia="zh-CN"/>
                    </w:rPr>
                    <w:t>；各支流采用围堰截流、管道导流方式；待主河道两侧施工完成砼</w:t>
                  </w:r>
                  <w:r>
                    <w:rPr>
                      <w:rFonts w:hint="eastAsia" w:ascii="Times New Roman" w:hAnsi="Times New Roman" w:eastAsia="宋体" w:cs="Times New Roman"/>
                      <w:color w:val="auto"/>
                      <w:sz w:val="21"/>
                      <w:szCs w:val="21"/>
                      <w:highlight w:val="none"/>
                    </w:rPr>
                    <w:t>挡墙后</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rPr>
                    <w:t>对纵向围堰进行拆除，利用河道进行导流</w:t>
                  </w:r>
                  <w:r>
                    <w:rPr>
                      <w:rFonts w:hint="eastAsia" w:ascii="Times New Roman" w:hAnsi="Times New Roman" w:eastAsia="宋体" w:cs="Times New Roman"/>
                      <w:color w:val="auto"/>
                      <w:sz w:val="21"/>
                      <w:szCs w:val="21"/>
                      <w:highlight w:val="none"/>
                      <w:lang w:eastAsia="zh-CN"/>
                    </w:rPr>
                    <w:t>。</w:t>
                  </w:r>
                </w:p>
              </w:tc>
              <w:tc>
                <w:tcPr>
                  <w:tcW w:w="750" w:type="dxa"/>
                  <w:vMerge w:val="continue"/>
                  <w:noWrap w:val="0"/>
                  <w:vAlign w:val="center"/>
                </w:tcPr>
                <w:p w14:paraId="4C47E5D9">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color w:val="auto"/>
                      <w:highlight w:val="none"/>
                    </w:rPr>
                  </w:pPr>
                </w:p>
              </w:tc>
              <w:tc>
                <w:tcPr>
                  <w:tcW w:w="663" w:type="dxa"/>
                  <w:vMerge w:val="continue"/>
                  <w:noWrap w:val="0"/>
                  <w:vAlign w:val="center"/>
                </w:tcPr>
                <w:p w14:paraId="2473C7BA">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color w:val="auto"/>
                      <w:highlight w:val="none"/>
                    </w:rPr>
                  </w:pPr>
                </w:p>
              </w:tc>
            </w:tr>
            <w:tr w14:paraId="2897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693FFD1E">
                  <w:pPr>
                    <w:pStyle w:val="23"/>
                    <w:spacing w:line="240" w:lineRule="auto"/>
                    <w:rPr>
                      <w:rFonts w:hint="default" w:ascii="Times New Roman" w:hAnsi="Times New Roman" w:cs="Times New Roman"/>
                      <w:color w:val="auto"/>
                      <w:szCs w:val="21"/>
                      <w:highlight w:val="none"/>
                    </w:rPr>
                  </w:pPr>
                </w:p>
              </w:tc>
              <w:tc>
                <w:tcPr>
                  <w:tcW w:w="845" w:type="dxa"/>
                  <w:vMerge w:val="restart"/>
                  <w:noWrap w:val="0"/>
                  <w:vAlign w:val="center"/>
                </w:tcPr>
                <w:p w14:paraId="13BFFAA2">
                  <w:pPr>
                    <w:pStyle w:val="23"/>
                    <w:spacing w:line="240" w:lineRule="auto"/>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施工道路</w:t>
                  </w:r>
                </w:p>
              </w:tc>
              <w:tc>
                <w:tcPr>
                  <w:tcW w:w="1045" w:type="dxa"/>
                  <w:gridSpan w:val="2"/>
                  <w:shd w:val="clear" w:color="auto" w:fill="auto"/>
                  <w:noWrap w:val="0"/>
                  <w:vAlign w:val="center"/>
                </w:tcPr>
                <w:p w14:paraId="25E0776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石河镇二郎段、福兴段</w:t>
                  </w:r>
                </w:p>
              </w:tc>
              <w:tc>
                <w:tcPr>
                  <w:tcW w:w="4961" w:type="dxa"/>
                  <w:shd w:val="clear" w:color="auto" w:fill="auto"/>
                  <w:noWrap w:val="0"/>
                  <w:vAlign w:val="center"/>
                </w:tcPr>
                <w:p w14:paraId="6CB70825">
                  <w:pPr>
                    <w:pStyle w:val="23"/>
                    <w:spacing w:line="240" w:lineRule="auto"/>
                    <w:ind w:left="0" w:leftChars="0" w:firstLine="0" w:firstLineChars="0"/>
                    <w:jc w:val="left"/>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b w:val="0"/>
                      <w:bCs w:val="0"/>
                      <w:color w:val="auto"/>
                      <w:sz w:val="21"/>
                      <w:szCs w:val="21"/>
                      <w:highlight w:val="none"/>
                      <w:lang w:val="en-US" w:eastAsia="zh-CN"/>
                    </w:rPr>
                    <w:t>二郎段、福兴段新建</w:t>
                  </w:r>
                  <w:r>
                    <w:rPr>
                      <w:rFonts w:hint="eastAsia" w:cs="Times New Roman"/>
                      <w:color w:val="auto"/>
                      <w:sz w:val="21"/>
                      <w:szCs w:val="21"/>
                      <w:highlight w:val="none"/>
                      <w:lang w:eastAsia="zh-CN"/>
                    </w:rPr>
                    <w:t>施工道路</w:t>
                  </w:r>
                  <w:r>
                    <w:rPr>
                      <w:rFonts w:hint="default" w:ascii="Times New Roman" w:hAnsi="Times New Roman" w:cs="Times New Roman"/>
                      <w:color w:val="auto"/>
                      <w:sz w:val="21"/>
                      <w:szCs w:val="21"/>
                      <w:highlight w:val="none"/>
                    </w:rPr>
                    <w:t>总长约</w:t>
                  </w:r>
                  <w:r>
                    <w:rPr>
                      <w:rFonts w:hint="eastAsia" w:cs="Times New Roman"/>
                      <w:color w:val="auto"/>
                      <w:sz w:val="21"/>
                      <w:szCs w:val="21"/>
                      <w:highlight w:val="none"/>
                      <w:lang w:val="en-US" w:eastAsia="zh-CN"/>
                    </w:rPr>
                    <w:t>1582.4</w:t>
                  </w:r>
                  <w:r>
                    <w:rPr>
                      <w:rFonts w:hint="default" w:ascii="Times New Roman" w:hAnsi="Times New Roman" w:cs="Times New Roman"/>
                      <w:color w:val="auto"/>
                      <w:sz w:val="21"/>
                      <w:szCs w:val="21"/>
                      <w:highlight w:val="none"/>
                    </w:rPr>
                    <w:t>m，宽3.5m</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泥结石路面。</w:t>
                  </w:r>
                  <w:r>
                    <w:rPr>
                      <w:rFonts w:hint="default" w:ascii="Times New Roman" w:hAnsi="Times New Roman" w:cs="Times New Roman"/>
                      <w:color w:val="auto"/>
                      <w:sz w:val="21"/>
                      <w:szCs w:val="21"/>
                      <w:highlight w:val="none"/>
                      <w:lang w:val="en-US" w:eastAsia="zh-CN"/>
                    </w:rPr>
                    <w:t>其中，</w:t>
                  </w:r>
                  <w:r>
                    <w:rPr>
                      <w:rFonts w:hint="default" w:ascii="Times New Roman" w:hAnsi="Times New Roman" w:cs="Times New Roman"/>
                      <w:color w:val="auto"/>
                      <w:kern w:val="0"/>
                      <w:sz w:val="21"/>
                      <w:szCs w:val="21"/>
                      <w:highlight w:val="none"/>
                    </w:rPr>
                    <w:t>二郎段堤防临时道路</w:t>
                  </w:r>
                  <w:r>
                    <w:rPr>
                      <w:rFonts w:hint="default" w:ascii="Times New Roman" w:hAnsi="Times New Roman" w:cs="Times New Roman"/>
                      <w:color w:val="auto"/>
                      <w:kern w:val="0"/>
                      <w:sz w:val="21"/>
                      <w:szCs w:val="21"/>
                      <w:highlight w:val="none"/>
                      <w:lang w:val="en-US" w:eastAsia="zh-CN"/>
                    </w:rPr>
                    <w:t>总长</w:t>
                  </w:r>
                  <w:r>
                    <w:rPr>
                      <w:rFonts w:hint="eastAsia" w:cs="Times New Roman"/>
                      <w:color w:val="auto"/>
                      <w:kern w:val="0"/>
                      <w:sz w:val="21"/>
                      <w:szCs w:val="21"/>
                      <w:highlight w:val="none"/>
                      <w:lang w:val="en-US" w:eastAsia="zh-CN"/>
                    </w:rPr>
                    <w:t>826</w:t>
                  </w:r>
                  <w:r>
                    <w:rPr>
                      <w:rFonts w:hint="default" w:ascii="Times New Roman" w:hAnsi="Times New Roman" w:cs="Times New Roman"/>
                      <w:color w:val="auto"/>
                      <w:kern w:val="0"/>
                      <w:sz w:val="21"/>
                      <w:szCs w:val="21"/>
                      <w:highlight w:val="none"/>
                      <w:lang w:val="en-US" w:eastAsia="zh-CN"/>
                    </w:rPr>
                    <w:t>m，</w:t>
                  </w:r>
                  <w:r>
                    <w:rPr>
                      <w:rFonts w:hint="default" w:ascii="Times New Roman" w:hAnsi="Times New Roman" w:cs="Times New Roman"/>
                      <w:color w:val="auto"/>
                      <w:kern w:val="0"/>
                      <w:sz w:val="21"/>
                      <w:szCs w:val="21"/>
                      <w:highlight w:val="none"/>
                    </w:rPr>
                    <w:t>福兴段堤防临时道路</w:t>
                  </w:r>
                  <w:r>
                    <w:rPr>
                      <w:rFonts w:hint="default" w:ascii="Times New Roman" w:hAnsi="Times New Roman" w:cs="Times New Roman"/>
                      <w:color w:val="auto"/>
                      <w:kern w:val="0"/>
                      <w:sz w:val="21"/>
                      <w:szCs w:val="21"/>
                      <w:highlight w:val="none"/>
                      <w:lang w:val="en-US" w:eastAsia="zh-CN"/>
                    </w:rPr>
                    <w:t>总长</w:t>
                  </w:r>
                  <w:r>
                    <w:rPr>
                      <w:rFonts w:hint="eastAsia" w:cs="Times New Roman"/>
                      <w:color w:val="auto"/>
                      <w:kern w:val="0"/>
                      <w:sz w:val="21"/>
                      <w:szCs w:val="21"/>
                      <w:highlight w:val="none"/>
                      <w:lang w:val="en-US" w:eastAsia="zh-CN"/>
                    </w:rPr>
                    <w:t>756.4</w:t>
                  </w:r>
                  <w:r>
                    <w:rPr>
                      <w:rFonts w:hint="default" w:ascii="Times New Roman" w:hAnsi="Times New Roman" w:cs="Times New Roman"/>
                      <w:color w:val="auto"/>
                      <w:kern w:val="0"/>
                      <w:sz w:val="21"/>
                      <w:szCs w:val="21"/>
                      <w:highlight w:val="none"/>
                      <w:lang w:val="en-US" w:eastAsia="zh-CN"/>
                    </w:rPr>
                    <w:t>m。</w:t>
                  </w:r>
                </w:p>
              </w:tc>
              <w:tc>
                <w:tcPr>
                  <w:tcW w:w="750" w:type="dxa"/>
                  <w:vMerge w:val="continue"/>
                  <w:noWrap w:val="0"/>
                  <w:vAlign w:val="center"/>
                </w:tcPr>
                <w:p w14:paraId="04636AB8">
                  <w:pPr>
                    <w:pStyle w:val="23"/>
                    <w:spacing w:line="240" w:lineRule="auto"/>
                    <w:rPr>
                      <w:rFonts w:hint="default" w:ascii="Times New Roman" w:hAnsi="Times New Roman" w:cs="Times New Roman"/>
                      <w:color w:val="auto"/>
                      <w:szCs w:val="21"/>
                      <w:highlight w:val="none"/>
                    </w:rPr>
                  </w:pPr>
                </w:p>
              </w:tc>
              <w:tc>
                <w:tcPr>
                  <w:tcW w:w="663" w:type="dxa"/>
                  <w:vMerge w:val="continue"/>
                  <w:noWrap w:val="0"/>
                  <w:vAlign w:val="center"/>
                </w:tcPr>
                <w:p w14:paraId="51C0DC05">
                  <w:pPr>
                    <w:pStyle w:val="23"/>
                    <w:spacing w:line="240" w:lineRule="auto"/>
                    <w:rPr>
                      <w:rFonts w:hint="default" w:ascii="Times New Roman" w:hAnsi="Times New Roman" w:cs="Times New Roman"/>
                      <w:color w:val="auto"/>
                      <w:szCs w:val="21"/>
                      <w:highlight w:val="none"/>
                    </w:rPr>
                  </w:pPr>
                </w:p>
              </w:tc>
            </w:tr>
            <w:tr w14:paraId="7889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06884C71">
                  <w:pPr>
                    <w:pStyle w:val="23"/>
                    <w:spacing w:line="240" w:lineRule="auto"/>
                    <w:jc w:val="left"/>
                    <w:rPr>
                      <w:color w:val="auto"/>
                      <w:highlight w:val="none"/>
                    </w:rPr>
                  </w:pPr>
                </w:p>
              </w:tc>
              <w:tc>
                <w:tcPr>
                  <w:tcW w:w="845" w:type="dxa"/>
                  <w:vMerge w:val="continue"/>
                  <w:noWrap w:val="0"/>
                  <w:vAlign w:val="center"/>
                </w:tcPr>
                <w:p w14:paraId="4B861839">
                  <w:pPr>
                    <w:pStyle w:val="23"/>
                    <w:spacing w:line="240" w:lineRule="auto"/>
                    <w:jc w:val="left"/>
                    <w:rPr>
                      <w:color w:val="auto"/>
                      <w:highlight w:val="none"/>
                    </w:rPr>
                  </w:pPr>
                </w:p>
              </w:tc>
              <w:tc>
                <w:tcPr>
                  <w:tcW w:w="1045" w:type="dxa"/>
                  <w:gridSpan w:val="2"/>
                  <w:shd w:val="clear" w:color="auto" w:fill="auto"/>
                  <w:noWrap w:val="0"/>
                  <w:vAlign w:val="center"/>
                </w:tcPr>
                <w:p w14:paraId="3C6ECBC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 w:val="0"/>
                      <w:bCs w:val="0"/>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石河镇石河镇段、双拱场段</w:t>
                  </w:r>
                </w:p>
              </w:tc>
              <w:tc>
                <w:tcPr>
                  <w:tcW w:w="4961" w:type="dxa"/>
                  <w:shd w:val="clear" w:color="auto" w:fill="auto"/>
                  <w:noWrap w:val="0"/>
                  <w:vAlign w:val="center"/>
                </w:tcPr>
                <w:p w14:paraId="3F8C825F">
                  <w:pPr>
                    <w:pStyle w:val="23"/>
                    <w:spacing w:line="240" w:lineRule="auto"/>
                    <w:ind w:left="0" w:leftChars="0" w:firstLine="0" w:firstLineChars="0"/>
                    <w:jc w:val="both"/>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b w:val="0"/>
                      <w:bCs w:val="0"/>
                      <w:color w:val="auto"/>
                      <w:sz w:val="21"/>
                      <w:szCs w:val="21"/>
                      <w:highlight w:val="none"/>
                      <w:lang w:val="en-US" w:eastAsia="zh-CN"/>
                    </w:rPr>
                    <w:t>石河镇段、双拱场段</w:t>
                  </w:r>
                  <w:r>
                    <w:rPr>
                      <w:color w:val="auto"/>
                      <w:highlight w:val="none"/>
                    </w:rPr>
                    <w:t>新建</w:t>
                  </w:r>
                  <w:r>
                    <w:rPr>
                      <w:rFonts w:hint="eastAsia"/>
                      <w:color w:val="auto"/>
                      <w:highlight w:val="none"/>
                      <w:lang w:val="en-US" w:eastAsia="zh-CN"/>
                    </w:rPr>
                    <w:t>施工</w:t>
                  </w:r>
                  <w:r>
                    <w:rPr>
                      <w:color w:val="auto"/>
                      <w:highlight w:val="none"/>
                    </w:rPr>
                    <w:t>道路</w:t>
                  </w:r>
                  <w:r>
                    <w:rPr>
                      <w:rFonts w:hint="eastAsia"/>
                      <w:color w:val="auto"/>
                      <w:highlight w:val="none"/>
                      <w:lang w:val="en-US" w:eastAsia="zh-CN"/>
                    </w:rPr>
                    <w:t>总长</w:t>
                  </w:r>
                  <w:r>
                    <w:rPr>
                      <w:rFonts w:hint="eastAsia"/>
                      <w:color w:val="auto"/>
                      <w:highlight w:val="none"/>
                    </w:rPr>
                    <w:t>3.33</w:t>
                  </w:r>
                  <w:r>
                    <w:rPr>
                      <w:color w:val="auto"/>
                      <w:highlight w:val="none"/>
                    </w:rPr>
                    <w:t>km，采用泥结石路面（厚30cm），</w:t>
                  </w:r>
                  <w:r>
                    <w:rPr>
                      <w:rFonts w:hint="eastAsia"/>
                      <w:color w:val="auto"/>
                      <w:highlight w:val="none"/>
                      <w:lang w:eastAsia="zh-CN"/>
                    </w:rPr>
                    <w:t>路面宽度4.0m</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其中，</w:t>
                  </w:r>
                  <w:r>
                    <w:rPr>
                      <w:rFonts w:hint="eastAsia" w:cs="Times New Roman"/>
                      <w:color w:val="auto"/>
                      <w:kern w:val="0"/>
                      <w:sz w:val="21"/>
                      <w:szCs w:val="21"/>
                      <w:highlight w:val="none"/>
                      <w:lang w:eastAsia="zh-CN"/>
                    </w:rPr>
                    <w:t>石河镇段</w:t>
                  </w:r>
                  <w:r>
                    <w:rPr>
                      <w:rFonts w:hint="default" w:ascii="Times New Roman" w:hAnsi="Times New Roman" w:cs="Times New Roman"/>
                      <w:color w:val="auto"/>
                      <w:kern w:val="0"/>
                      <w:sz w:val="21"/>
                      <w:szCs w:val="21"/>
                      <w:highlight w:val="none"/>
                    </w:rPr>
                    <w:t>堤防临时道路</w:t>
                  </w:r>
                  <w:r>
                    <w:rPr>
                      <w:rFonts w:hint="default" w:ascii="Times New Roman" w:hAnsi="Times New Roman" w:cs="Times New Roman"/>
                      <w:color w:val="auto"/>
                      <w:kern w:val="0"/>
                      <w:sz w:val="21"/>
                      <w:szCs w:val="21"/>
                      <w:highlight w:val="none"/>
                      <w:lang w:val="en-US" w:eastAsia="zh-CN"/>
                    </w:rPr>
                    <w:t>总长</w:t>
                  </w:r>
                  <w:r>
                    <w:rPr>
                      <w:rFonts w:hint="eastAsia" w:cs="Times New Roman"/>
                      <w:color w:val="auto"/>
                      <w:kern w:val="0"/>
                      <w:sz w:val="21"/>
                      <w:szCs w:val="21"/>
                      <w:highlight w:val="none"/>
                      <w:lang w:val="en-US" w:eastAsia="zh-CN"/>
                    </w:rPr>
                    <w:t>2.05k</w:t>
                  </w:r>
                  <w:r>
                    <w:rPr>
                      <w:rFonts w:hint="default" w:ascii="Times New Roman" w:hAnsi="Times New Roman" w:cs="Times New Roman"/>
                      <w:color w:val="auto"/>
                      <w:kern w:val="0"/>
                      <w:sz w:val="21"/>
                      <w:szCs w:val="21"/>
                      <w:highlight w:val="none"/>
                      <w:lang w:val="en-US" w:eastAsia="zh-CN"/>
                    </w:rPr>
                    <w:t>m，</w:t>
                  </w:r>
                  <w:r>
                    <w:rPr>
                      <w:rFonts w:hint="eastAsia" w:cs="Times New Roman"/>
                      <w:color w:val="auto"/>
                      <w:kern w:val="0"/>
                      <w:sz w:val="21"/>
                      <w:szCs w:val="21"/>
                      <w:highlight w:val="none"/>
                      <w:lang w:eastAsia="zh-CN"/>
                    </w:rPr>
                    <w:t>双拱场段</w:t>
                  </w:r>
                  <w:r>
                    <w:rPr>
                      <w:rFonts w:hint="default" w:ascii="Times New Roman" w:hAnsi="Times New Roman" w:cs="Times New Roman"/>
                      <w:color w:val="auto"/>
                      <w:kern w:val="0"/>
                      <w:sz w:val="21"/>
                      <w:szCs w:val="21"/>
                      <w:highlight w:val="none"/>
                    </w:rPr>
                    <w:t>堤防临时道路</w:t>
                  </w:r>
                  <w:r>
                    <w:rPr>
                      <w:rFonts w:hint="default" w:ascii="Times New Roman" w:hAnsi="Times New Roman" w:cs="Times New Roman"/>
                      <w:color w:val="auto"/>
                      <w:kern w:val="0"/>
                      <w:sz w:val="21"/>
                      <w:szCs w:val="21"/>
                      <w:highlight w:val="none"/>
                      <w:lang w:val="en-US" w:eastAsia="zh-CN"/>
                    </w:rPr>
                    <w:t>总长</w:t>
                  </w:r>
                  <w:r>
                    <w:rPr>
                      <w:rFonts w:hint="eastAsia" w:cs="Times New Roman"/>
                      <w:color w:val="auto"/>
                      <w:kern w:val="0"/>
                      <w:sz w:val="21"/>
                      <w:szCs w:val="21"/>
                      <w:highlight w:val="none"/>
                      <w:lang w:val="en-US" w:eastAsia="zh-CN"/>
                    </w:rPr>
                    <w:t>1.28k</w:t>
                  </w:r>
                  <w:r>
                    <w:rPr>
                      <w:rFonts w:hint="default" w:ascii="Times New Roman" w:hAnsi="Times New Roman" w:cs="Times New Roman"/>
                      <w:color w:val="auto"/>
                      <w:kern w:val="0"/>
                      <w:sz w:val="21"/>
                      <w:szCs w:val="21"/>
                      <w:highlight w:val="none"/>
                      <w:lang w:val="en-US" w:eastAsia="zh-CN"/>
                    </w:rPr>
                    <w:t>m。</w:t>
                  </w:r>
                </w:p>
              </w:tc>
              <w:tc>
                <w:tcPr>
                  <w:tcW w:w="750" w:type="dxa"/>
                  <w:vMerge w:val="continue"/>
                  <w:noWrap w:val="0"/>
                  <w:vAlign w:val="center"/>
                </w:tcPr>
                <w:p w14:paraId="629EA920">
                  <w:pPr>
                    <w:pStyle w:val="23"/>
                    <w:spacing w:line="240" w:lineRule="auto"/>
                    <w:jc w:val="left"/>
                    <w:rPr>
                      <w:color w:val="auto"/>
                      <w:highlight w:val="none"/>
                    </w:rPr>
                  </w:pPr>
                </w:p>
              </w:tc>
              <w:tc>
                <w:tcPr>
                  <w:tcW w:w="663" w:type="dxa"/>
                  <w:vMerge w:val="continue"/>
                  <w:noWrap w:val="0"/>
                  <w:vAlign w:val="center"/>
                </w:tcPr>
                <w:p w14:paraId="6F5BA631">
                  <w:pPr>
                    <w:pStyle w:val="23"/>
                    <w:spacing w:line="240" w:lineRule="auto"/>
                    <w:jc w:val="left"/>
                    <w:rPr>
                      <w:color w:val="auto"/>
                      <w:highlight w:val="none"/>
                    </w:rPr>
                  </w:pPr>
                </w:p>
              </w:tc>
            </w:tr>
            <w:tr w14:paraId="6484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0D84E317">
                  <w:pPr>
                    <w:pStyle w:val="23"/>
                    <w:spacing w:line="240" w:lineRule="auto"/>
                    <w:jc w:val="left"/>
                    <w:rPr>
                      <w:color w:val="auto"/>
                      <w:highlight w:val="none"/>
                    </w:rPr>
                  </w:pPr>
                </w:p>
              </w:tc>
              <w:tc>
                <w:tcPr>
                  <w:tcW w:w="845" w:type="dxa"/>
                  <w:vMerge w:val="continue"/>
                  <w:noWrap w:val="0"/>
                  <w:vAlign w:val="center"/>
                </w:tcPr>
                <w:p w14:paraId="560920B2">
                  <w:pPr>
                    <w:pStyle w:val="23"/>
                    <w:spacing w:line="240" w:lineRule="auto"/>
                    <w:jc w:val="left"/>
                    <w:rPr>
                      <w:color w:val="auto"/>
                      <w:highlight w:val="none"/>
                    </w:rPr>
                  </w:pPr>
                </w:p>
              </w:tc>
              <w:tc>
                <w:tcPr>
                  <w:tcW w:w="1045" w:type="dxa"/>
                  <w:gridSpan w:val="2"/>
                  <w:shd w:val="clear" w:color="auto" w:fill="auto"/>
                  <w:noWrap w:val="0"/>
                  <w:vAlign w:val="center"/>
                </w:tcPr>
                <w:p w14:paraId="3AB1B7B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snapToGrid w:val="0"/>
                      <w:color w:val="auto"/>
                      <w:sz w:val="24"/>
                      <w:szCs w:val="22"/>
                      <w:highlight w:val="none"/>
                      <w:lang w:val="en-US" w:eastAsia="zh-CN" w:bidi="ar-SA"/>
                    </w:rPr>
                  </w:pPr>
                  <w:r>
                    <w:rPr>
                      <w:rFonts w:hint="eastAsia" w:cs="Times New Roman"/>
                      <w:b w:val="0"/>
                      <w:bCs w:val="0"/>
                      <w:color w:val="auto"/>
                      <w:sz w:val="21"/>
                      <w:szCs w:val="21"/>
                      <w:highlight w:val="none"/>
                      <w:lang w:val="en-US" w:eastAsia="zh-CN"/>
                    </w:rPr>
                    <w:t>东柳河清河镇段</w:t>
                  </w:r>
                </w:p>
              </w:tc>
              <w:tc>
                <w:tcPr>
                  <w:tcW w:w="4961" w:type="dxa"/>
                  <w:noWrap w:val="0"/>
                  <w:vAlign w:val="center"/>
                </w:tcPr>
                <w:p w14:paraId="35184869">
                  <w:pPr>
                    <w:adjustRightInd w:val="0"/>
                    <w:snapToGrid w:val="0"/>
                    <w:spacing w:line="240" w:lineRule="auto"/>
                    <w:ind w:left="0" w:leftChars="0" w:firstLine="0" w:firstLineChars="0"/>
                    <w:jc w:val="left"/>
                    <w:rPr>
                      <w:rFonts w:hint="default" w:ascii="Times New Roman" w:hAnsi="Times New Roman" w:eastAsia="宋体" w:cs="Times New Roman"/>
                      <w:snapToGrid w:val="0"/>
                      <w:color w:val="auto"/>
                      <w:w w:val="100"/>
                      <w:sz w:val="21"/>
                      <w:szCs w:val="21"/>
                      <w:highlight w:val="none"/>
                      <w:lang w:val="en-US" w:eastAsia="zh-CN" w:bidi="ar-SA"/>
                    </w:rPr>
                  </w:pPr>
                  <w:r>
                    <w:rPr>
                      <w:rFonts w:hint="eastAsia" w:ascii="Times New Roman" w:hAnsi="Times New Roman" w:eastAsia="宋体" w:cs="Times New Roman"/>
                      <w:snapToGrid w:val="0"/>
                      <w:color w:val="auto"/>
                      <w:w w:val="100"/>
                      <w:sz w:val="21"/>
                      <w:szCs w:val="21"/>
                      <w:highlight w:val="none"/>
                      <w:lang w:val="en-US" w:eastAsia="zh-CN" w:bidi="ar-SA"/>
                    </w:rPr>
                    <w:t>新建临时道路1.0km，临时道路采用泥结石路面（厚30cm），路面宽度4.0m，路基宽4.6m。目前已恢复。</w:t>
                  </w:r>
                </w:p>
              </w:tc>
              <w:tc>
                <w:tcPr>
                  <w:tcW w:w="750" w:type="dxa"/>
                  <w:vMerge w:val="continue"/>
                  <w:noWrap w:val="0"/>
                  <w:vAlign w:val="center"/>
                </w:tcPr>
                <w:p w14:paraId="481A6084">
                  <w:pPr>
                    <w:pStyle w:val="23"/>
                    <w:spacing w:line="240" w:lineRule="auto"/>
                    <w:jc w:val="left"/>
                    <w:rPr>
                      <w:color w:val="auto"/>
                      <w:highlight w:val="none"/>
                    </w:rPr>
                  </w:pPr>
                </w:p>
              </w:tc>
              <w:tc>
                <w:tcPr>
                  <w:tcW w:w="663" w:type="dxa"/>
                  <w:vMerge w:val="continue"/>
                  <w:noWrap w:val="0"/>
                  <w:vAlign w:val="center"/>
                </w:tcPr>
                <w:p w14:paraId="6F488260">
                  <w:pPr>
                    <w:pStyle w:val="23"/>
                    <w:spacing w:line="240" w:lineRule="auto"/>
                    <w:jc w:val="left"/>
                    <w:rPr>
                      <w:color w:val="auto"/>
                      <w:highlight w:val="none"/>
                    </w:rPr>
                  </w:pPr>
                </w:p>
              </w:tc>
            </w:tr>
            <w:tr w14:paraId="70E3D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0DA75252">
                  <w:pPr>
                    <w:pStyle w:val="23"/>
                    <w:spacing w:line="240" w:lineRule="auto"/>
                    <w:jc w:val="left"/>
                    <w:rPr>
                      <w:color w:val="auto"/>
                      <w:highlight w:val="none"/>
                    </w:rPr>
                  </w:pPr>
                </w:p>
              </w:tc>
              <w:tc>
                <w:tcPr>
                  <w:tcW w:w="845" w:type="dxa"/>
                  <w:vMerge w:val="continue"/>
                  <w:noWrap w:val="0"/>
                  <w:vAlign w:val="center"/>
                </w:tcPr>
                <w:p w14:paraId="0CEF4743">
                  <w:pPr>
                    <w:pStyle w:val="23"/>
                    <w:spacing w:line="240" w:lineRule="auto"/>
                    <w:jc w:val="left"/>
                    <w:rPr>
                      <w:color w:val="auto"/>
                      <w:highlight w:val="none"/>
                    </w:rPr>
                  </w:pPr>
                </w:p>
              </w:tc>
              <w:tc>
                <w:tcPr>
                  <w:tcW w:w="1045" w:type="dxa"/>
                  <w:gridSpan w:val="2"/>
                  <w:shd w:val="clear" w:color="auto" w:fill="auto"/>
                  <w:noWrap w:val="0"/>
                  <w:vAlign w:val="center"/>
                </w:tcPr>
                <w:p w14:paraId="0C10243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snapToGrid w:val="0"/>
                      <w:color w:val="auto"/>
                      <w:sz w:val="24"/>
                      <w:szCs w:val="22"/>
                      <w:highlight w:val="none"/>
                      <w:lang w:val="en-US" w:eastAsia="zh-CN" w:bidi="ar-SA"/>
                    </w:rPr>
                  </w:pPr>
                  <w:r>
                    <w:rPr>
                      <w:rFonts w:hint="eastAsia" w:cs="Times New Roman"/>
                      <w:b w:val="0"/>
                      <w:bCs w:val="0"/>
                      <w:color w:val="auto"/>
                      <w:sz w:val="21"/>
                      <w:szCs w:val="21"/>
                      <w:highlight w:val="none"/>
                      <w:lang w:val="en-US" w:eastAsia="zh-CN"/>
                    </w:rPr>
                    <w:t>东柳河杨家镇段</w:t>
                  </w:r>
                </w:p>
              </w:tc>
              <w:tc>
                <w:tcPr>
                  <w:tcW w:w="4961" w:type="dxa"/>
                  <w:noWrap w:val="0"/>
                  <w:vAlign w:val="center"/>
                </w:tcPr>
                <w:p w14:paraId="2B975105">
                  <w:pPr>
                    <w:tabs>
                      <w:tab w:val="left" w:pos="3696"/>
                    </w:tabs>
                    <w:adjustRightInd w:val="0"/>
                    <w:snapToGrid w:val="0"/>
                    <w:spacing w:line="240" w:lineRule="auto"/>
                    <w:ind w:left="0" w:leftChars="0" w:firstLine="0" w:firstLineChars="0"/>
                    <w:jc w:val="left"/>
                    <w:rPr>
                      <w:rFonts w:hint="eastAsia" w:ascii="Times New Roman" w:hAnsi="Times New Roman" w:eastAsia="宋体" w:cs="Times New Roman"/>
                      <w:snapToGrid w:val="0"/>
                      <w:color w:val="auto"/>
                      <w:w w:val="100"/>
                      <w:sz w:val="21"/>
                      <w:szCs w:val="21"/>
                      <w:highlight w:val="none"/>
                      <w:lang w:val="en-US" w:eastAsia="zh-CN" w:bidi="ar-SA"/>
                    </w:rPr>
                  </w:pPr>
                  <w:r>
                    <w:rPr>
                      <w:rFonts w:hint="eastAsia" w:ascii="Times New Roman" w:hAnsi="Times New Roman" w:eastAsia="宋体" w:cs="Times New Roman"/>
                      <w:snapToGrid w:val="0"/>
                      <w:color w:val="auto"/>
                      <w:w w:val="100"/>
                      <w:sz w:val="21"/>
                      <w:szCs w:val="21"/>
                      <w:highlight w:val="none"/>
                      <w:lang w:val="en-US" w:eastAsia="zh-CN" w:bidi="ar-SA"/>
                    </w:rPr>
                    <w:t>新建临时道路1.75km，临时道路采用泥结石路面（厚30cm），路面宽度4.0m，路基宽4.6m。目前已恢复。</w:t>
                  </w:r>
                </w:p>
              </w:tc>
              <w:tc>
                <w:tcPr>
                  <w:tcW w:w="750" w:type="dxa"/>
                  <w:vMerge w:val="continue"/>
                  <w:noWrap w:val="0"/>
                  <w:vAlign w:val="center"/>
                </w:tcPr>
                <w:p w14:paraId="6A9AD70E">
                  <w:pPr>
                    <w:pStyle w:val="23"/>
                    <w:spacing w:line="240" w:lineRule="auto"/>
                    <w:jc w:val="left"/>
                    <w:rPr>
                      <w:color w:val="auto"/>
                      <w:highlight w:val="none"/>
                    </w:rPr>
                  </w:pPr>
                </w:p>
              </w:tc>
              <w:tc>
                <w:tcPr>
                  <w:tcW w:w="663" w:type="dxa"/>
                  <w:vMerge w:val="continue"/>
                  <w:noWrap w:val="0"/>
                  <w:vAlign w:val="center"/>
                </w:tcPr>
                <w:p w14:paraId="4C43DF6A">
                  <w:pPr>
                    <w:pStyle w:val="23"/>
                    <w:spacing w:line="240" w:lineRule="auto"/>
                    <w:jc w:val="left"/>
                    <w:rPr>
                      <w:color w:val="auto"/>
                      <w:highlight w:val="none"/>
                    </w:rPr>
                  </w:pPr>
                </w:p>
              </w:tc>
            </w:tr>
            <w:tr w14:paraId="5215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7A94E769">
                  <w:pPr>
                    <w:pStyle w:val="23"/>
                    <w:spacing w:line="240" w:lineRule="auto"/>
                    <w:rPr>
                      <w:rFonts w:hint="default" w:ascii="Times New Roman" w:hAnsi="Times New Roman" w:cs="Times New Roman"/>
                      <w:color w:val="auto"/>
                      <w:szCs w:val="21"/>
                      <w:highlight w:val="none"/>
                    </w:rPr>
                  </w:pPr>
                </w:p>
              </w:tc>
              <w:tc>
                <w:tcPr>
                  <w:tcW w:w="845" w:type="dxa"/>
                  <w:noWrap w:val="0"/>
                  <w:vAlign w:val="center"/>
                </w:tcPr>
                <w:p w14:paraId="5AB823F2">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施工营地</w:t>
                  </w:r>
                </w:p>
              </w:tc>
              <w:tc>
                <w:tcPr>
                  <w:tcW w:w="6006" w:type="dxa"/>
                  <w:gridSpan w:val="3"/>
                  <w:noWrap w:val="0"/>
                  <w:vAlign w:val="center"/>
                </w:tcPr>
                <w:p w14:paraId="6775DD49">
                  <w:pPr>
                    <w:pStyle w:val="23"/>
                    <w:spacing w:line="240" w:lineRule="auto"/>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租用</w:t>
                  </w:r>
                  <w:r>
                    <w:rPr>
                      <w:rFonts w:hint="eastAsia" w:cs="Times New Roman"/>
                      <w:color w:val="auto"/>
                      <w:szCs w:val="21"/>
                      <w:highlight w:val="none"/>
                      <w:lang w:val="en-US" w:eastAsia="zh-CN"/>
                    </w:rPr>
                    <w:t>附近</w:t>
                  </w:r>
                  <w:r>
                    <w:rPr>
                      <w:rFonts w:hint="default" w:ascii="Times New Roman" w:hAnsi="Times New Roman" w:cs="Times New Roman"/>
                      <w:color w:val="auto"/>
                      <w:szCs w:val="21"/>
                      <w:highlight w:val="none"/>
                    </w:rPr>
                    <w:t>民房作为施工营地，不单独设置。</w:t>
                  </w:r>
                </w:p>
              </w:tc>
              <w:tc>
                <w:tcPr>
                  <w:tcW w:w="750" w:type="dxa"/>
                  <w:vMerge w:val="continue"/>
                  <w:noWrap w:val="0"/>
                  <w:vAlign w:val="center"/>
                </w:tcPr>
                <w:p w14:paraId="7F338B10">
                  <w:pPr>
                    <w:pStyle w:val="23"/>
                    <w:spacing w:line="240" w:lineRule="auto"/>
                    <w:rPr>
                      <w:rFonts w:hint="default" w:ascii="Times New Roman" w:hAnsi="Times New Roman" w:cs="Times New Roman"/>
                      <w:color w:val="auto"/>
                      <w:szCs w:val="21"/>
                      <w:highlight w:val="none"/>
                    </w:rPr>
                  </w:pPr>
                </w:p>
              </w:tc>
              <w:tc>
                <w:tcPr>
                  <w:tcW w:w="663" w:type="dxa"/>
                  <w:vMerge w:val="continue"/>
                  <w:noWrap w:val="0"/>
                  <w:vAlign w:val="center"/>
                </w:tcPr>
                <w:p w14:paraId="7B900042">
                  <w:pPr>
                    <w:pStyle w:val="23"/>
                    <w:spacing w:line="240" w:lineRule="auto"/>
                    <w:rPr>
                      <w:rFonts w:hint="default" w:ascii="Times New Roman" w:hAnsi="Times New Roman" w:cs="Times New Roman"/>
                      <w:color w:val="auto"/>
                      <w:szCs w:val="21"/>
                      <w:highlight w:val="none"/>
                    </w:rPr>
                  </w:pPr>
                </w:p>
              </w:tc>
            </w:tr>
            <w:tr w14:paraId="683E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5D868079">
                  <w:pPr>
                    <w:pStyle w:val="23"/>
                    <w:spacing w:line="240" w:lineRule="auto"/>
                    <w:rPr>
                      <w:rFonts w:hint="default" w:ascii="Times New Roman" w:hAnsi="Times New Roman" w:cs="Times New Roman"/>
                      <w:color w:val="auto"/>
                      <w:szCs w:val="21"/>
                      <w:highlight w:val="none"/>
                    </w:rPr>
                  </w:pPr>
                </w:p>
              </w:tc>
              <w:tc>
                <w:tcPr>
                  <w:tcW w:w="845" w:type="dxa"/>
                  <w:noWrap w:val="0"/>
                  <w:vAlign w:val="center"/>
                </w:tcPr>
                <w:p w14:paraId="6F73C8A6">
                  <w:pPr>
                    <w:pStyle w:val="23"/>
                    <w:spacing w:line="240" w:lineRule="auto"/>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eastAsia="zh-CN"/>
                    </w:rPr>
                    <w:t>施工场地</w:t>
                  </w:r>
                </w:p>
              </w:tc>
              <w:tc>
                <w:tcPr>
                  <w:tcW w:w="6006" w:type="dxa"/>
                  <w:gridSpan w:val="3"/>
                  <w:noWrap w:val="0"/>
                  <w:vAlign w:val="center"/>
                </w:tcPr>
                <w:p w14:paraId="47830A2F">
                  <w:pPr>
                    <w:pStyle w:val="23"/>
                    <w:keepNext w:val="0"/>
                    <w:keepLines w:val="0"/>
                    <w:pageBreakBefore w:val="0"/>
                    <w:widowControl w:val="0"/>
                    <w:kinsoku/>
                    <w:wordWrap/>
                    <w:overflowPunct/>
                    <w:topLinePunct w:val="0"/>
                    <w:autoSpaceDE/>
                    <w:autoSpaceDN/>
                    <w:bidi w:val="0"/>
                    <w:snapToGrid/>
                    <w:spacing w:line="240" w:lineRule="auto"/>
                    <w:ind w:firstLine="0" w:firstLineChars="0"/>
                    <w:jc w:val="both"/>
                    <w:textAlignment w:val="auto"/>
                    <w:rPr>
                      <w:rFonts w:hint="default" w:ascii="Times New Roman" w:hAnsi="Times New Roman" w:cs="Times New Roman"/>
                      <w:color w:val="auto"/>
                      <w:sz w:val="21"/>
                      <w:szCs w:val="21"/>
                      <w:highlight w:val="none"/>
                    </w:rPr>
                  </w:pPr>
                  <w:r>
                    <w:rPr>
                      <w:rFonts w:hint="eastAsia" w:cs="Times New Roman"/>
                      <w:b w:val="0"/>
                      <w:bCs w:val="0"/>
                      <w:color w:val="auto"/>
                      <w:sz w:val="21"/>
                      <w:szCs w:val="21"/>
                      <w:highlight w:val="none"/>
                      <w:lang w:val="en-US" w:eastAsia="zh-CN"/>
                    </w:rPr>
                    <w:t>二郎段、福兴段与石河镇段、双拱场段</w:t>
                  </w:r>
                  <w:r>
                    <w:rPr>
                      <w:rFonts w:hint="default" w:ascii="Times New Roman" w:hAnsi="Times New Roman" w:cs="Times New Roman"/>
                      <w:color w:val="auto"/>
                      <w:sz w:val="21"/>
                      <w:szCs w:val="21"/>
                      <w:highlight w:val="none"/>
                    </w:rPr>
                    <w:t>共设置</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个</w:t>
                  </w:r>
                  <w:r>
                    <w:rPr>
                      <w:rFonts w:hint="eastAsia" w:cs="Times New Roman"/>
                      <w:color w:val="auto"/>
                      <w:sz w:val="21"/>
                      <w:szCs w:val="21"/>
                      <w:highlight w:val="none"/>
                      <w:lang w:eastAsia="zh-CN"/>
                    </w:rPr>
                    <w:t>施工场地（</w:t>
                  </w:r>
                  <w:r>
                    <w:rPr>
                      <w:rFonts w:hint="eastAsia" w:cs="Times New Roman"/>
                      <w:color w:val="auto"/>
                      <w:sz w:val="21"/>
                      <w:szCs w:val="21"/>
                      <w:highlight w:val="none"/>
                      <w:lang w:val="en-US" w:eastAsia="zh-CN"/>
                    </w:rPr>
                    <w:t>1#</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1#施工场地</w:t>
                  </w:r>
                  <w:r>
                    <w:rPr>
                      <w:rFonts w:hint="default" w:ascii="Times New Roman" w:hAnsi="Times New Roman" w:cs="Times New Roman"/>
                      <w:color w:val="auto"/>
                      <w:sz w:val="21"/>
                      <w:szCs w:val="21"/>
                      <w:highlight w:val="none"/>
                      <w:lang w:val="en-US" w:eastAsia="zh-CN"/>
                    </w:rPr>
                    <w:t>设置在</w:t>
                  </w:r>
                  <w:r>
                    <w:rPr>
                      <w:rFonts w:hint="eastAsia" w:cs="Times New Roman"/>
                      <w:color w:val="auto"/>
                      <w:sz w:val="21"/>
                      <w:szCs w:val="21"/>
                      <w:highlight w:val="none"/>
                      <w:lang w:val="en-US" w:eastAsia="zh-CN"/>
                    </w:rPr>
                    <w:t>石河镇玉子铺村</w:t>
                  </w:r>
                  <w:r>
                    <w:rPr>
                      <w:rFonts w:hint="default" w:ascii="Times New Roman" w:hAnsi="Times New Roman" w:cs="Times New Roman"/>
                      <w:color w:val="auto"/>
                      <w:sz w:val="21"/>
                      <w:szCs w:val="21"/>
                      <w:highlight w:val="none"/>
                    </w:rPr>
                    <w:t>，临时占地面积</w:t>
                  </w:r>
                  <w:r>
                    <w:rPr>
                      <w:rFonts w:hint="eastAsia" w:ascii="Times New Roman" w:hAnsi="Times New Roman" w:cs="Times New Roman"/>
                      <w:color w:val="auto"/>
                      <w:sz w:val="21"/>
                      <w:szCs w:val="21"/>
                      <w:highlight w:val="none"/>
                      <w:lang w:eastAsia="zh-CN"/>
                    </w:rPr>
                    <w:t>约</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00</w:t>
                  </w:r>
                  <w:r>
                    <w:rPr>
                      <w:rFonts w:hint="default" w:ascii="Times New Roman" w:hAnsi="Times New Roman" w:cs="Times New Roman"/>
                      <w:color w:val="auto"/>
                      <w:sz w:val="21"/>
                      <w:szCs w:val="21"/>
                      <w:highlight w:val="none"/>
                      <w:lang w:eastAsia="zh-CN"/>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布置临时</w:t>
                  </w:r>
                  <w:r>
                    <w:rPr>
                      <w:rFonts w:hint="default" w:ascii="Times New Roman" w:hAnsi="Times New Roman" w:cs="Times New Roman"/>
                      <w:color w:val="auto"/>
                      <w:sz w:val="21"/>
                      <w:szCs w:val="21"/>
                      <w:highlight w:val="none"/>
                    </w:rPr>
                    <w:t>堆料场</w:t>
                  </w:r>
                  <w:r>
                    <w:rPr>
                      <w:rFonts w:hint="default" w:ascii="Times New Roman" w:hAnsi="Times New Roman" w:cs="Times New Roman"/>
                      <w:color w:val="auto"/>
                      <w:sz w:val="21"/>
                      <w:szCs w:val="21"/>
                      <w:highlight w:val="none"/>
                      <w:lang w:eastAsia="zh-CN"/>
                    </w:rPr>
                    <w:t>（</w:t>
                  </w:r>
                  <w:r>
                    <w:rPr>
                      <w:rFonts w:hint="eastAsia"/>
                      <w:color w:val="auto"/>
                      <w:sz w:val="21"/>
                      <w:szCs w:val="21"/>
                      <w:highlight w:val="none"/>
                      <w:lang w:val="en-US" w:eastAsia="zh-CN"/>
                    </w:rPr>
                    <w:t>场内分别设置</w:t>
                  </w:r>
                  <w:r>
                    <w:rPr>
                      <w:rFonts w:hint="default" w:ascii="Times New Roman" w:hAnsi="Times New Roman" w:cs="Times New Roman"/>
                      <w:color w:val="auto"/>
                      <w:sz w:val="21"/>
                      <w:szCs w:val="21"/>
                      <w:highlight w:val="none"/>
                    </w:rPr>
                    <w:t>水泥、砂石</w:t>
                  </w:r>
                  <w:r>
                    <w:rPr>
                      <w:rFonts w:hint="eastAsia"/>
                      <w:color w:val="auto"/>
                      <w:sz w:val="21"/>
                      <w:szCs w:val="21"/>
                      <w:highlight w:val="none"/>
                      <w:lang w:val="en-US" w:eastAsia="zh-CN"/>
                    </w:rPr>
                    <w:t>、表土等堆场，共</w:t>
                  </w:r>
                  <w:r>
                    <w:rPr>
                      <w:rFonts w:hint="eastAsia" w:cs="Times New Roman"/>
                      <w:b w:val="0"/>
                      <w:bCs w:val="0"/>
                      <w:color w:val="auto"/>
                      <w:sz w:val="21"/>
                      <w:szCs w:val="21"/>
                      <w:highlight w:val="none"/>
                      <w:lang w:val="en-US" w:eastAsia="zh-CN"/>
                    </w:rPr>
                    <w:t>3</w:t>
                  </w:r>
                  <w:r>
                    <w:rPr>
                      <w:rFonts w:hint="default" w:ascii="Times New Roman" w:hAnsi="Times New Roman" w:cs="Times New Roman"/>
                      <w:b w:val="0"/>
                      <w:bCs w:val="0"/>
                      <w:color w:val="auto"/>
                      <w:sz w:val="21"/>
                      <w:szCs w:val="21"/>
                      <w:highlight w:val="none"/>
                    </w:rPr>
                    <w:t>00m</w:t>
                  </w:r>
                  <w:r>
                    <w:rPr>
                      <w:rFonts w:hint="default" w:ascii="Times New Roman" w:hAnsi="Times New Roman" w:cs="Times New Roman"/>
                      <w:b w:val="0"/>
                      <w:bCs w:val="0"/>
                      <w:color w:val="auto"/>
                      <w:sz w:val="21"/>
                      <w:szCs w:val="21"/>
                      <w:highlight w:val="none"/>
                      <w:vertAlign w:val="superscript"/>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拌和站（100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lang w:val="en-US" w:eastAsia="zh-CN"/>
                    </w:rPr>
                    <w:t>）、钢筋加工场（100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施工机械停放场</w:t>
                  </w:r>
                  <w:r>
                    <w:rPr>
                      <w:rFonts w:hint="default" w:ascii="Times New Roman" w:hAnsi="Times New Roman" w:cs="Times New Roman"/>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w:t>
                  </w:r>
                  <w:r>
                    <w:rPr>
                      <w:rFonts w:hint="default" w:ascii="Times New Roman" w:hAnsi="Times New Roman" w:cs="Times New Roman"/>
                      <w:color w:val="auto"/>
                      <w:sz w:val="21"/>
                      <w:szCs w:val="21"/>
                      <w:highlight w:val="none"/>
                      <w:vertAlign w:val="baseline"/>
                      <w:lang w:val="en-US" w:eastAsia="zh-CN"/>
                    </w:rPr>
                    <w:t>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rPr>
                    <w:t>。</w:t>
                  </w:r>
                </w:p>
                <w:p w14:paraId="0F2AA7E7">
                  <w:pPr>
                    <w:pStyle w:val="23"/>
                    <w:keepNext w:val="0"/>
                    <w:keepLines w:val="0"/>
                    <w:pageBreakBefore w:val="0"/>
                    <w:widowControl w:val="0"/>
                    <w:kinsoku/>
                    <w:wordWrap/>
                    <w:overflowPunct/>
                    <w:topLinePunct w:val="0"/>
                    <w:autoSpaceDE/>
                    <w:autoSpaceDN/>
                    <w:bidi w:val="0"/>
                    <w:snapToGrid/>
                    <w:spacing w:line="240" w:lineRule="auto"/>
                    <w:ind w:firstLine="0" w:firstLineChars="0"/>
                    <w:jc w:val="both"/>
                    <w:textAlignment w:val="auto"/>
                    <w:rPr>
                      <w:rFonts w:hint="eastAsia" w:hAnsi="Times New Roman"/>
                      <w:b w:val="0"/>
                      <w:bCs/>
                      <w:color w:val="auto"/>
                      <w:highlight w:val="none"/>
                      <w:lang w:val="en-US" w:eastAsia="zh-CN"/>
                    </w:rPr>
                  </w:pPr>
                  <w:r>
                    <w:rPr>
                      <w:rFonts w:hint="eastAsia" w:cs="Times New Roman"/>
                      <w:color w:val="auto"/>
                      <w:sz w:val="21"/>
                      <w:szCs w:val="21"/>
                      <w:highlight w:val="none"/>
                      <w:lang w:val="en-US" w:eastAsia="zh-CN"/>
                    </w:rPr>
                    <w:t>东柳河清河镇段：</w:t>
                  </w:r>
                  <w:r>
                    <w:rPr>
                      <w:rFonts w:hint="eastAsia" w:hAnsi="Times New Roman"/>
                      <w:b w:val="0"/>
                      <w:bCs/>
                      <w:color w:val="auto"/>
                      <w:highlight w:val="none"/>
                      <w:lang w:val="en-US" w:eastAsia="zh-CN"/>
                    </w:rPr>
                    <w:t>施工场地设置在闲置的兵峰驾校</w:t>
                  </w:r>
                  <w:r>
                    <w:rPr>
                      <w:rFonts w:hint="eastAsia"/>
                      <w:b w:val="0"/>
                      <w:bCs/>
                      <w:color w:val="auto"/>
                      <w:highlight w:val="none"/>
                      <w:lang w:val="en-US" w:eastAsia="zh-CN"/>
                    </w:rPr>
                    <w:t>清河培训基地</w:t>
                  </w:r>
                  <w:r>
                    <w:rPr>
                      <w:rFonts w:hint="eastAsia" w:hAnsi="Times New Roman"/>
                      <w:b w:val="0"/>
                      <w:bCs/>
                      <w:color w:val="auto"/>
                      <w:highlight w:val="none"/>
                      <w:lang w:val="en-US" w:eastAsia="zh-CN"/>
                    </w:rPr>
                    <w:t>内，布置有</w:t>
                  </w:r>
                  <w:r>
                    <w:rPr>
                      <w:rFonts w:hint="eastAsia"/>
                      <w:b w:val="0"/>
                      <w:bCs/>
                      <w:color w:val="auto"/>
                      <w:highlight w:val="none"/>
                      <w:lang w:val="en-US" w:eastAsia="zh-CN"/>
                    </w:rPr>
                    <w:t>临时</w:t>
                  </w:r>
                  <w:r>
                    <w:rPr>
                      <w:rFonts w:hint="eastAsia" w:hAnsi="Times New Roman"/>
                      <w:b w:val="0"/>
                      <w:bCs/>
                      <w:color w:val="auto"/>
                      <w:highlight w:val="none"/>
                      <w:lang w:val="en-US" w:eastAsia="zh-CN"/>
                    </w:rPr>
                    <w:t>堆料场、搅拌、钢筋加工、仓库及办公等。</w:t>
                  </w:r>
                </w:p>
                <w:p w14:paraId="77A0E546">
                  <w:pPr>
                    <w:pStyle w:val="23"/>
                    <w:keepNext w:val="0"/>
                    <w:keepLines w:val="0"/>
                    <w:pageBreakBefore w:val="0"/>
                    <w:widowControl w:val="0"/>
                    <w:kinsoku/>
                    <w:wordWrap/>
                    <w:overflowPunct/>
                    <w:topLinePunct w:val="0"/>
                    <w:autoSpaceDE/>
                    <w:autoSpaceDN/>
                    <w:bidi w:val="0"/>
                    <w:snapToGrid/>
                    <w:spacing w:line="240" w:lineRule="auto"/>
                    <w:ind w:firstLine="0" w:firstLineChars="0"/>
                    <w:jc w:val="both"/>
                    <w:textAlignment w:val="auto"/>
                    <w:rPr>
                      <w:rFonts w:hint="eastAsia" w:hAnsi="Times New Roman"/>
                      <w:b w:val="0"/>
                      <w:bCs/>
                      <w:color w:val="auto"/>
                      <w:highlight w:val="none"/>
                      <w:lang w:val="en-US" w:eastAsia="zh-CN"/>
                    </w:rPr>
                  </w:pPr>
                  <w:r>
                    <w:rPr>
                      <w:rFonts w:hint="eastAsia" w:hAnsi="Times New Roman"/>
                      <w:b w:val="0"/>
                      <w:bCs/>
                      <w:color w:val="auto"/>
                      <w:highlight w:val="none"/>
                      <w:lang w:val="en-US" w:eastAsia="zh-CN"/>
                    </w:rPr>
                    <w:t>东柳河杨家镇段：施工场地设置在杨家镇小转盘北侧至垃圾收集点之间的区域内，布置有堆料场、搅拌、钢筋加工、仓库等。</w:t>
                  </w:r>
                </w:p>
                <w:p w14:paraId="7087B518">
                  <w:pPr>
                    <w:pStyle w:val="23"/>
                    <w:keepNext w:val="0"/>
                    <w:keepLines w:val="0"/>
                    <w:pageBreakBefore w:val="0"/>
                    <w:widowControl w:val="0"/>
                    <w:kinsoku/>
                    <w:wordWrap/>
                    <w:overflowPunct/>
                    <w:topLinePunct w:val="0"/>
                    <w:autoSpaceDE/>
                    <w:autoSpaceDN/>
                    <w:bidi w:val="0"/>
                    <w:snapToGrid/>
                    <w:spacing w:line="240" w:lineRule="auto"/>
                    <w:ind w:firstLine="0" w:firstLineChars="0"/>
                    <w:jc w:val="both"/>
                    <w:textAlignment w:val="auto"/>
                    <w:rPr>
                      <w:rFonts w:hint="eastAsia" w:ascii="Times New Roman" w:hAnsi="Times New Roman" w:cs="Times New Roman"/>
                      <w:color w:val="auto"/>
                      <w:sz w:val="21"/>
                      <w:szCs w:val="21"/>
                      <w:highlight w:val="none"/>
                      <w:lang w:val="en-US" w:eastAsia="zh-CN"/>
                    </w:rPr>
                  </w:pPr>
                  <w:r>
                    <w:rPr>
                      <w:rFonts w:hint="eastAsia"/>
                      <w:b w:val="0"/>
                      <w:bCs/>
                      <w:color w:val="auto"/>
                      <w:highlight w:val="none"/>
                      <w:lang w:val="en-US" w:eastAsia="zh-CN"/>
                    </w:rPr>
                    <w:t>东</w:t>
                  </w:r>
                  <w:r>
                    <w:rPr>
                      <w:rFonts w:hint="eastAsia" w:cs="Times New Roman"/>
                      <w:color w:val="auto"/>
                      <w:sz w:val="21"/>
                      <w:szCs w:val="21"/>
                      <w:highlight w:val="none"/>
                      <w:lang w:val="en-US" w:eastAsia="zh-CN"/>
                    </w:rPr>
                    <w:t>柳河清河镇段、杨家镇段</w:t>
                  </w:r>
                  <w:r>
                    <w:rPr>
                      <w:rFonts w:hint="eastAsia"/>
                      <w:color w:val="auto"/>
                      <w:sz w:val="21"/>
                      <w:szCs w:val="21"/>
                      <w:highlight w:val="none"/>
                      <w:lang w:val="en-US" w:eastAsia="zh-CN"/>
                    </w:rPr>
                    <w:t>未设置临时堆土场。</w:t>
                  </w:r>
                  <w:r>
                    <w:rPr>
                      <w:rFonts w:hint="eastAsia" w:ascii="Times New Roman" w:hAnsi="Times New Roman" w:eastAsia="宋体" w:cs="Times New Roman"/>
                      <w:color w:val="auto"/>
                      <w:sz w:val="21"/>
                      <w:szCs w:val="21"/>
                      <w:highlight w:val="none"/>
                      <w:lang w:val="en-US" w:eastAsia="zh-CN"/>
                    </w:rPr>
                    <w:t>采取“即挖即填”。</w:t>
                  </w:r>
                  <w:r>
                    <w:rPr>
                      <w:rFonts w:hint="eastAsia" w:ascii="Times New Roman" w:hAnsi="Times New Roman" w:eastAsia="宋体"/>
                      <w:color w:val="auto"/>
                      <w:sz w:val="21"/>
                      <w:szCs w:val="21"/>
                      <w:highlight w:val="none"/>
                      <w:lang w:val="en-US" w:eastAsia="zh-CN"/>
                    </w:rPr>
                    <w:t>施工期采用</w:t>
                  </w:r>
                  <w:r>
                    <w:rPr>
                      <w:rFonts w:hint="eastAsia" w:ascii="Times New Roman" w:hAnsi="Times New Roman" w:cs="Times New Roman"/>
                      <w:color w:val="auto"/>
                      <w:sz w:val="21"/>
                      <w:szCs w:val="21"/>
                      <w:highlight w:val="none"/>
                      <w:lang w:val="en-US" w:eastAsia="zh-CN"/>
                    </w:rPr>
                    <w:t>分段施工，开挖表土及土石方临时堆放于施工附近的岸坡，用于回填。</w:t>
                  </w:r>
                </w:p>
                <w:p w14:paraId="76BD2A84">
                  <w:pPr>
                    <w:pStyle w:val="23"/>
                    <w:keepNext w:val="0"/>
                    <w:keepLines w:val="0"/>
                    <w:pageBreakBefore w:val="0"/>
                    <w:widowControl w:val="0"/>
                    <w:kinsoku/>
                    <w:wordWrap/>
                    <w:overflowPunct/>
                    <w:topLinePunct w:val="0"/>
                    <w:autoSpaceDE/>
                    <w:autoSpaceDN/>
                    <w:bidi w:val="0"/>
                    <w:snapToGrid/>
                    <w:spacing w:line="240" w:lineRule="auto"/>
                    <w:ind w:firstLine="0" w:firstLineChars="0"/>
                    <w:jc w:val="both"/>
                    <w:textAlignment w:val="auto"/>
                    <w:rPr>
                      <w:rFonts w:hint="default"/>
                      <w:color w:val="auto"/>
                      <w:highlight w:val="none"/>
                      <w:lang w:val="en-US" w:eastAsia="zh-CN"/>
                    </w:rPr>
                  </w:pPr>
                  <w:r>
                    <w:rPr>
                      <w:rFonts w:hint="eastAsia" w:ascii="Times New Roman" w:hAnsi="Times New Roman" w:cs="Times New Roman"/>
                      <w:color w:val="auto"/>
                      <w:sz w:val="21"/>
                      <w:szCs w:val="21"/>
                      <w:highlight w:val="none"/>
                      <w:lang w:val="en-US" w:eastAsia="zh-CN"/>
                    </w:rPr>
                    <w:t>项目施工场地不设置车辆维修、储油罐等。车辆维修及加油均依托周边现有设施。</w:t>
                  </w:r>
                </w:p>
              </w:tc>
              <w:tc>
                <w:tcPr>
                  <w:tcW w:w="750" w:type="dxa"/>
                  <w:vMerge w:val="continue"/>
                  <w:noWrap w:val="0"/>
                  <w:vAlign w:val="center"/>
                </w:tcPr>
                <w:p w14:paraId="1AE1CE59">
                  <w:pPr>
                    <w:pStyle w:val="23"/>
                    <w:spacing w:line="240" w:lineRule="auto"/>
                    <w:rPr>
                      <w:rFonts w:hint="default" w:ascii="Times New Roman" w:hAnsi="Times New Roman" w:cs="Times New Roman"/>
                      <w:color w:val="auto"/>
                      <w:szCs w:val="21"/>
                      <w:highlight w:val="none"/>
                    </w:rPr>
                  </w:pPr>
                </w:p>
              </w:tc>
              <w:tc>
                <w:tcPr>
                  <w:tcW w:w="663" w:type="dxa"/>
                  <w:vMerge w:val="continue"/>
                  <w:noWrap w:val="0"/>
                  <w:vAlign w:val="center"/>
                </w:tcPr>
                <w:p w14:paraId="4138B7AC">
                  <w:pPr>
                    <w:pStyle w:val="23"/>
                    <w:spacing w:line="240" w:lineRule="auto"/>
                    <w:rPr>
                      <w:rFonts w:hint="default" w:ascii="Times New Roman" w:hAnsi="Times New Roman" w:cs="Times New Roman"/>
                      <w:color w:val="auto"/>
                      <w:szCs w:val="21"/>
                      <w:highlight w:val="none"/>
                    </w:rPr>
                  </w:pPr>
                </w:p>
              </w:tc>
            </w:tr>
            <w:tr w14:paraId="3393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1AC286CA">
                  <w:pPr>
                    <w:pStyle w:val="23"/>
                    <w:keepNext w:val="0"/>
                    <w:keepLines w:val="0"/>
                    <w:pageBreakBefore w:val="0"/>
                    <w:widowControl w:val="0"/>
                    <w:kinsoku/>
                    <w:wordWrap/>
                    <w:overflowPunct/>
                    <w:topLinePunct w:val="0"/>
                    <w:autoSpaceDE/>
                    <w:autoSpaceDN/>
                    <w:bidi w:val="0"/>
                    <w:snapToGrid/>
                    <w:spacing w:line="240" w:lineRule="auto"/>
                    <w:ind w:firstLine="0" w:firstLineChars="0"/>
                    <w:jc w:val="left"/>
                    <w:textAlignment w:val="auto"/>
                    <w:rPr>
                      <w:rFonts w:hint="default" w:ascii="Times New Roman" w:hAnsi="Times New Roman" w:cs="Times New Roman"/>
                      <w:color w:val="auto"/>
                      <w:highlight w:val="none"/>
                    </w:rPr>
                  </w:pPr>
                </w:p>
              </w:tc>
              <w:tc>
                <w:tcPr>
                  <w:tcW w:w="845" w:type="dxa"/>
                  <w:shd w:val="clear" w:color="auto" w:fill="auto"/>
                  <w:noWrap w:val="0"/>
                  <w:vAlign w:val="center"/>
                </w:tcPr>
                <w:p w14:paraId="0F087009">
                  <w:pPr>
                    <w:pStyle w:val="23"/>
                    <w:keepNext w:val="0"/>
                    <w:keepLines w:val="0"/>
                    <w:pageBreakBefore w:val="0"/>
                    <w:widowControl w:val="0"/>
                    <w:kinsoku/>
                    <w:wordWrap/>
                    <w:overflowPunct/>
                    <w:topLinePunct w:val="0"/>
                    <w:autoSpaceDE/>
                    <w:autoSpaceDN/>
                    <w:bidi w:val="0"/>
                    <w:snapToGrid/>
                    <w:spacing w:line="240" w:lineRule="auto"/>
                    <w:ind w:left="0" w:leftChars="0" w:firstLine="0" w:firstLineChars="0"/>
                    <w:textAlignment w:val="auto"/>
                    <w:rPr>
                      <w:rFonts w:hint="default" w:ascii="Times New Roman" w:hAnsi="Times New Roman" w:eastAsia="宋体" w:cs="Times New Roman"/>
                      <w:snapToGrid w:val="0"/>
                      <w:color w:val="auto"/>
                      <w:w w:val="100"/>
                      <w:sz w:val="21"/>
                      <w:szCs w:val="20"/>
                      <w:highlight w:val="none"/>
                      <w:lang w:val="en-US" w:eastAsia="zh-CN" w:bidi="ar-SA"/>
                    </w:rPr>
                  </w:pPr>
                  <w:r>
                    <w:rPr>
                      <w:rFonts w:hint="default" w:ascii="Times New Roman" w:hAnsi="Times New Roman" w:cs="Times New Roman"/>
                      <w:color w:val="auto"/>
                      <w:highlight w:val="none"/>
                      <w:lang w:val="en-US" w:eastAsia="zh-CN"/>
                    </w:rPr>
                    <w:t>疏浚淤泥干化场</w:t>
                  </w:r>
                </w:p>
              </w:tc>
              <w:tc>
                <w:tcPr>
                  <w:tcW w:w="6006" w:type="dxa"/>
                  <w:gridSpan w:val="3"/>
                  <w:shd w:val="clear" w:color="auto" w:fill="auto"/>
                  <w:noWrap w:val="0"/>
                  <w:vAlign w:val="center"/>
                </w:tcPr>
                <w:p w14:paraId="3FAF5B76">
                  <w:pPr>
                    <w:pStyle w:val="23"/>
                    <w:keepNext w:val="0"/>
                    <w:keepLines w:val="0"/>
                    <w:pageBreakBefore w:val="0"/>
                    <w:widowControl w:val="0"/>
                    <w:kinsoku/>
                    <w:wordWrap/>
                    <w:overflowPunct/>
                    <w:topLinePunct w:val="0"/>
                    <w:autoSpaceDE/>
                    <w:autoSpaceDN/>
                    <w:bidi w:val="0"/>
                    <w:snapToGrid/>
                    <w:spacing w:line="240" w:lineRule="auto"/>
                    <w:ind w:left="0" w:leftChars="0" w:firstLine="0" w:firstLineChars="0"/>
                    <w:jc w:val="left"/>
                    <w:textAlignment w:val="auto"/>
                    <w:rPr>
                      <w:rFonts w:hint="eastAsia" w:cs="Times New Roman"/>
                      <w:color w:val="auto"/>
                      <w:highlight w:val="none"/>
                      <w:lang w:eastAsia="zh-CN"/>
                    </w:rPr>
                  </w:pPr>
                  <w:r>
                    <w:rPr>
                      <w:rFonts w:hint="eastAsia" w:cs="Times New Roman"/>
                      <w:color w:val="auto"/>
                      <w:sz w:val="21"/>
                      <w:szCs w:val="21"/>
                      <w:highlight w:val="none"/>
                      <w:lang w:val="en-US" w:eastAsia="zh-CN"/>
                    </w:rPr>
                    <w:t>本项目二郎段、福兴段和石河镇段均不设置</w:t>
                  </w:r>
                  <w:r>
                    <w:rPr>
                      <w:rFonts w:hint="default" w:ascii="Times New Roman" w:hAnsi="Times New Roman" w:cs="Times New Roman"/>
                      <w:color w:val="auto"/>
                      <w:sz w:val="21"/>
                      <w:szCs w:val="21"/>
                      <w:highlight w:val="none"/>
                      <w:lang w:val="en-US" w:eastAsia="zh-CN"/>
                    </w:rPr>
                    <w:t>疏浚淤泥干化场，</w:t>
                  </w:r>
                  <w:r>
                    <w:rPr>
                      <w:rFonts w:hint="eastAsia" w:cs="Times New Roman"/>
                      <w:color w:val="auto"/>
                      <w:sz w:val="21"/>
                      <w:szCs w:val="21"/>
                      <w:highlight w:val="none"/>
                      <w:lang w:val="en-US" w:eastAsia="zh-CN"/>
                    </w:rPr>
                    <w:t>疏浚淤泥沿河道岸坡临时堆存，自然干化</w:t>
                  </w:r>
                  <w:r>
                    <w:rPr>
                      <w:rFonts w:hint="default" w:ascii="Times New Roman" w:hAnsi="Times New Roman" w:cs="Times New Roman"/>
                      <w:color w:val="auto"/>
                      <w:sz w:val="21"/>
                      <w:szCs w:val="21"/>
                      <w:highlight w:val="none"/>
                    </w:rPr>
                    <w:t>。</w:t>
                  </w:r>
                  <w:r>
                    <w:rPr>
                      <w:rFonts w:hint="eastAsia"/>
                      <w:b w:val="0"/>
                      <w:bCs w:val="0"/>
                      <w:color w:val="auto"/>
                      <w:highlight w:val="none"/>
                      <w:lang w:val="en-US" w:eastAsia="zh-CN"/>
                    </w:rPr>
                    <w:t>疏浚淤泥中可直接利用料就近堆放在基础开挖两侧，</w:t>
                  </w:r>
                  <w:r>
                    <w:rPr>
                      <w:rFonts w:hint="eastAsia" w:cs="Times New Roman"/>
                      <w:color w:val="auto"/>
                      <w:sz w:val="21"/>
                      <w:szCs w:val="21"/>
                      <w:highlight w:val="none"/>
                      <w:lang w:val="en-US" w:eastAsia="zh-CN"/>
                    </w:rPr>
                    <w:t>可直接利用的部分由周边居民用于农田做肥料，</w:t>
                  </w:r>
                  <w:r>
                    <w:rPr>
                      <w:rFonts w:hint="eastAsia"/>
                      <w:color w:val="auto"/>
                      <w:sz w:val="21"/>
                      <w:szCs w:val="21"/>
                      <w:highlight w:val="none"/>
                      <w:lang w:val="en-US" w:eastAsia="zh-CN"/>
                    </w:rPr>
                    <w:t>含砂石量多的疏浚砂石用于沿线低洼地区回填</w:t>
                  </w:r>
                  <w:r>
                    <w:rPr>
                      <w:rFonts w:hint="eastAsia" w:cs="Times New Roman"/>
                      <w:color w:val="auto"/>
                      <w:sz w:val="21"/>
                      <w:szCs w:val="21"/>
                      <w:highlight w:val="none"/>
                      <w:lang w:val="en-US" w:eastAsia="zh-CN"/>
                    </w:rPr>
                    <w:t>；经晾干后的不可直接利用清淤淤泥运往市政规划的弃渣场</w:t>
                  </w:r>
                  <w:r>
                    <w:rPr>
                      <w:rFonts w:hint="eastAsia" w:cs="Times New Roman"/>
                      <w:color w:val="auto"/>
                      <w:highlight w:val="none"/>
                      <w:lang w:eastAsia="zh-CN"/>
                    </w:rPr>
                    <w:t>。</w:t>
                  </w:r>
                </w:p>
                <w:p w14:paraId="6254CA0E">
                  <w:pPr>
                    <w:pStyle w:val="23"/>
                    <w:keepNext w:val="0"/>
                    <w:keepLines w:val="0"/>
                    <w:pageBreakBefore w:val="0"/>
                    <w:widowControl w:val="0"/>
                    <w:kinsoku/>
                    <w:wordWrap/>
                    <w:overflowPunct/>
                    <w:topLinePunct w:val="0"/>
                    <w:autoSpaceDE/>
                    <w:autoSpaceDN/>
                    <w:bidi w:val="0"/>
                    <w:snapToGrid/>
                    <w:spacing w:line="240" w:lineRule="auto"/>
                    <w:ind w:left="0" w:leftChars="0" w:firstLine="0" w:firstLineChars="0"/>
                    <w:jc w:val="left"/>
                    <w:textAlignment w:val="auto"/>
                    <w:rPr>
                      <w:rFonts w:hint="eastAsia" w:cs="Times New Roman"/>
                      <w:color w:val="auto"/>
                      <w:sz w:val="21"/>
                      <w:szCs w:val="21"/>
                      <w:highlight w:val="none"/>
                      <w:lang w:val="en-US" w:eastAsia="zh-CN"/>
                    </w:rPr>
                  </w:pPr>
                  <w:r>
                    <w:rPr>
                      <w:rFonts w:hint="eastAsia" w:cs="Times New Roman"/>
                      <w:color w:val="auto"/>
                      <w:highlight w:val="none"/>
                      <w:lang w:val="en-US" w:eastAsia="zh-CN"/>
                    </w:rPr>
                    <w:t>双拱场段设置1个</w:t>
                  </w:r>
                  <w:r>
                    <w:rPr>
                      <w:rFonts w:hint="default" w:ascii="Times New Roman" w:hAnsi="Times New Roman" w:cs="Times New Roman"/>
                      <w:color w:val="auto"/>
                      <w:sz w:val="21"/>
                      <w:szCs w:val="21"/>
                      <w:highlight w:val="none"/>
                      <w:lang w:val="en-US" w:eastAsia="zh-CN"/>
                    </w:rPr>
                    <w:t>干化场</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位于</w:t>
                  </w:r>
                  <w:r>
                    <w:rPr>
                      <w:rFonts w:hint="eastAsia" w:cs="Times New Roman"/>
                      <w:color w:val="auto"/>
                      <w:sz w:val="21"/>
                      <w:szCs w:val="21"/>
                      <w:highlight w:val="none"/>
                      <w:lang w:val="en-US" w:eastAsia="zh-CN"/>
                    </w:rPr>
                    <w:t>双0+200左岸</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临时占地</w:t>
                  </w:r>
                  <w:r>
                    <w:rPr>
                      <w:rFonts w:hint="default" w:ascii="Times New Roman" w:hAnsi="Times New Roman" w:cs="Times New Roman"/>
                      <w:color w:val="auto"/>
                      <w:sz w:val="21"/>
                      <w:szCs w:val="21"/>
                      <w:highlight w:val="none"/>
                      <w:lang w:val="en-US" w:eastAsia="zh-CN"/>
                    </w:rPr>
                    <w:t>面积为600m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w:t>
                  </w:r>
                </w:p>
                <w:p w14:paraId="2EB4D156">
                  <w:pPr>
                    <w:pStyle w:val="23"/>
                    <w:keepNext w:val="0"/>
                    <w:keepLines w:val="0"/>
                    <w:pageBreakBefore w:val="0"/>
                    <w:widowControl w:val="0"/>
                    <w:kinsoku/>
                    <w:wordWrap/>
                    <w:overflowPunct/>
                    <w:topLinePunct w:val="0"/>
                    <w:autoSpaceDE/>
                    <w:autoSpaceDN/>
                    <w:bidi w:val="0"/>
                    <w:snapToGrid/>
                    <w:spacing w:line="240" w:lineRule="auto"/>
                    <w:ind w:left="0" w:leftChars="0" w:firstLine="0" w:firstLineChars="0"/>
                    <w:jc w:val="left"/>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清河镇段及杨家镇段：不设置临时堆土场及干化场。开挖土方采取“即挖即填”。施工期采用分段施工，开挖表土及土石方临时堆放于施工附近的岸坡，用于回填。疏浚淤泥就近堆放在河道岸坡。其中，砂石含量高的就回填。泥含量高的，回用作为护坡土使用。</w:t>
                  </w:r>
                </w:p>
              </w:tc>
              <w:tc>
                <w:tcPr>
                  <w:tcW w:w="750" w:type="dxa"/>
                  <w:vMerge w:val="continue"/>
                  <w:noWrap w:val="0"/>
                  <w:vAlign w:val="center"/>
                </w:tcPr>
                <w:p w14:paraId="42B7DBB0">
                  <w:pPr>
                    <w:pStyle w:val="23"/>
                    <w:keepNext w:val="0"/>
                    <w:keepLines w:val="0"/>
                    <w:pageBreakBefore w:val="0"/>
                    <w:widowControl w:val="0"/>
                    <w:kinsoku/>
                    <w:wordWrap/>
                    <w:overflowPunct/>
                    <w:topLinePunct w:val="0"/>
                    <w:autoSpaceDE/>
                    <w:autoSpaceDN/>
                    <w:bidi w:val="0"/>
                    <w:snapToGrid/>
                    <w:spacing w:line="240" w:lineRule="auto"/>
                    <w:ind w:firstLine="0" w:firstLineChars="0"/>
                    <w:jc w:val="left"/>
                    <w:textAlignment w:val="auto"/>
                    <w:rPr>
                      <w:rFonts w:hint="default" w:ascii="Times New Roman" w:hAnsi="Times New Roman" w:cs="Times New Roman"/>
                      <w:color w:val="auto"/>
                      <w:szCs w:val="21"/>
                      <w:highlight w:val="none"/>
                    </w:rPr>
                  </w:pPr>
                </w:p>
              </w:tc>
              <w:tc>
                <w:tcPr>
                  <w:tcW w:w="663" w:type="dxa"/>
                  <w:vMerge w:val="continue"/>
                  <w:noWrap w:val="0"/>
                  <w:vAlign w:val="center"/>
                </w:tcPr>
                <w:p w14:paraId="32C23D64">
                  <w:pPr>
                    <w:pStyle w:val="23"/>
                    <w:keepNext w:val="0"/>
                    <w:keepLines w:val="0"/>
                    <w:pageBreakBefore w:val="0"/>
                    <w:widowControl w:val="0"/>
                    <w:kinsoku/>
                    <w:wordWrap/>
                    <w:overflowPunct/>
                    <w:topLinePunct w:val="0"/>
                    <w:autoSpaceDE/>
                    <w:autoSpaceDN/>
                    <w:bidi w:val="0"/>
                    <w:snapToGrid/>
                    <w:spacing w:line="240" w:lineRule="auto"/>
                    <w:ind w:firstLine="0" w:firstLineChars="0"/>
                    <w:jc w:val="left"/>
                    <w:textAlignment w:val="auto"/>
                    <w:rPr>
                      <w:rFonts w:hint="default" w:ascii="Times New Roman" w:hAnsi="Times New Roman" w:cs="Times New Roman"/>
                      <w:color w:val="auto"/>
                      <w:szCs w:val="21"/>
                      <w:highlight w:val="none"/>
                    </w:rPr>
                  </w:pPr>
                </w:p>
              </w:tc>
            </w:tr>
            <w:tr w14:paraId="1E20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81" w:type="dxa"/>
                  <w:vMerge w:val="continue"/>
                  <w:noWrap w:val="0"/>
                  <w:vAlign w:val="center"/>
                </w:tcPr>
                <w:p w14:paraId="16054218">
                  <w:pPr>
                    <w:pStyle w:val="23"/>
                    <w:spacing w:line="240" w:lineRule="auto"/>
                    <w:rPr>
                      <w:rFonts w:hint="default" w:ascii="Times New Roman" w:hAnsi="Times New Roman" w:cs="Times New Roman"/>
                      <w:color w:val="auto"/>
                      <w:szCs w:val="21"/>
                      <w:highlight w:val="none"/>
                    </w:rPr>
                  </w:pPr>
                </w:p>
              </w:tc>
              <w:tc>
                <w:tcPr>
                  <w:tcW w:w="845" w:type="dxa"/>
                  <w:noWrap w:val="0"/>
                  <w:vAlign w:val="center"/>
                </w:tcPr>
                <w:p w14:paraId="4FC31657">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弃渣场</w:t>
                  </w:r>
                </w:p>
              </w:tc>
              <w:tc>
                <w:tcPr>
                  <w:tcW w:w="6006" w:type="dxa"/>
                  <w:gridSpan w:val="3"/>
                  <w:shd w:val="clear" w:color="auto" w:fill="auto"/>
                  <w:noWrap w:val="0"/>
                  <w:vAlign w:val="center"/>
                </w:tcPr>
                <w:p w14:paraId="2C61190D">
                  <w:pPr>
                    <w:pStyle w:val="23"/>
                    <w:keepNext w:val="0"/>
                    <w:keepLines w:val="0"/>
                    <w:pageBreakBefore w:val="0"/>
                    <w:widowControl w:val="0"/>
                    <w:kinsoku/>
                    <w:wordWrap/>
                    <w:overflowPunct/>
                    <w:topLinePunct w:val="0"/>
                    <w:autoSpaceDE/>
                    <w:autoSpaceDN/>
                    <w:bidi w:val="0"/>
                    <w:snapToGrid/>
                    <w:spacing w:line="240" w:lineRule="auto"/>
                    <w:ind w:left="0" w:leftChars="0" w:firstLine="0" w:firstLineChars="0"/>
                    <w:jc w:val="left"/>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二郎段、福兴段和石河镇段、双拱场段：</w:t>
                  </w:r>
                  <w:r>
                    <w:rPr>
                      <w:rFonts w:hint="default" w:ascii="Times New Roman" w:hAnsi="Times New Roman" w:eastAsia="宋体" w:cs="Times New Roman"/>
                      <w:color w:val="auto"/>
                      <w:sz w:val="21"/>
                      <w:szCs w:val="21"/>
                      <w:highlight w:val="none"/>
                      <w:lang w:val="en-US" w:eastAsia="zh-CN"/>
                    </w:rPr>
                    <w:t>不单独设弃渣场，</w:t>
                  </w:r>
                  <w:r>
                    <w:rPr>
                      <w:rFonts w:hint="eastAsia" w:cs="Times New Roman"/>
                      <w:color w:val="auto"/>
                      <w:sz w:val="21"/>
                      <w:szCs w:val="21"/>
                      <w:highlight w:val="none"/>
                      <w:lang w:val="en-US" w:eastAsia="zh-CN"/>
                    </w:rPr>
                    <w:t>经土石方平衡后产生的弃渣，可直接利用的部分由周边居民用于农田做肥料，</w:t>
                  </w:r>
                  <w:r>
                    <w:rPr>
                      <w:rFonts w:hint="eastAsia"/>
                      <w:color w:val="auto"/>
                      <w:sz w:val="21"/>
                      <w:szCs w:val="21"/>
                      <w:highlight w:val="none"/>
                      <w:lang w:val="en-US" w:eastAsia="zh-CN"/>
                    </w:rPr>
                    <w:t>含砂石量多的疏浚砂石用于沿线低洼地区回填</w:t>
                  </w:r>
                  <w:r>
                    <w:rPr>
                      <w:rFonts w:hint="eastAsia" w:cs="Times New Roman"/>
                      <w:color w:val="auto"/>
                      <w:sz w:val="21"/>
                      <w:szCs w:val="21"/>
                      <w:highlight w:val="none"/>
                      <w:lang w:val="en-US" w:eastAsia="zh-CN"/>
                    </w:rPr>
                    <w:t>；经晾干后的不可直接利用清淤淤泥运往市政规划的弃渣场</w:t>
                  </w:r>
                  <w:r>
                    <w:rPr>
                      <w:rFonts w:hint="default" w:ascii="Times New Roman" w:hAnsi="Times New Roman" w:eastAsia="宋体" w:cs="Times New Roman"/>
                      <w:color w:val="auto"/>
                      <w:sz w:val="21"/>
                      <w:szCs w:val="21"/>
                      <w:highlight w:val="none"/>
                      <w:lang w:val="en-US" w:eastAsia="zh-CN"/>
                    </w:rPr>
                    <w:t>。</w:t>
                  </w:r>
                </w:p>
                <w:p w14:paraId="5596F3E6">
                  <w:pPr>
                    <w:pStyle w:val="23"/>
                    <w:keepNext w:val="0"/>
                    <w:keepLines w:val="0"/>
                    <w:pageBreakBefore w:val="0"/>
                    <w:widowControl w:val="0"/>
                    <w:kinsoku/>
                    <w:wordWrap/>
                    <w:overflowPunct/>
                    <w:topLinePunct w:val="0"/>
                    <w:autoSpaceDE/>
                    <w:autoSpaceDN/>
                    <w:bidi w:val="0"/>
                    <w:snapToGrid/>
                    <w:spacing w:line="240" w:lineRule="auto"/>
                    <w:ind w:left="0" w:leftChars="0" w:firstLine="0" w:firstLineChars="0"/>
                    <w:jc w:val="left"/>
                    <w:textAlignment w:val="auto"/>
                    <w:rPr>
                      <w:rFonts w:hint="default"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清河镇段及杨家镇段：</w:t>
                  </w:r>
                  <w:r>
                    <w:rPr>
                      <w:rFonts w:hint="eastAsia" w:ascii="Times New Roman" w:hAnsi="Times New Roman" w:eastAsia="宋体"/>
                      <w:color w:val="auto"/>
                      <w:sz w:val="21"/>
                      <w:szCs w:val="21"/>
                      <w:highlight w:val="none"/>
                    </w:rPr>
                    <w:t>弃渣全部用于</w:t>
                  </w:r>
                  <w:r>
                    <w:rPr>
                      <w:rFonts w:hint="eastAsia" w:ascii="Times New Roman" w:hAnsi="Times New Roman" w:eastAsia="宋体"/>
                      <w:color w:val="auto"/>
                      <w:sz w:val="21"/>
                      <w:szCs w:val="21"/>
                      <w:highlight w:val="none"/>
                      <w:lang w:val="en-US" w:eastAsia="zh-CN"/>
                    </w:rPr>
                    <w:t>河道沿岸低洼区域利用</w:t>
                  </w:r>
                  <w:r>
                    <w:rPr>
                      <w:rFonts w:hint="eastAsia" w:ascii="Times New Roman" w:hAnsi="Times New Roman" w:eastAsia="宋体"/>
                      <w:color w:val="auto"/>
                      <w:sz w:val="21"/>
                      <w:szCs w:val="21"/>
                      <w:highlight w:val="none"/>
                    </w:rPr>
                    <w:t>。</w:t>
                  </w:r>
                  <w:r>
                    <w:rPr>
                      <w:rFonts w:hint="eastAsia"/>
                      <w:color w:val="auto"/>
                      <w:sz w:val="21"/>
                      <w:szCs w:val="21"/>
                      <w:highlight w:val="none"/>
                      <w:lang w:val="en-US" w:eastAsia="zh-CN"/>
                    </w:rPr>
                    <w:t>含砂石量多的疏浚砂石用于沿线低洼地区回填；含泥量高的淤泥，回用作护坡土回用。</w:t>
                  </w:r>
                </w:p>
              </w:tc>
              <w:tc>
                <w:tcPr>
                  <w:tcW w:w="750" w:type="dxa"/>
                  <w:vMerge w:val="continue"/>
                  <w:noWrap w:val="0"/>
                  <w:vAlign w:val="center"/>
                </w:tcPr>
                <w:p w14:paraId="5EBE55A0">
                  <w:pPr>
                    <w:pStyle w:val="23"/>
                    <w:spacing w:line="240" w:lineRule="auto"/>
                    <w:rPr>
                      <w:rFonts w:hint="default" w:ascii="Times New Roman" w:hAnsi="Times New Roman" w:cs="Times New Roman"/>
                      <w:color w:val="auto"/>
                      <w:szCs w:val="21"/>
                      <w:highlight w:val="none"/>
                    </w:rPr>
                  </w:pPr>
                </w:p>
              </w:tc>
              <w:tc>
                <w:tcPr>
                  <w:tcW w:w="663" w:type="dxa"/>
                  <w:vMerge w:val="continue"/>
                  <w:noWrap w:val="0"/>
                  <w:vAlign w:val="center"/>
                </w:tcPr>
                <w:p w14:paraId="497100F2">
                  <w:pPr>
                    <w:pStyle w:val="23"/>
                    <w:spacing w:line="240" w:lineRule="auto"/>
                    <w:rPr>
                      <w:rFonts w:hint="default" w:ascii="Times New Roman" w:hAnsi="Times New Roman" w:cs="Times New Roman"/>
                      <w:color w:val="auto"/>
                      <w:szCs w:val="21"/>
                      <w:highlight w:val="none"/>
                    </w:rPr>
                  </w:pPr>
                </w:p>
              </w:tc>
            </w:tr>
            <w:tr w14:paraId="6228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restart"/>
                  <w:noWrap w:val="0"/>
                  <w:vAlign w:val="center"/>
                </w:tcPr>
                <w:p w14:paraId="47FC6E92">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公用工程</w:t>
                  </w:r>
                </w:p>
              </w:tc>
              <w:tc>
                <w:tcPr>
                  <w:tcW w:w="845" w:type="dxa"/>
                  <w:noWrap w:val="0"/>
                  <w:vAlign w:val="center"/>
                </w:tcPr>
                <w:p w14:paraId="6A993DA0">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供水</w:t>
                  </w:r>
                </w:p>
              </w:tc>
              <w:tc>
                <w:tcPr>
                  <w:tcW w:w="6006" w:type="dxa"/>
                  <w:gridSpan w:val="3"/>
                  <w:noWrap w:val="0"/>
                  <w:vAlign w:val="center"/>
                </w:tcPr>
                <w:p w14:paraId="6DB984C0">
                  <w:pPr>
                    <w:pStyle w:val="23"/>
                    <w:spacing w:line="240" w:lineRule="auto"/>
                    <w:jc w:val="left"/>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施工期生活用水</w:t>
                  </w:r>
                  <w:r>
                    <w:rPr>
                      <w:rFonts w:hint="eastAsia" w:cs="Times New Roman"/>
                      <w:color w:val="auto"/>
                      <w:szCs w:val="24"/>
                      <w:highlight w:val="none"/>
                      <w:lang w:val="en-US" w:eastAsia="zh-CN"/>
                    </w:rPr>
                    <w:t>依托周边市政自来管网供给。</w:t>
                  </w:r>
                  <w:r>
                    <w:rPr>
                      <w:rFonts w:hint="default" w:ascii="Times New Roman" w:hAnsi="Times New Roman" w:cs="Times New Roman"/>
                      <w:color w:val="auto"/>
                      <w:szCs w:val="21"/>
                      <w:highlight w:val="none"/>
                    </w:rPr>
                    <w:t>施工用水就近抽取河水使用。</w:t>
                  </w:r>
                </w:p>
              </w:tc>
              <w:tc>
                <w:tcPr>
                  <w:tcW w:w="750" w:type="dxa"/>
                  <w:noWrap w:val="0"/>
                  <w:vAlign w:val="center"/>
                </w:tcPr>
                <w:p w14:paraId="337CA974">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63" w:type="dxa"/>
                  <w:vMerge w:val="continue"/>
                  <w:noWrap w:val="0"/>
                  <w:vAlign w:val="center"/>
                </w:tcPr>
                <w:p w14:paraId="07E5ACEB">
                  <w:pPr>
                    <w:pStyle w:val="23"/>
                    <w:spacing w:line="240" w:lineRule="auto"/>
                    <w:rPr>
                      <w:rFonts w:hint="default" w:ascii="Times New Roman" w:hAnsi="Times New Roman" w:cs="Times New Roman"/>
                      <w:color w:val="auto"/>
                      <w:szCs w:val="21"/>
                      <w:highlight w:val="none"/>
                    </w:rPr>
                  </w:pPr>
                </w:p>
              </w:tc>
            </w:tr>
            <w:tr w14:paraId="3334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632DCBDF">
                  <w:pPr>
                    <w:pStyle w:val="23"/>
                    <w:spacing w:line="240" w:lineRule="auto"/>
                    <w:rPr>
                      <w:rFonts w:hint="default" w:ascii="Times New Roman" w:hAnsi="Times New Roman" w:cs="Times New Roman"/>
                      <w:color w:val="auto"/>
                      <w:szCs w:val="21"/>
                      <w:highlight w:val="none"/>
                    </w:rPr>
                  </w:pPr>
                </w:p>
              </w:tc>
              <w:tc>
                <w:tcPr>
                  <w:tcW w:w="845" w:type="dxa"/>
                  <w:noWrap w:val="0"/>
                  <w:vAlign w:val="center"/>
                </w:tcPr>
                <w:p w14:paraId="32FC5272">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供电</w:t>
                  </w:r>
                </w:p>
              </w:tc>
              <w:tc>
                <w:tcPr>
                  <w:tcW w:w="6006" w:type="dxa"/>
                  <w:gridSpan w:val="3"/>
                  <w:noWrap w:val="0"/>
                  <w:vAlign w:val="center"/>
                </w:tcPr>
                <w:p w14:paraId="7CA078A7">
                  <w:pPr>
                    <w:pStyle w:val="23"/>
                    <w:spacing w:line="240" w:lineRule="auto"/>
                    <w:jc w:val="left"/>
                    <w:rPr>
                      <w:rFonts w:hint="default" w:ascii="Times New Roman" w:hAnsi="Times New Roman" w:cs="Times New Roman"/>
                      <w:color w:val="auto"/>
                      <w:szCs w:val="21"/>
                      <w:highlight w:val="none"/>
                    </w:rPr>
                  </w:pPr>
                  <w:r>
                    <w:rPr>
                      <w:rFonts w:hint="eastAsia"/>
                      <w:color w:val="auto"/>
                      <w:szCs w:val="21"/>
                      <w:highlight w:val="none"/>
                      <w:lang w:val="zh-CN"/>
                    </w:rPr>
                    <w:t>各工程河段供电采用就近搭接乡镇农网1</w:t>
                  </w:r>
                  <w:r>
                    <w:rPr>
                      <w:color w:val="auto"/>
                      <w:szCs w:val="21"/>
                      <w:highlight w:val="none"/>
                      <w:lang w:val="zh-CN"/>
                    </w:rPr>
                    <w:t>0</w:t>
                  </w:r>
                  <w:r>
                    <w:rPr>
                      <w:rFonts w:hint="eastAsia"/>
                      <w:color w:val="auto"/>
                      <w:szCs w:val="21"/>
                      <w:highlight w:val="none"/>
                      <w:lang w:val="zh-CN"/>
                    </w:rPr>
                    <w:t>k</w:t>
                  </w:r>
                  <w:r>
                    <w:rPr>
                      <w:color w:val="auto"/>
                      <w:szCs w:val="21"/>
                      <w:highlight w:val="none"/>
                      <w:lang w:val="zh-CN"/>
                    </w:rPr>
                    <w:t>V</w:t>
                  </w:r>
                  <w:r>
                    <w:rPr>
                      <w:rFonts w:hint="eastAsia"/>
                      <w:color w:val="auto"/>
                      <w:szCs w:val="21"/>
                      <w:highlight w:val="none"/>
                      <w:lang w:val="zh-CN"/>
                    </w:rPr>
                    <w:t>输电线路，设置变压器；</w:t>
                  </w:r>
                  <w:r>
                    <w:rPr>
                      <w:rFonts w:hint="eastAsia" w:cs="Times New Roman"/>
                      <w:color w:val="auto"/>
                      <w:szCs w:val="24"/>
                      <w:highlight w:val="none"/>
                      <w:lang w:val="en-US" w:eastAsia="zh-CN"/>
                    </w:rPr>
                    <w:t>同时各施工场地</w:t>
                  </w:r>
                  <w:r>
                    <w:rPr>
                      <w:rFonts w:hint="default" w:ascii="Times New Roman" w:hAnsi="Times New Roman" w:cs="Times New Roman"/>
                      <w:color w:val="auto"/>
                      <w:szCs w:val="24"/>
                      <w:highlight w:val="none"/>
                    </w:rPr>
                    <w:t>配备1套50kW移动式柴油发电机组作备用电源</w:t>
                  </w:r>
                  <w:r>
                    <w:rPr>
                      <w:rFonts w:hint="default" w:ascii="Times New Roman" w:hAnsi="Times New Roman" w:cs="Times New Roman"/>
                      <w:color w:val="auto"/>
                      <w:szCs w:val="21"/>
                      <w:highlight w:val="none"/>
                    </w:rPr>
                    <w:t>。</w:t>
                  </w:r>
                </w:p>
              </w:tc>
              <w:tc>
                <w:tcPr>
                  <w:tcW w:w="750" w:type="dxa"/>
                  <w:noWrap w:val="0"/>
                  <w:vAlign w:val="center"/>
                </w:tcPr>
                <w:p w14:paraId="1D4CD8D1">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63" w:type="dxa"/>
                  <w:vMerge w:val="continue"/>
                  <w:noWrap w:val="0"/>
                  <w:vAlign w:val="center"/>
                </w:tcPr>
                <w:p w14:paraId="7565B710">
                  <w:pPr>
                    <w:pStyle w:val="23"/>
                    <w:spacing w:line="240" w:lineRule="auto"/>
                    <w:rPr>
                      <w:rFonts w:hint="default" w:ascii="Times New Roman" w:hAnsi="Times New Roman" w:cs="Times New Roman"/>
                      <w:color w:val="auto"/>
                      <w:szCs w:val="21"/>
                      <w:highlight w:val="none"/>
                    </w:rPr>
                  </w:pPr>
                </w:p>
              </w:tc>
            </w:tr>
            <w:tr w14:paraId="0F56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20CF175C">
                  <w:pPr>
                    <w:pStyle w:val="23"/>
                    <w:spacing w:line="240" w:lineRule="auto"/>
                    <w:rPr>
                      <w:rFonts w:hint="default" w:ascii="Times New Roman" w:hAnsi="Times New Roman" w:cs="Times New Roman"/>
                      <w:color w:val="auto"/>
                      <w:szCs w:val="21"/>
                      <w:highlight w:val="none"/>
                    </w:rPr>
                  </w:pPr>
                </w:p>
              </w:tc>
              <w:tc>
                <w:tcPr>
                  <w:tcW w:w="845" w:type="dxa"/>
                  <w:noWrap w:val="0"/>
                  <w:vAlign w:val="center"/>
                </w:tcPr>
                <w:p w14:paraId="25620533">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施工供风</w:t>
                  </w:r>
                </w:p>
              </w:tc>
              <w:tc>
                <w:tcPr>
                  <w:tcW w:w="6006" w:type="dxa"/>
                  <w:gridSpan w:val="3"/>
                  <w:noWrap w:val="0"/>
                  <w:vAlign w:val="center"/>
                </w:tcPr>
                <w:p w14:paraId="1AE5A129">
                  <w:pPr>
                    <w:pStyle w:val="23"/>
                    <w:spacing w:line="240" w:lineRule="auto"/>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不</w:t>
                  </w:r>
                  <w:r>
                    <w:rPr>
                      <w:rFonts w:hint="default" w:ascii="Times New Roman" w:hAnsi="Times New Roman" w:cs="Times New Roman"/>
                      <w:color w:val="auto"/>
                      <w:szCs w:val="24"/>
                      <w:highlight w:val="none"/>
                    </w:rPr>
                    <w:t>配备供风设备</w:t>
                  </w:r>
                  <w:r>
                    <w:rPr>
                      <w:rFonts w:hint="default" w:ascii="Times New Roman" w:hAnsi="Times New Roman" w:cs="Times New Roman"/>
                      <w:color w:val="auto"/>
                      <w:szCs w:val="24"/>
                      <w:highlight w:val="none"/>
                      <w:lang w:eastAsia="zh-CN"/>
                    </w:rPr>
                    <w:t>。</w:t>
                  </w:r>
                </w:p>
              </w:tc>
              <w:tc>
                <w:tcPr>
                  <w:tcW w:w="750" w:type="dxa"/>
                  <w:noWrap w:val="0"/>
                  <w:vAlign w:val="center"/>
                </w:tcPr>
                <w:p w14:paraId="7D026B99">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63" w:type="dxa"/>
                  <w:vMerge w:val="continue"/>
                  <w:noWrap w:val="0"/>
                  <w:vAlign w:val="center"/>
                </w:tcPr>
                <w:p w14:paraId="16F3E29A">
                  <w:pPr>
                    <w:pStyle w:val="23"/>
                    <w:spacing w:line="240" w:lineRule="auto"/>
                    <w:rPr>
                      <w:rFonts w:hint="default" w:ascii="Times New Roman" w:hAnsi="Times New Roman" w:cs="Times New Roman"/>
                      <w:color w:val="auto"/>
                      <w:szCs w:val="21"/>
                      <w:highlight w:val="none"/>
                    </w:rPr>
                  </w:pPr>
                </w:p>
              </w:tc>
            </w:tr>
            <w:tr w14:paraId="5244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6D932371">
                  <w:pPr>
                    <w:pStyle w:val="23"/>
                    <w:spacing w:line="240" w:lineRule="auto"/>
                    <w:rPr>
                      <w:rFonts w:hint="default" w:ascii="Times New Roman" w:hAnsi="Times New Roman" w:cs="Times New Roman"/>
                      <w:color w:val="auto"/>
                      <w:szCs w:val="21"/>
                      <w:highlight w:val="none"/>
                    </w:rPr>
                  </w:pPr>
                </w:p>
              </w:tc>
              <w:tc>
                <w:tcPr>
                  <w:tcW w:w="845" w:type="dxa"/>
                  <w:noWrap w:val="0"/>
                  <w:vAlign w:val="center"/>
                </w:tcPr>
                <w:p w14:paraId="458A6B57">
                  <w:pPr>
                    <w:pStyle w:val="23"/>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施工通讯</w:t>
                  </w:r>
                </w:p>
              </w:tc>
              <w:tc>
                <w:tcPr>
                  <w:tcW w:w="6006" w:type="dxa"/>
                  <w:gridSpan w:val="3"/>
                  <w:noWrap w:val="0"/>
                  <w:vAlign w:val="center"/>
                </w:tcPr>
                <w:p w14:paraId="2E5D9E36">
                  <w:pPr>
                    <w:pStyle w:val="23"/>
                    <w:spacing w:line="240" w:lineRule="auto"/>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zh-CN"/>
                    </w:rPr>
                    <w:t>由于无线通讯信号全覆盖，</w:t>
                  </w:r>
                  <w:r>
                    <w:rPr>
                      <w:rFonts w:hint="eastAsia" w:ascii="Times New Roman" w:hAnsi="Times New Roman" w:cs="Times New Roman"/>
                      <w:color w:val="auto"/>
                      <w:szCs w:val="21"/>
                      <w:highlight w:val="none"/>
                      <w:lang w:val="zh-CN"/>
                    </w:rPr>
                    <w:t>各工程河段采用</w:t>
                  </w:r>
                  <w:r>
                    <w:rPr>
                      <w:rFonts w:hint="default" w:ascii="Times New Roman" w:hAnsi="Times New Roman" w:cs="Times New Roman"/>
                      <w:color w:val="auto"/>
                      <w:szCs w:val="21"/>
                      <w:highlight w:val="none"/>
                      <w:lang w:val="zh-CN"/>
                    </w:rPr>
                    <w:t>无线通讯工具，以满足施工要求和建设管理的需要。</w:t>
                  </w:r>
                </w:p>
              </w:tc>
              <w:tc>
                <w:tcPr>
                  <w:tcW w:w="750" w:type="dxa"/>
                  <w:noWrap w:val="0"/>
                  <w:vAlign w:val="center"/>
                </w:tcPr>
                <w:p w14:paraId="7EDC6C32">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663" w:type="dxa"/>
                  <w:vMerge w:val="continue"/>
                  <w:noWrap w:val="0"/>
                  <w:vAlign w:val="center"/>
                </w:tcPr>
                <w:p w14:paraId="6756608E">
                  <w:pPr>
                    <w:pStyle w:val="23"/>
                    <w:spacing w:line="240" w:lineRule="auto"/>
                    <w:rPr>
                      <w:rFonts w:hint="default" w:ascii="Times New Roman" w:hAnsi="Times New Roman" w:cs="Times New Roman"/>
                      <w:color w:val="auto"/>
                      <w:szCs w:val="21"/>
                      <w:highlight w:val="none"/>
                    </w:rPr>
                  </w:pPr>
                </w:p>
              </w:tc>
            </w:tr>
            <w:tr w14:paraId="1F5A9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restart"/>
                  <w:noWrap w:val="0"/>
                  <w:vAlign w:val="center"/>
                </w:tcPr>
                <w:p w14:paraId="6BD0B732">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w:t>
                  </w:r>
                </w:p>
                <w:p w14:paraId="7D33EFD8">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工程</w:t>
                  </w:r>
                </w:p>
              </w:tc>
              <w:tc>
                <w:tcPr>
                  <w:tcW w:w="845" w:type="dxa"/>
                  <w:noWrap w:val="0"/>
                  <w:vAlign w:val="center"/>
                </w:tcPr>
                <w:p w14:paraId="1DB1500A">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w:t>
                  </w:r>
                </w:p>
              </w:tc>
              <w:tc>
                <w:tcPr>
                  <w:tcW w:w="6006" w:type="dxa"/>
                  <w:gridSpan w:val="3"/>
                  <w:noWrap w:val="0"/>
                  <w:vAlign w:val="center"/>
                </w:tcPr>
                <w:p w14:paraId="46AACF15">
                  <w:pPr>
                    <w:pStyle w:val="2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both"/>
                    <w:textAlignment w:val="auto"/>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施工机械和运输车辆冲洗废水</w:t>
                  </w:r>
                  <w:r>
                    <w:rPr>
                      <w:rFonts w:hint="default" w:ascii="Times New Roman" w:hAnsi="Times New Roman" w:cs="Times New Roman"/>
                      <w:color w:val="auto"/>
                      <w:sz w:val="21"/>
                      <w:szCs w:val="21"/>
                      <w:highlight w:val="none"/>
                      <w:lang w:eastAsia="zh-CN"/>
                    </w:rPr>
                    <w:t>、拌和</w:t>
                  </w:r>
                  <w:r>
                    <w:rPr>
                      <w:rFonts w:hint="default" w:ascii="Times New Roman" w:hAnsi="Times New Roman" w:cs="Times New Roman"/>
                      <w:color w:val="auto"/>
                      <w:sz w:val="21"/>
                      <w:szCs w:val="21"/>
                      <w:highlight w:val="none"/>
                    </w:rPr>
                    <w:t>系统冲洗废水</w:t>
                  </w:r>
                  <w:r>
                    <w:rPr>
                      <w:rFonts w:hint="default" w:ascii="Times New Roman" w:hAnsi="Times New Roman" w:cs="Times New Roman"/>
                      <w:color w:val="auto"/>
                      <w:sz w:val="21"/>
                      <w:szCs w:val="21"/>
                      <w:highlight w:val="none"/>
                      <w:lang w:eastAsia="zh-CN"/>
                    </w:rPr>
                    <w:t>：</w:t>
                  </w:r>
                </w:p>
                <w:p w14:paraId="73F7A5FF">
                  <w:pPr>
                    <w:pStyle w:val="2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both"/>
                    <w:textAlignment w:val="auto"/>
                    <w:rPr>
                      <w:rFonts w:hint="default" w:ascii="Times New Roman" w:hAnsi="Times New Roman" w:cs="Times New Roman"/>
                      <w:color w:val="auto"/>
                      <w:sz w:val="21"/>
                      <w:szCs w:val="21"/>
                      <w:highlight w:val="none"/>
                      <w:lang w:eastAsia="zh-CN"/>
                    </w:rPr>
                  </w:pPr>
                  <w:r>
                    <w:rPr>
                      <w:rFonts w:hint="eastAsia" w:cs="Times New Roman"/>
                      <w:color w:val="auto"/>
                      <w:sz w:val="21"/>
                      <w:szCs w:val="21"/>
                      <w:highlight w:val="none"/>
                      <w:lang w:val="en-US" w:eastAsia="zh-CN"/>
                    </w:rPr>
                    <w:t>石河镇施工场地：</w:t>
                  </w:r>
                  <w:r>
                    <w:rPr>
                      <w:rFonts w:hint="default" w:ascii="Times New Roman" w:hAnsi="Times New Roman" w:cs="Times New Roman"/>
                      <w:color w:val="auto"/>
                      <w:sz w:val="21"/>
                      <w:szCs w:val="21"/>
                      <w:highlight w:val="none"/>
                    </w:rPr>
                    <w:t>在</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施工场地</w:t>
                  </w:r>
                  <w:r>
                    <w:rPr>
                      <w:rFonts w:hint="default" w:ascii="Times New Roman" w:hAnsi="Times New Roman" w:cs="Times New Roman"/>
                      <w:color w:val="auto"/>
                      <w:sz w:val="21"/>
                      <w:szCs w:val="21"/>
                      <w:highlight w:val="none"/>
                      <w:lang w:val="en-US" w:eastAsia="zh-CN"/>
                    </w:rPr>
                    <w:t>内</w:t>
                  </w:r>
                  <w:r>
                    <w:rPr>
                      <w:rFonts w:hint="default" w:ascii="Times New Roman" w:hAnsi="Times New Roman" w:cs="Times New Roman"/>
                      <w:color w:val="auto"/>
                      <w:sz w:val="21"/>
                      <w:szCs w:val="21"/>
                      <w:highlight w:val="none"/>
                    </w:rPr>
                    <w:t>设置</w:t>
                  </w:r>
                  <w:r>
                    <w:rPr>
                      <w:rFonts w:hint="default" w:ascii="Times New Roman" w:hAnsi="Times New Roman" w:cs="Times New Roman"/>
                      <w:color w:val="auto"/>
                      <w:sz w:val="21"/>
                      <w:szCs w:val="21"/>
                      <w:highlight w:val="none"/>
                      <w:lang w:val="en-US" w:eastAsia="zh-CN"/>
                    </w:rPr>
                    <w:t>1个</w:t>
                  </w:r>
                  <w:r>
                    <w:rPr>
                      <w:rFonts w:hint="default" w:ascii="Times New Roman" w:hAnsi="Times New Roman" w:cs="Times New Roman"/>
                      <w:color w:val="auto"/>
                      <w:sz w:val="21"/>
                      <w:szCs w:val="21"/>
                      <w:highlight w:val="none"/>
                    </w:rPr>
                    <w:t>沉淀池</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处理规模为</w:t>
                  </w:r>
                  <w:r>
                    <w:rPr>
                      <w:rFonts w:hint="eastAsia"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/d，施工机械、运输车辆冲洗废水</w:t>
                  </w:r>
                  <w:r>
                    <w:rPr>
                      <w:rFonts w:hint="default" w:ascii="Times New Roman" w:hAnsi="Times New Roman" w:cs="Times New Roman"/>
                      <w:color w:val="auto"/>
                      <w:sz w:val="21"/>
                      <w:szCs w:val="21"/>
                      <w:highlight w:val="none"/>
                      <w:lang w:eastAsia="zh-CN"/>
                    </w:rPr>
                    <w:t>、拌和</w:t>
                  </w:r>
                  <w:r>
                    <w:rPr>
                      <w:rFonts w:hint="default" w:ascii="Times New Roman" w:hAnsi="Times New Roman" w:cs="Times New Roman"/>
                      <w:color w:val="auto"/>
                      <w:sz w:val="21"/>
                      <w:szCs w:val="21"/>
                      <w:highlight w:val="none"/>
                    </w:rPr>
                    <w:t>系统冲洗废水经沉淀处理后</w:t>
                  </w:r>
                  <w:r>
                    <w:rPr>
                      <w:rFonts w:hint="default" w:ascii="Times New Roman" w:hAnsi="Times New Roman" w:cs="Times New Roman"/>
                      <w:color w:val="auto"/>
                      <w:sz w:val="21"/>
                      <w:szCs w:val="21"/>
                      <w:highlight w:val="none"/>
                      <w:lang w:val="en-US" w:eastAsia="zh-CN"/>
                    </w:rPr>
                    <w:t>均</w:t>
                  </w:r>
                  <w:r>
                    <w:rPr>
                      <w:rFonts w:hint="default" w:ascii="Times New Roman" w:hAnsi="Times New Roman" w:cs="Times New Roman"/>
                      <w:color w:val="auto"/>
                      <w:sz w:val="21"/>
                      <w:szCs w:val="21"/>
                      <w:highlight w:val="none"/>
                    </w:rPr>
                    <w:t>回用于施工场地洒水降尘</w:t>
                  </w:r>
                  <w:r>
                    <w:rPr>
                      <w:rFonts w:hint="default" w:ascii="Times New Roman" w:hAnsi="Times New Roman" w:cs="Times New Roman"/>
                      <w:color w:val="auto"/>
                      <w:sz w:val="21"/>
                      <w:szCs w:val="21"/>
                      <w:highlight w:val="none"/>
                      <w:lang w:eastAsia="zh-CN"/>
                    </w:rPr>
                    <w:t>。</w:t>
                  </w:r>
                </w:p>
                <w:p w14:paraId="124615E1">
                  <w:pPr>
                    <w:pStyle w:val="2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清河镇施工场地及杨家镇施工场地：项目在2个施工场地均设置有1座沉淀池，处理规模为5m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w:t>
                  </w:r>
                </w:p>
                <w:p w14:paraId="178FE881">
                  <w:pPr>
                    <w:pStyle w:val="2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基坑渗水：</w:t>
                  </w:r>
                  <w:r>
                    <w:rPr>
                      <w:rFonts w:hint="eastAsia" w:cs="Times New Roman"/>
                      <w:color w:val="auto"/>
                      <w:sz w:val="21"/>
                      <w:szCs w:val="21"/>
                      <w:highlight w:val="none"/>
                      <w:lang w:val="en-US" w:eastAsia="zh-CN"/>
                    </w:rPr>
                    <w:t>在每段围堰下游各设置1个集水井</w:t>
                  </w:r>
                  <w:r>
                    <w:rPr>
                      <w:rFonts w:hint="default" w:ascii="Times New Roman" w:hAnsi="Times New Roman" w:cs="Times New Roman"/>
                      <w:color w:val="auto"/>
                      <w:sz w:val="21"/>
                      <w:szCs w:val="21"/>
                      <w:highlight w:val="none"/>
                      <w:lang w:val="en-US" w:eastAsia="zh-CN"/>
                    </w:rPr>
                    <w:t>、1个沉淀池，</w:t>
                  </w:r>
                  <w:r>
                    <w:rPr>
                      <w:rFonts w:hint="default" w:ascii="Times New Roman" w:hAnsi="Times New Roman" w:cs="Times New Roman"/>
                      <w:color w:val="auto"/>
                      <w:szCs w:val="21"/>
                      <w:highlight w:val="none"/>
                    </w:rPr>
                    <w:t>每个集水</w:t>
                  </w:r>
                  <w:r>
                    <w:rPr>
                      <w:rFonts w:hint="default" w:ascii="Times New Roman" w:hAnsi="Times New Roman" w:cs="Times New Roman"/>
                      <w:color w:val="auto"/>
                      <w:szCs w:val="21"/>
                      <w:highlight w:val="none"/>
                      <w:lang w:val="en-US" w:eastAsia="zh-CN"/>
                    </w:rPr>
                    <w:t>井</w:t>
                  </w:r>
                  <w:r>
                    <w:rPr>
                      <w:rFonts w:hint="default" w:ascii="Times New Roman" w:hAnsi="Times New Roman" w:cs="Times New Roman"/>
                      <w:color w:val="auto"/>
                      <w:szCs w:val="21"/>
                      <w:highlight w:val="none"/>
                    </w:rPr>
                    <w:t>选用潜污泵1台</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 w:val="21"/>
                      <w:szCs w:val="21"/>
                      <w:highlight w:val="none"/>
                      <w:lang w:val="en-US" w:eastAsia="zh-CN"/>
                    </w:rPr>
                    <w:t>基坑渗水经</w:t>
                  </w:r>
                  <w:r>
                    <w:rPr>
                      <w:rFonts w:hint="default" w:ascii="Times New Roman" w:hAnsi="Times New Roman" w:cs="Times New Roman"/>
                      <w:color w:val="auto"/>
                      <w:sz w:val="21"/>
                      <w:szCs w:val="21"/>
                      <w:highlight w:val="none"/>
                    </w:rPr>
                    <w:t>集水井收集</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之</w:t>
                  </w:r>
                  <w:r>
                    <w:rPr>
                      <w:rFonts w:hint="default" w:ascii="Times New Roman" w:hAnsi="Times New Roman" w:cs="Times New Roman"/>
                      <w:color w:val="auto"/>
                      <w:sz w:val="21"/>
                      <w:szCs w:val="21"/>
                      <w:highlight w:val="none"/>
                    </w:rPr>
                    <w:t>后由潜污泵抽排至沉淀池</w:t>
                  </w:r>
                  <w:r>
                    <w:rPr>
                      <w:rFonts w:hint="default" w:ascii="Times New Roman" w:hAnsi="Times New Roman" w:cs="Times New Roman"/>
                      <w:color w:val="auto"/>
                      <w:sz w:val="21"/>
                      <w:szCs w:val="21"/>
                      <w:highlight w:val="none"/>
                      <w:lang w:val="en-US" w:eastAsia="zh-CN"/>
                    </w:rPr>
                    <w:t>处理</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处理</w:t>
                  </w:r>
                  <w:r>
                    <w:rPr>
                      <w:rFonts w:hint="default" w:ascii="Times New Roman" w:hAnsi="Times New Roman" w:cs="Times New Roman"/>
                      <w:color w:val="auto"/>
                      <w:sz w:val="21"/>
                      <w:szCs w:val="21"/>
                      <w:highlight w:val="none"/>
                      <w:lang w:val="fr-FR" w:eastAsia="zh-CN"/>
                    </w:rPr>
                    <w:t>后</w:t>
                  </w:r>
                  <w:r>
                    <w:rPr>
                      <w:rFonts w:hint="default" w:ascii="Times New Roman" w:hAnsi="Times New Roman" w:cs="Times New Roman"/>
                      <w:color w:val="auto"/>
                      <w:sz w:val="21"/>
                      <w:szCs w:val="21"/>
                      <w:highlight w:val="none"/>
                      <w:lang w:val="en-US" w:eastAsia="zh-CN"/>
                    </w:rPr>
                    <w:t>再由</w:t>
                  </w:r>
                  <w:r>
                    <w:rPr>
                      <w:rFonts w:hint="default" w:ascii="Times New Roman" w:hAnsi="Times New Roman" w:cs="Times New Roman"/>
                      <w:color w:val="auto"/>
                      <w:sz w:val="21"/>
                      <w:szCs w:val="21"/>
                      <w:highlight w:val="none"/>
                      <w:lang w:val="fr-FR" w:eastAsia="zh-CN"/>
                    </w:rPr>
                    <w:t>清水泵排入河流</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二郎段共2个沉淀池，福兴段共2个沉淀池，处理规模均为5m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石河镇段1个沉淀池，双拱场段2个沉淀池</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处理规模均为5m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r>
                    <w:rPr>
                      <w:rFonts w:hint="default" w:ascii="Times New Roman" w:hAnsi="Times New Roman" w:cs="Times New Roman"/>
                      <w:color w:val="auto"/>
                      <w:sz w:val="21"/>
                      <w:szCs w:val="21"/>
                      <w:highlight w:val="none"/>
                      <w:lang w:val="en-US" w:eastAsia="zh-CN"/>
                    </w:rPr>
                    <w:t>。</w:t>
                  </w:r>
                </w:p>
                <w:p w14:paraId="324DC0A1">
                  <w:pPr>
                    <w:pStyle w:val="2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清河镇段及杨家镇段：采取分段施工，在导流围堰下游设置1个沉淀池，处理规模为5m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r>
                    <w:rPr>
                      <w:rFonts w:hint="eastAsia" w:ascii="Times New Roman" w:hAnsi="Times New Roman" w:cs="Times New Roman"/>
                      <w:color w:val="auto"/>
                      <w:sz w:val="21"/>
                      <w:szCs w:val="21"/>
                      <w:highlight w:val="none"/>
                      <w:lang w:eastAsia="zh-CN"/>
                    </w:rPr>
                    <w:t>。</w:t>
                  </w:r>
                </w:p>
                <w:p w14:paraId="38008C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b w:val="0"/>
                      <w:bCs w:val="0"/>
                      <w:color w:val="auto"/>
                      <w:sz w:val="21"/>
                      <w:szCs w:val="21"/>
                      <w:highlight w:val="none"/>
                      <w:lang w:val="en-US" w:eastAsia="zh-CN"/>
                    </w:rPr>
                    <w:t>疏浚淤泥渗滤废水：本项目</w:t>
                  </w:r>
                  <w:r>
                    <w:rPr>
                      <w:rFonts w:hint="eastAsia" w:cs="Times New Roman"/>
                      <w:b w:val="0"/>
                      <w:bCs w:val="0"/>
                      <w:color w:val="auto"/>
                      <w:sz w:val="21"/>
                      <w:szCs w:val="21"/>
                      <w:highlight w:val="none"/>
                      <w:lang w:val="en-US" w:eastAsia="zh-CN"/>
                    </w:rPr>
                    <w:t>石河镇双拱场段</w:t>
                  </w:r>
                  <w:r>
                    <w:rPr>
                      <w:rFonts w:hint="default" w:ascii="Times New Roman" w:hAnsi="Times New Roman" w:cs="Times New Roman"/>
                      <w:b w:val="0"/>
                      <w:bCs w:val="0"/>
                      <w:color w:val="auto"/>
                      <w:sz w:val="21"/>
                      <w:szCs w:val="21"/>
                      <w:highlight w:val="none"/>
                      <w:lang w:val="en-US" w:eastAsia="zh-CN"/>
                    </w:rPr>
                    <w:t>设有</w:t>
                  </w:r>
                  <w:r>
                    <w:rPr>
                      <w:rFonts w:hint="eastAsia" w:cs="Times New Roman"/>
                      <w:b w:val="0"/>
                      <w:bCs w:val="0"/>
                      <w:color w:val="auto"/>
                      <w:sz w:val="21"/>
                      <w:szCs w:val="21"/>
                      <w:highlight w:val="none"/>
                      <w:lang w:val="en-US" w:eastAsia="zh-CN"/>
                    </w:rPr>
                    <w:t>1</w:t>
                  </w:r>
                  <w:r>
                    <w:rPr>
                      <w:rFonts w:hint="default" w:ascii="Times New Roman" w:hAnsi="Times New Roman" w:cs="Times New Roman"/>
                      <w:b w:val="0"/>
                      <w:bCs w:val="0"/>
                      <w:color w:val="auto"/>
                      <w:sz w:val="21"/>
                      <w:szCs w:val="21"/>
                      <w:highlight w:val="none"/>
                      <w:lang w:val="en-US" w:eastAsia="zh-CN"/>
                    </w:rPr>
                    <w:t>处疏浚淤泥干化场，疏浚淤泥在堆放过程中会产生渗滤水。</w:t>
                  </w:r>
                  <w:r>
                    <w:rPr>
                      <w:rFonts w:hint="eastAsia" w:cs="Times New Roman"/>
                      <w:b w:val="0"/>
                      <w:bCs w:val="0"/>
                      <w:color w:val="auto"/>
                      <w:sz w:val="21"/>
                      <w:szCs w:val="21"/>
                      <w:highlight w:val="none"/>
                      <w:lang w:val="en-US" w:eastAsia="zh-CN"/>
                    </w:rPr>
                    <w:t>在干化场设置1个5m</w:t>
                  </w:r>
                  <w:r>
                    <w:rPr>
                      <w:rFonts w:hint="eastAsia" w:cs="Times New Roman"/>
                      <w:b w:val="0"/>
                      <w:bCs w:val="0"/>
                      <w:color w:val="auto"/>
                      <w:sz w:val="21"/>
                      <w:szCs w:val="21"/>
                      <w:highlight w:val="none"/>
                      <w:vertAlign w:val="superscript"/>
                      <w:lang w:val="en-US" w:eastAsia="zh-CN"/>
                    </w:rPr>
                    <w:t>3</w:t>
                  </w:r>
                  <w:r>
                    <w:rPr>
                      <w:rFonts w:hint="eastAsia" w:cs="Times New Roman"/>
                      <w:b w:val="0"/>
                      <w:bCs w:val="0"/>
                      <w:color w:val="auto"/>
                      <w:sz w:val="21"/>
                      <w:szCs w:val="21"/>
                      <w:highlight w:val="none"/>
                      <w:lang w:val="en-US" w:eastAsia="zh-CN"/>
                    </w:rPr>
                    <w:t>/d的沉淀池</w:t>
                  </w:r>
                  <w:r>
                    <w:rPr>
                      <w:rFonts w:hint="default" w:ascii="Times New Roman" w:hAnsi="Times New Roman" w:cs="Times New Roman"/>
                      <w:b w:val="0"/>
                      <w:bCs w:val="0"/>
                      <w:color w:val="auto"/>
                      <w:sz w:val="21"/>
                      <w:szCs w:val="21"/>
                      <w:highlight w:val="none"/>
                      <w:lang w:val="en-US" w:eastAsia="zh-CN"/>
                    </w:rPr>
                    <w:t>。渗滤水经沉淀池处理后通过河道岸坡自流本河道</w:t>
                  </w:r>
                  <w:r>
                    <w:rPr>
                      <w:rFonts w:hint="default" w:ascii="Times New Roman" w:hAnsi="Times New Roman" w:cs="Times New Roman"/>
                      <w:color w:val="auto"/>
                      <w:sz w:val="21"/>
                      <w:szCs w:val="21"/>
                      <w:highlight w:val="none"/>
                    </w:rPr>
                    <w:t>内</w:t>
                  </w:r>
                  <w:r>
                    <w:rPr>
                      <w:rFonts w:hint="default" w:ascii="Times New Roman" w:hAnsi="Times New Roman" w:cs="Times New Roman"/>
                      <w:color w:val="auto"/>
                      <w:sz w:val="21"/>
                      <w:szCs w:val="21"/>
                      <w:highlight w:val="none"/>
                      <w:lang w:eastAsia="zh-CN"/>
                    </w:rPr>
                    <w:t>。</w:t>
                  </w:r>
                </w:p>
                <w:p w14:paraId="60F776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清河镇段及杨家镇段：未设置疏浚淤泥干华场。疏浚淤泥直接堆放于沿河护坡上。在淤泥下游设置编织袋围挡，渗滤水排入地表水体。基坑渗水经沉淀池处理后排入河流。</w:t>
                  </w:r>
                </w:p>
                <w:p w14:paraId="0984679D">
                  <w:pPr>
                    <w:pStyle w:val="2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生活污水：</w:t>
                  </w:r>
                  <w:r>
                    <w:rPr>
                      <w:rFonts w:hint="default" w:ascii="Times New Roman" w:hAnsi="Times New Roman" w:cs="Times New Roman"/>
                      <w:color w:val="auto"/>
                      <w:sz w:val="21"/>
                      <w:szCs w:val="21"/>
                      <w:highlight w:val="none"/>
                    </w:rPr>
                    <w:t>施工人员生活污水依托附近居民现有旱厕收集做农肥。</w:t>
                  </w:r>
                </w:p>
                <w:p w14:paraId="0B68D78F">
                  <w:pPr>
                    <w:pStyle w:val="26"/>
                    <w:spacing w:before="0" w:after="0"/>
                    <w:ind w:firstLine="0" w:firstLineChars="0"/>
                    <w:jc w:val="both"/>
                    <w:rPr>
                      <w:rFonts w:hint="default" w:ascii="Times New Roman" w:hAnsi="Times New Roman" w:cs="Times New Roman"/>
                      <w:color w:val="auto"/>
                      <w:szCs w:val="21"/>
                      <w:highlight w:val="none"/>
                    </w:rPr>
                  </w:pPr>
                  <w:r>
                    <w:rPr>
                      <w:rFonts w:hint="default" w:ascii="Times New Roman" w:hAnsi="Times New Roman" w:cs="Times New Roman"/>
                      <w:b/>
                      <w:bCs/>
                      <w:color w:val="auto"/>
                      <w:highlight w:val="none"/>
                      <w:lang w:val="en-US" w:eastAsia="zh-CN"/>
                    </w:rPr>
                    <w:t>施工期对河流保护措施：</w:t>
                  </w:r>
                  <w:r>
                    <w:rPr>
                      <w:rFonts w:hint="default" w:ascii="Times New Roman" w:hAnsi="Times New Roman" w:cs="Times New Roman"/>
                      <w:color w:val="auto"/>
                      <w:highlight w:val="none"/>
                      <w:lang w:val="en-US" w:eastAsia="zh-CN"/>
                    </w:rPr>
                    <w:t>基础开挖、施工导流、河道疏浚产生的废水，排入沉淀池</w:t>
                  </w:r>
                  <w:r>
                    <w:rPr>
                      <w:rFonts w:hint="default" w:ascii="Times New Roman" w:hAnsi="Times New Roman" w:cs="Times New Roman"/>
                      <w:color w:val="auto"/>
                      <w:highlight w:val="none"/>
                      <w:lang w:val="fr-FR" w:eastAsia="zh-CN"/>
                    </w:rPr>
                    <w:t>沉淀后</w:t>
                  </w:r>
                  <w:r>
                    <w:rPr>
                      <w:rFonts w:hint="default" w:ascii="Times New Roman" w:hAnsi="Times New Roman" w:cs="Times New Roman"/>
                      <w:color w:val="auto"/>
                      <w:highlight w:val="none"/>
                      <w:lang w:val="en-US" w:eastAsia="zh-CN"/>
                    </w:rPr>
                    <w:t>排入河道。合理安排施工时段，禁止在河道中冲洗施工设备，严禁渣土入河，加强施工人员管理，做到文明施工</w:t>
                  </w:r>
                  <w:r>
                    <w:rPr>
                      <w:rFonts w:hint="default" w:ascii="Times New Roman" w:hAnsi="Times New Roman" w:cs="Times New Roman"/>
                      <w:color w:val="auto"/>
                      <w:szCs w:val="21"/>
                      <w:highlight w:val="none"/>
                    </w:rPr>
                    <w:t>。</w:t>
                  </w:r>
                </w:p>
              </w:tc>
              <w:tc>
                <w:tcPr>
                  <w:tcW w:w="750" w:type="dxa"/>
                  <w:vMerge w:val="restart"/>
                  <w:shd w:val="clear" w:color="auto" w:fill="auto"/>
                  <w:noWrap w:val="0"/>
                  <w:vAlign w:val="center"/>
                </w:tcPr>
                <w:p w14:paraId="2CF95CF0">
                  <w:pPr>
                    <w:pStyle w:val="23"/>
                    <w:spacing w:line="240" w:lineRule="auto"/>
                    <w:ind w:left="0" w:leftChars="0" w:firstLine="0" w:firstLineChars="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施工噪声、施工固废、施工扬尘、施工废水</w:t>
                  </w:r>
                  <w:r>
                    <w:rPr>
                      <w:rFonts w:hint="eastAsia" w:cs="Times New Roman"/>
                      <w:color w:val="auto"/>
                      <w:szCs w:val="21"/>
                      <w:highlight w:val="none"/>
                      <w:lang w:eastAsia="zh-CN"/>
                    </w:rPr>
                    <w:t>、</w:t>
                  </w:r>
                  <w:r>
                    <w:rPr>
                      <w:rFonts w:hint="eastAsia" w:cs="Times New Roman"/>
                      <w:color w:val="auto"/>
                      <w:szCs w:val="21"/>
                      <w:highlight w:val="none"/>
                      <w:lang w:val="en-US" w:eastAsia="zh-CN"/>
                    </w:rPr>
                    <w:t>生态</w:t>
                  </w:r>
                </w:p>
              </w:tc>
              <w:tc>
                <w:tcPr>
                  <w:tcW w:w="663" w:type="dxa"/>
                  <w:vMerge w:val="continue"/>
                  <w:noWrap w:val="0"/>
                  <w:vAlign w:val="center"/>
                </w:tcPr>
                <w:p w14:paraId="52991E3F">
                  <w:pPr>
                    <w:pStyle w:val="26"/>
                    <w:spacing w:before="0" w:after="0"/>
                    <w:ind w:firstLine="0" w:firstLineChars="0"/>
                    <w:rPr>
                      <w:rFonts w:hint="default" w:ascii="Times New Roman" w:hAnsi="Times New Roman" w:cs="Times New Roman"/>
                      <w:color w:val="auto"/>
                      <w:szCs w:val="21"/>
                      <w:highlight w:val="none"/>
                    </w:rPr>
                  </w:pPr>
                </w:p>
              </w:tc>
            </w:tr>
            <w:tr w14:paraId="3BFE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745EB713">
                  <w:pPr>
                    <w:pStyle w:val="23"/>
                    <w:spacing w:line="240" w:lineRule="auto"/>
                    <w:rPr>
                      <w:rFonts w:hint="default" w:ascii="Times New Roman" w:hAnsi="Times New Roman" w:cs="Times New Roman"/>
                      <w:color w:val="auto"/>
                      <w:szCs w:val="21"/>
                      <w:highlight w:val="none"/>
                    </w:rPr>
                  </w:pPr>
                </w:p>
              </w:tc>
              <w:tc>
                <w:tcPr>
                  <w:tcW w:w="845" w:type="dxa"/>
                  <w:noWrap w:val="0"/>
                  <w:vAlign w:val="center"/>
                </w:tcPr>
                <w:p w14:paraId="292C787B">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w:t>
                  </w:r>
                </w:p>
              </w:tc>
              <w:tc>
                <w:tcPr>
                  <w:tcW w:w="6006" w:type="dxa"/>
                  <w:gridSpan w:val="3"/>
                  <w:noWrap w:val="0"/>
                  <w:vAlign w:val="center"/>
                </w:tcPr>
                <w:p w14:paraId="047D134E">
                  <w:pPr>
                    <w:widowControl/>
                    <w:spacing w:line="240" w:lineRule="auto"/>
                    <w:ind w:firstLine="0" w:firstLineChars="0"/>
                    <w:jc w:val="left"/>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施工场地扬尘：场地洒水降尘；水泥、砂石等容易产生扬尘的材料堆放时采取篷布遮盖措施；</w:t>
                  </w:r>
                </w:p>
                <w:p w14:paraId="2B07DF96">
                  <w:pPr>
                    <w:widowControl/>
                    <w:spacing w:line="240" w:lineRule="auto"/>
                    <w:ind w:firstLine="0" w:firstLineChars="0"/>
                    <w:jc w:val="left"/>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车辆运输扬尘：车辆采取密闭运输，进出车辆轮胎清理；</w:t>
                  </w:r>
                </w:p>
                <w:p w14:paraId="77E12B8F">
                  <w:pPr>
                    <w:widowControl/>
                    <w:spacing w:line="240" w:lineRule="auto"/>
                    <w:ind w:firstLine="0" w:firstLineChars="0"/>
                    <w:jc w:val="left"/>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拌和粉尘：</w:t>
                  </w:r>
                  <w:r>
                    <w:rPr>
                      <w:rFonts w:hint="default" w:ascii="Times New Roman" w:hAnsi="Times New Roman" w:cs="Times New Roman"/>
                      <w:b w:val="0"/>
                      <w:bCs w:val="0"/>
                      <w:color w:val="auto"/>
                      <w:sz w:val="21"/>
                      <w:szCs w:val="21"/>
                      <w:highlight w:val="none"/>
                      <w:lang w:eastAsia="zh-CN"/>
                    </w:rPr>
                    <w:t>拌和站</w:t>
                  </w:r>
                  <w:r>
                    <w:rPr>
                      <w:rFonts w:hint="default" w:ascii="Times New Roman" w:hAnsi="Times New Roman" w:cs="Times New Roman"/>
                      <w:b w:val="0"/>
                      <w:bCs w:val="0"/>
                      <w:color w:val="auto"/>
                      <w:sz w:val="21"/>
                      <w:szCs w:val="21"/>
                      <w:highlight w:val="none"/>
                    </w:rPr>
                    <w:t>布置在专用工棚内，投料口设置喷雾降尘装置；</w:t>
                  </w:r>
                </w:p>
                <w:p w14:paraId="624CBF27">
                  <w:pPr>
                    <w:widowControl/>
                    <w:spacing w:line="240" w:lineRule="auto"/>
                    <w:ind w:firstLine="0" w:firstLineChars="0"/>
                    <w:jc w:val="left"/>
                    <w:rPr>
                      <w:rFonts w:hint="eastAsia"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rPr>
                    <w:t>燃油施工机具和车辆尾气：加强施工设备维护、保养，各类施工设备保持良好的运行状态</w:t>
                  </w:r>
                  <w:r>
                    <w:rPr>
                      <w:rFonts w:hint="eastAsia" w:cs="Times New Roman"/>
                      <w:b w:val="0"/>
                      <w:bCs w:val="0"/>
                      <w:color w:val="auto"/>
                      <w:sz w:val="21"/>
                      <w:szCs w:val="21"/>
                      <w:highlight w:val="none"/>
                      <w:lang w:eastAsia="zh-CN"/>
                    </w:rPr>
                    <w:t>；</w:t>
                  </w:r>
                </w:p>
                <w:p w14:paraId="5057A96A">
                  <w:pPr>
                    <w:widowControl/>
                    <w:spacing w:line="240" w:lineRule="auto"/>
                    <w:ind w:firstLine="0" w:firstLineChars="0"/>
                    <w:jc w:val="left"/>
                    <w:rPr>
                      <w:rFonts w:hint="default" w:ascii="Times New Roman" w:hAnsi="Times New Roman" w:cs="Times New Roman"/>
                      <w:b w:val="0"/>
                      <w:bCs w:val="0"/>
                      <w:color w:val="auto"/>
                      <w:sz w:val="21"/>
                      <w:szCs w:val="21"/>
                      <w:highlight w:val="none"/>
                    </w:rPr>
                  </w:pPr>
                  <w:r>
                    <w:rPr>
                      <w:rFonts w:hint="eastAsia" w:cs="Times New Roman"/>
                      <w:b w:val="0"/>
                      <w:bCs w:val="0"/>
                      <w:color w:val="auto"/>
                      <w:sz w:val="21"/>
                      <w:szCs w:val="21"/>
                      <w:highlight w:val="none"/>
                      <w:lang w:val="en-US" w:eastAsia="zh-CN"/>
                    </w:rPr>
                    <w:t>焊接烟尘：</w:t>
                  </w:r>
                  <w:r>
                    <w:rPr>
                      <w:rFonts w:hint="eastAsia" w:ascii="Times New Roman" w:hAnsi="Times New Roman" w:eastAsia="宋体" w:cs="Times New Roman"/>
                      <w:bCs/>
                      <w:color w:val="auto"/>
                      <w:sz w:val="21"/>
                      <w:szCs w:val="21"/>
                      <w:highlight w:val="none"/>
                    </w:rPr>
                    <w:t>配备净化设备</w:t>
                  </w:r>
                  <w:r>
                    <w:rPr>
                      <w:rFonts w:hint="eastAsia" w:ascii="Times New Roman" w:hAnsi="Times New Roman" w:eastAsia="宋体" w:cs="Times New Roman"/>
                      <w:bCs/>
                      <w:color w:val="auto"/>
                      <w:sz w:val="21"/>
                      <w:szCs w:val="21"/>
                      <w:highlight w:val="none"/>
                      <w:lang w:eastAsia="zh-CN"/>
                    </w:rPr>
                    <w:t>；</w:t>
                  </w:r>
                </w:p>
                <w:p w14:paraId="69ECEB68">
                  <w:pPr>
                    <w:widowControl/>
                    <w:spacing w:line="240" w:lineRule="auto"/>
                    <w:ind w:firstLine="0" w:firstLineChars="0"/>
                    <w:jc w:val="left"/>
                    <w:rPr>
                      <w:rFonts w:hint="default" w:ascii="Times New Roman" w:hAnsi="Times New Roman" w:cs="Times New Roman"/>
                      <w:b w:val="0"/>
                      <w:bCs w:val="0"/>
                      <w:color w:val="auto"/>
                      <w:sz w:val="21"/>
                      <w:szCs w:val="21"/>
                      <w:highlight w:val="none"/>
                    </w:rPr>
                  </w:pPr>
                  <w:r>
                    <w:rPr>
                      <w:rFonts w:hint="eastAsia" w:ascii="宋体" w:hAnsi="宋体" w:eastAsia="宋体" w:cs="宋体"/>
                      <w:b w:val="0"/>
                      <w:bCs w:val="0"/>
                      <w:snapToGrid w:val="0"/>
                      <w:color w:val="auto"/>
                      <w:kern w:val="0"/>
                      <w:sz w:val="21"/>
                      <w:szCs w:val="21"/>
                      <w:highlight w:val="none"/>
                      <w:lang w:val="en-US" w:eastAsia="zh-CN" w:bidi="ar"/>
                    </w:rPr>
                    <w:t>底泥干化、堆存恶臭：</w:t>
                  </w:r>
                  <w:r>
                    <w:rPr>
                      <w:rFonts w:hint="eastAsia" w:ascii="宋体" w:hAnsi="宋体" w:eastAsia="宋体" w:cs="宋体"/>
                      <w:snapToGrid w:val="0"/>
                      <w:color w:val="auto"/>
                      <w:kern w:val="0"/>
                      <w:sz w:val="21"/>
                      <w:szCs w:val="21"/>
                      <w:highlight w:val="none"/>
                      <w:lang w:val="en-US" w:eastAsia="zh-CN" w:bidi="ar"/>
                    </w:rPr>
                    <w:t>污泥干化场产生的恶臭通过喷洒除臭剂、大气扩散后，无组织排放。河道清淤疏浚避开高温、大风天气。</w:t>
                  </w:r>
                </w:p>
              </w:tc>
              <w:tc>
                <w:tcPr>
                  <w:tcW w:w="750" w:type="dxa"/>
                  <w:vMerge w:val="continue"/>
                  <w:noWrap w:val="0"/>
                  <w:vAlign w:val="center"/>
                </w:tcPr>
                <w:p w14:paraId="1C9FA9EF">
                  <w:pPr>
                    <w:pStyle w:val="23"/>
                    <w:spacing w:line="240" w:lineRule="auto"/>
                    <w:rPr>
                      <w:rFonts w:hint="default" w:ascii="Times New Roman" w:hAnsi="Times New Roman" w:cs="Times New Roman"/>
                      <w:color w:val="auto"/>
                      <w:szCs w:val="21"/>
                      <w:highlight w:val="none"/>
                    </w:rPr>
                  </w:pPr>
                </w:p>
              </w:tc>
              <w:tc>
                <w:tcPr>
                  <w:tcW w:w="663" w:type="dxa"/>
                  <w:vMerge w:val="continue"/>
                  <w:noWrap w:val="0"/>
                  <w:vAlign w:val="center"/>
                </w:tcPr>
                <w:p w14:paraId="071F85FB">
                  <w:pPr>
                    <w:pStyle w:val="23"/>
                    <w:spacing w:line="240" w:lineRule="auto"/>
                    <w:rPr>
                      <w:rFonts w:hint="default" w:ascii="Times New Roman" w:hAnsi="Times New Roman" w:cs="Times New Roman"/>
                      <w:color w:val="auto"/>
                      <w:szCs w:val="21"/>
                      <w:highlight w:val="none"/>
                    </w:rPr>
                  </w:pPr>
                </w:p>
              </w:tc>
            </w:tr>
            <w:tr w14:paraId="3A9C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2B4649B4">
                  <w:pPr>
                    <w:pStyle w:val="23"/>
                    <w:spacing w:line="240" w:lineRule="auto"/>
                    <w:rPr>
                      <w:rFonts w:hint="default" w:ascii="Times New Roman" w:hAnsi="Times New Roman" w:cs="Times New Roman"/>
                      <w:color w:val="auto"/>
                      <w:szCs w:val="21"/>
                      <w:highlight w:val="none"/>
                    </w:rPr>
                  </w:pPr>
                </w:p>
              </w:tc>
              <w:tc>
                <w:tcPr>
                  <w:tcW w:w="845" w:type="dxa"/>
                  <w:noWrap w:val="0"/>
                  <w:vAlign w:val="center"/>
                </w:tcPr>
                <w:p w14:paraId="51C6E833">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6006" w:type="dxa"/>
                  <w:gridSpan w:val="3"/>
                  <w:noWrap w:val="0"/>
                  <w:vAlign w:val="center"/>
                </w:tcPr>
                <w:p w14:paraId="39201AA0">
                  <w:pPr>
                    <w:pStyle w:val="23"/>
                    <w:spacing w:line="240" w:lineRule="auto"/>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施工噪声采取合理安排工期，选购低噪声设备，加强设备维护和保养等措施，限定运输车辆时速，施工车辆安装消声器。</w:t>
                  </w:r>
                </w:p>
              </w:tc>
              <w:tc>
                <w:tcPr>
                  <w:tcW w:w="750" w:type="dxa"/>
                  <w:vMerge w:val="continue"/>
                  <w:noWrap w:val="0"/>
                  <w:vAlign w:val="center"/>
                </w:tcPr>
                <w:p w14:paraId="254CA973">
                  <w:pPr>
                    <w:pStyle w:val="23"/>
                    <w:spacing w:line="240" w:lineRule="auto"/>
                    <w:rPr>
                      <w:rFonts w:hint="default" w:ascii="Times New Roman" w:hAnsi="Times New Roman" w:cs="Times New Roman"/>
                      <w:color w:val="auto"/>
                      <w:szCs w:val="21"/>
                      <w:highlight w:val="none"/>
                    </w:rPr>
                  </w:pPr>
                </w:p>
              </w:tc>
              <w:tc>
                <w:tcPr>
                  <w:tcW w:w="663" w:type="dxa"/>
                  <w:vMerge w:val="continue"/>
                  <w:noWrap w:val="0"/>
                  <w:vAlign w:val="center"/>
                </w:tcPr>
                <w:p w14:paraId="3333264C">
                  <w:pPr>
                    <w:pStyle w:val="23"/>
                    <w:spacing w:line="240" w:lineRule="auto"/>
                    <w:rPr>
                      <w:rFonts w:hint="default" w:ascii="Times New Roman" w:hAnsi="Times New Roman" w:cs="Times New Roman"/>
                      <w:color w:val="auto"/>
                      <w:szCs w:val="21"/>
                      <w:highlight w:val="none"/>
                    </w:rPr>
                  </w:pPr>
                </w:p>
              </w:tc>
            </w:tr>
            <w:tr w14:paraId="2B99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4472DBB0">
                  <w:pPr>
                    <w:pStyle w:val="23"/>
                    <w:spacing w:line="240" w:lineRule="auto"/>
                    <w:rPr>
                      <w:rFonts w:hint="default" w:ascii="Times New Roman" w:hAnsi="Times New Roman" w:cs="Times New Roman"/>
                      <w:color w:val="auto"/>
                      <w:szCs w:val="21"/>
                      <w:highlight w:val="none"/>
                    </w:rPr>
                  </w:pPr>
                </w:p>
              </w:tc>
              <w:tc>
                <w:tcPr>
                  <w:tcW w:w="845" w:type="dxa"/>
                  <w:vMerge w:val="restart"/>
                  <w:noWrap w:val="0"/>
                  <w:vAlign w:val="center"/>
                </w:tcPr>
                <w:p w14:paraId="5B352461">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固废</w:t>
                  </w:r>
                </w:p>
              </w:tc>
              <w:tc>
                <w:tcPr>
                  <w:tcW w:w="813" w:type="dxa"/>
                  <w:shd w:val="clear" w:color="auto" w:fill="auto"/>
                  <w:noWrap w:val="0"/>
                  <w:vAlign w:val="center"/>
                </w:tcPr>
                <w:p w14:paraId="26602860">
                  <w:pPr>
                    <w:pStyle w:val="23"/>
                    <w:spacing w:line="240" w:lineRule="auto"/>
                    <w:ind w:left="0" w:leftChars="0" w:firstLine="0" w:firstLineChars="0"/>
                    <w:jc w:val="both"/>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石河镇段</w:t>
                  </w:r>
                </w:p>
              </w:tc>
              <w:tc>
                <w:tcPr>
                  <w:tcW w:w="5193" w:type="dxa"/>
                  <w:gridSpan w:val="2"/>
                  <w:shd w:val="clear" w:color="auto" w:fill="auto"/>
                  <w:noWrap w:val="0"/>
                  <w:vAlign w:val="center"/>
                </w:tcPr>
                <w:p w14:paraId="359C5259">
                  <w:pPr>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开挖石方部分用于堤后回填，</w:t>
                  </w:r>
                  <w:r>
                    <w:rPr>
                      <w:rFonts w:hint="eastAsia" w:cs="Times New Roman"/>
                      <w:color w:val="auto"/>
                      <w:sz w:val="21"/>
                      <w:szCs w:val="21"/>
                      <w:highlight w:val="none"/>
                      <w:lang w:eastAsia="zh-CN"/>
                    </w:rPr>
                    <w:t>经土石方平衡后产生的弃渣，</w:t>
                  </w:r>
                  <w:r>
                    <w:rPr>
                      <w:rFonts w:hint="eastAsia" w:cs="Times New Roman"/>
                      <w:color w:val="auto"/>
                      <w:sz w:val="21"/>
                      <w:szCs w:val="21"/>
                      <w:highlight w:val="none"/>
                      <w:lang w:val="en-US" w:eastAsia="zh-CN"/>
                    </w:rPr>
                    <w:t>可直接利用的部分由周边居民用于农田做肥料，沉淀泥渣和</w:t>
                  </w:r>
                  <w:r>
                    <w:rPr>
                      <w:rFonts w:hint="eastAsia"/>
                      <w:color w:val="auto"/>
                      <w:sz w:val="21"/>
                      <w:szCs w:val="21"/>
                      <w:highlight w:val="none"/>
                      <w:lang w:val="en-US" w:eastAsia="zh-CN"/>
                    </w:rPr>
                    <w:t>含砂石量多的疏浚砂石用于沿线低洼地区回填</w:t>
                  </w:r>
                  <w:r>
                    <w:rPr>
                      <w:rFonts w:hint="eastAsia" w:cs="Times New Roman"/>
                      <w:color w:val="auto"/>
                      <w:sz w:val="21"/>
                      <w:szCs w:val="21"/>
                      <w:highlight w:val="none"/>
                      <w:lang w:val="en-US" w:eastAsia="zh-CN"/>
                    </w:rPr>
                    <w:t>；经晾干后的不可直接利用清淤淤泥运往市政规划的弃渣场</w:t>
                  </w:r>
                  <w:r>
                    <w:rPr>
                      <w:rFonts w:hint="default" w:ascii="Times New Roman" w:hAnsi="Times New Roman" w:cs="Times New Roman"/>
                      <w:color w:val="auto"/>
                      <w:sz w:val="21"/>
                      <w:szCs w:val="21"/>
                      <w:highlight w:val="none"/>
                    </w:rPr>
                    <w:t>；</w:t>
                  </w:r>
                </w:p>
                <w:p w14:paraId="5A80B587">
                  <w:pPr>
                    <w:pStyle w:val="23"/>
                    <w:spacing w:line="240" w:lineRule="auto"/>
                    <w:jc w:val="both"/>
                    <w:rPr>
                      <w:rFonts w:hint="eastAsia"/>
                      <w:color w:val="auto"/>
                      <w:szCs w:val="21"/>
                      <w:highlight w:val="none"/>
                      <w:lang w:eastAsia="zh-CN"/>
                    </w:rPr>
                  </w:pPr>
                  <w:r>
                    <w:rPr>
                      <w:rFonts w:hint="eastAsia" w:cs="Times New Roman"/>
                      <w:color w:val="auto"/>
                      <w:szCs w:val="21"/>
                      <w:highlight w:val="none"/>
                      <w:lang w:val="en-US" w:eastAsia="zh-CN"/>
                    </w:rPr>
                    <w:t>白蚁防治废包装收集后交由农药经营店进行回收</w:t>
                  </w:r>
                  <w:r>
                    <w:rPr>
                      <w:rFonts w:hint="eastAsia"/>
                      <w:color w:val="auto"/>
                      <w:szCs w:val="21"/>
                      <w:highlight w:val="none"/>
                      <w:lang w:eastAsia="zh-CN"/>
                    </w:rPr>
                    <w:t>；</w:t>
                  </w:r>
                </w:p>
                <w:p w14:paraId="55A3D4BD">
                  <w:pPr>
                    <w:pStyle w:val="23"/>
                    <w:spacing w:line="240" w:lineRule="auto"/>
                    <w:jc w:val="both"/>
                    <w:rPr>
                      <w:rFonts w:hint="default" w:eastAsia="宋体"/>
                      <w:color w:val="auto"/>
                      <w:szCs w:val="21"/>
                      <w:highlight w:val="none"/>
                      <w:lang w:val="en-US" w:eastAsia="zh-CN"/>
                    </w:rPr>
                  </w:pPr>
                  <w:r>
                    <w:rPr>
                      <w:rFonts w:hint="eastAsia"/>
                      <w:color w:val="auto"/>
                      <w:szCs w:val="21"/>
                      <w:highlight w:val="none"/>
                      <w:lang w:val="en-US" w:eastAsia="zh-CN"/>
                    </w:rPr>
                    <w:t>岸坡清理废物中的生活垃圾交</w:t>
                  </w:r>
                  <w:r>
                    <w:rPr>
                      <w:rFonts w:hint="default" w:ascii="Times New Roman" w:hAnsi="Times New Roman" w:cs="Times New Roman"/>
                      <w:color w:val="auto"/>
                      <w:szCs w:val="21"/>
                      <w:highlight w:val="none"/>
                    </w:rPr>
                    <w:t>由环卫部门清运</w:t>
                  </w:r>
                  <w:r>
                    <w:rPr>
                      <w:rFonts w:hint="eastAsia" w:cs="Times New Roman"/>
                      <w:color w:val="auto"/>
                      <w:szCs w:val="21"/>
                      <w:highlight w:val="none"/>
                      <w:lang w:eastAsia="zh-CN"/>
                    </w:rPr>
                    <w:t>，</w:t>
                  </w:r>
                  <w:r>
                    <w:rPr>
                      <w:rFonts w:hint="eastAsia" w:cs="Times New Roman"/>
                      <w:color w:val="auto"/>
                      <w:szCs w:val="21"/>
                      <w:highlight w:val="none"/>
                      <w:lang w:val="en-US" w:eastAsia="zh-CN"/>
                    </w:rPr>
                    <w:t>建筑废渣</w:t>
                  </w:r>
                  <w:r>
                    <w:rPr>
                      <w:rFonts w:hint="default" w:ascii="Times New Roman" w:hAnsi="Times New Roman" w:cs="Times New Roman"/>
                      <w:color w:val="auto"/>
                      <w:sz w:val="21"/>
                      <w:szCs w:val="21"/>
                      <w:highlight w:val="none"/>
                    </w:rPr>
                    <w:t>作为弃渣</w:t>
                  </w:r>
                  <w:r>
                    <w:rPr>
                      <w:rFonts w:hint="default" w:ascii="Times New Roman" w:hAnsi="Times New Roman" w:cs="Times New Roman"/>
                      <w:color w:val="auto"/>
                      <w:sz w:val="21"/>
                      <w:szCs w:val="21"/>
                      <w:highlight w:val="none"/>
                      <w:lang w:eastAsia="zh-CN"/>
                    </w:rPr>
                    <w:t>运往市政规划的弃渣场</w:t>
                  </w:r>
                  <w:r>
                    <w:rPr>
                      <w:rFonts w:hint="eastAsia" w:cs="Times New Roman"/>
                      <w:color w:val="auto"/>
                      <w:sz w:val="21"/>
                      <w:szCs w:val="21"/>
                      <w:highlight w:val="none"/>
                      <w:lang w:eastAsia="zh-CN"/>
                    </w:rPr>
                    <w:t>；</w:t>
                  </w:r>
                </w:p>
                <w:p w14:paraId="5179641E">
                  <w:pPr>
                    <w:pStyle w:val="23"/>
                    <w:spacing w:line="240" w:lineRule="auto"/>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可回收的</w:t>
                  </w:r>
                  <w:r>
                    <w:rPr>
                      <w:rFonts w:hint="eastAsia" w:cs="Times New Roman"/>
                      <w:color w:val="auto"/>
                      <w:szCs w:val="21"/>
                      <w:highlight w:val="none"/>
                      <w:lang w:val="en-US" w:eastAsia="zh-CN"/>
                    </w:rPr>
                    <w:t>建材废包装、</w:t>
                  </w:r>
                  <w:r>
                    <w:rPr>
                      <w:rFonts w:hint="default" w:ascii="Times New Roman" w:hAnsi="Times New Roman" w:cs="Times New Roman"/>
                      <w:color w:val="auto"/>
                      <w:szCs w:val="21"/>
                      <w:highlight w:val="none"/>
                    </w:rPr>
                    <w:t>建筑垃圾交废物回收站处理，不能回收的建筑垃圾定时清运到</w:t>
                  </w:r>
                  <w:r>
                    <w:rPr>
                      <w:rFonts w:hint="default" w:ascii="Times New Roman" w:hAnsi="Times New Roman" w:cs="Times New Roman"/>
                      <w:color w:val="auto"/>
                      <w:szCs w:val="21"/>
                      <w:highlight w:val="none"/>
                      <w:lang w:eastAsia="zh-CN"/>
                    </w:rPr>
                    <w:t>大竹县</w:t>
                  </w:r>
                  <w:r>
                    <w:rPr>
                      <w:rFonts w:hint="default" w:ascii="Times New Roman" w:hAnsi="Times New Roman" w:cs="Times New Roman"/>
                      <w:color w:val="auto"/>
                      <w:szCs w:val="21"/>
                      <w:highlight w:val="none"/>
                    </w:rPr>
                    <w:t>指定的建筑垃圾处置场；</w:t>
                  </w:r>
                </w:p>
                <w:p w14:paraId="354E6C41">
                  <w:pPr>
                    <w:pStyle w:val="23"/>
                    <w:spacing w:line="240" w:lineRule="auto"/>
                    <w:ind w:left="0" w:leftChars="0" w:firstLine="0" w:firstLineChars="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生活垃圾由环卫部门清运。</w:t>
                  </w:r>
                </w:p>
              </w:tc>
              <w:tc>
                <w:tcPr>
                  <w:tcW w:w="750" w:type="dxa"/>
                  <w:vMerge w:val="continue"/>
                  <w:noWrap w:val="0"/>
                  <w:vAlign w:val="center"/>
                </w:tcPr>
                <w:p w14:paraId="580C0149">
                  <w:pPr>
                    <w:pStyle w:val="23"/>
                    <w:spacing w:line="240" w:lineRule="auto"/>
                    <w:rPr>
                      <w:rFonts w:hint="default" w:ascii="Times New Roman" w:hAnsi="Times New Roman" w:cs="Times New Roman"/>
                      <w:color w:val="auto"/>
                      <w:szCs w:val="21"/>
                      <w:highlight w:val="none"/>
                    </w:rPr>
                  </w:pPr>
                </w:p>
              </w:tc>
              <w:tc>
                <w:tcPr>
                  <w:tcW w:w="663" w:type="dxa"/>
                  <w:vMerge w:val="continue"/>
                  <w:noWrap w:val="0"/>
                  <w:vAlign w:val="center"/>
                </w:tcPr>
                <w:p w14:paraId="575E1683">
                  <w:pPr>
                    <w:pStyle w:val="23"/>
                    <w:spacing w:line="240" w:lineRule="auto"/>
                    <w:rPr>
                      <w:rFonts w:hint="default" w:ascii="Times New Roman" w:hAnsi="Times New Roman" w:cs="Times New Roman"/>
                      <w:color w:val="auto"/>
                      <w:szCs w:val="21"/>
                      <w:highlight w:val="none"/>
                    </w:rPr>
                  </w:pPr>
                </w:p>
              </w:tc>
            </w:tr>
            <w:tr w14:paraId="190E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603E87DF">
                  <w:pPr>
                    <w:pStyle w:val="23"/>
                    <w:spacing w:line="240" w:lineRule="auto"/>
                    <w:rPr>
                      <w:rFonts w:hint="default" w:ascii="Times New Roman" w:hAnsi="Times New Roman" w:cs="Times New Roman"/>
                      <w:color w:val="auto"/>
                      <w:szCs w:val="21"/>
                      <w:highlight w:val="none"/>
                    </w:rPr>
                  </w:pPr>
                </w:p>
              </w:tc>
              <w:tc>
                <w:tcPr>
                  <w:tcW w:w="845" w:type="dxa"/>
                  <w:vMerge w:val="continue"/>
                  <w:noWrap w:val="0"/>
                  <w:vAlign w:val="center"/>
                </w:tcPr>
                <w:p w14:paraId="6F8AABCF">
                  <w:pPr>
                    <w:pStyle w:val="23"/>
                    <w:spacing w:line="240" w:lineRule="auto"/>
                    <w:rPr>
                      <w:rFonts w:hint="default" w:ascii="Times New Roman" w:hAnsi="Times New Roman" w:cs="Times New Roman"/>
                      <w:color w:val="auto"/>
                      <w:szCs w:val="21"/>
                      <w:highlight w:val="none"/>
                    </w:rPr>
                  </w:pPr>
                </w:p>
              </w:tc>
              <w:tc>
                <w:tcPr>
                  <w:tcW w:w="813" w:type="dxa"/>
                  <w:shd w:val="clear" w:color="auto" w:fill="auto"/>
                  <w:noWrap w:val="0"/>
                  <w:vAlign w:val="center"/>
                </w:tcPr>
                <w:p w14:paraId="5420E217">
                  <w:pPr>
                    <w:pStyle w:val="23"/>
                    <w:spacing w:line="240" w:lineRule="auto"/>
                    <w:ind w:left="0" w:leftChars="0" w:firstLine="0" w:firstLineChars="0"/>
                    <w:jc w:val="both"/>
                    <w:rPr>
                      <w:rFonts w:hint="default"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清河镇及杨家镇段</w:t>
                  </w:r>
                </w:p>
              </w:tc>
              <w:tc>
                <w:tcPr>
                  <w:tcW w:w="5193" w:type="dxa"/>
                  <w:gridSpan w:val="2"/>
                  <w:shd w:val="clear" w:color="auto" w:fill="auto"/>
                  <w:noWrap w:val="0"/>
                  <w:vAlign w:val="center"/>
                </w:tcPr>
                <w:p w14:paraId="79E49B58">
                  <w:pPr>
                    <w:pStyle w:val="23"/>
                    <w:spacing w:line="240" w:lineRule="auto"/>
                    <w:ind w:left="0" w:leftChars="0" w:firstLine="0" w:firstLineChars="0"/>
                    <w:jc w:val="both"/>
                    <w:rPr>
                      <w:rFonts w:hint="eastAsia" w:ascii="Times New Roman" w:hAnsi="Times New Roman" w:eastAsia="宋体"/>
                      <w:color w:val="auto"/>
                      <w:szCs w:val="21"/>
                      <w:highlight w:val="none"/>
                      <w:lang w:val="en-US" w:eastAsia="zh-CN"/>
                    </w:rPr>
                  </w:pPr>
                  <w:r>
                    <w:rPr>
                      <w:rFonts w:hint="eastAsia" w:cs="Times New Roman"/>
                      <w:color w:val="auto"/>
                      <w:sz w:val="21"/>
                      <w:szCs w:val="21"/>
                      <w:highlight w:val="none"/>
                      <w:lang w:val="en-US" w:eastAsia="zh-CN"/>
                    </w:rPr>
                    <w:t>项目施工期未设置临时堆土场及干化场。开挖土方采取“即挖即填”。施工期采用分段施工，开挖表土及土石方临时堆放于施工附近的岸坡，用于回填。疏浚淤泥就近堆放在河道岸坡。其中，砂石含量高的就回填。泥含量高的，回用作为护坡土使用。</w:t>
                  </w:r>
                  <w:r>
                    <w:rPr>
                      <w:rFonts w:ascii="Times New Roman" w:hAnsi="Times New Roman" w:eastAsia="宋体"/>
                      <w:color w:val="auto"/>
                      <w:szCs w:val="21"/>
                      <w:highlight w:val="none"/>
                    </w:rPr>
                    <w:t>建筑垃圾</w:t>
                  </w:r>
                  <w:r>
                    <w:rPr>
                      <w:rFonts w:hint="eastAsia" w:ascii="Times New Roman" w:hAnsi="Times New Roman" w:eastAsia="宋体"/>
                      <w:color w:val="auto"/>
                      <w:szCs w:val="21"/>
                      <w:highlight w:val="none"/>
                    </w:rPr>
                    <w:t>可作为资源回收的材料被回收利用，不能回收的运至政府指定建筑垃圾处置场处理。</w:t>
                  </w:r>
                  <w:r>
                    <w:rPr>
                      <w:rFonts w:hint="eastAsia" w:ascii="Times New Roman" w:hAnsi="Times New Roman" w:eastAsia="宋体"/>
                      <w:color w:val="auto"/>
                      <w:szCs w:val="21"/>
                      <w:highlight w:val="none"/>
                      <w:lang w:val="en-US" w:eastAsia="zh-CN"/>
                    </w:rPr>
                    <w:t>生活垃圾交由当地乡镇环卫处置。</w:t>
                  </w:r>
                </w:p>
                <w:p w14:paraId="1AAC1EB2">
                  <w:pPr>
                    <w:pStyle w:val="23"/>
                    <w:spacing w:line="240" w:lineRule="auto"/>
                    <w:ind w:left="0" w:leftChars="0" w:firstLine="0" w:firstLineChars="0"/>
                    <w:jc w:val="both"/>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现场调查，施工场地内遗留有部分施工设备、施工材料；坡有生活垃圾残留及建筑垃圾。</w:t>
                  </w:r>
                </w:p>
                <w:p w14:paraId="2EE8183A">
                  <w:pPr>
                    <w:pStyle w:val="23"/>
                    <w:spacing w:line="240" w:lineRule="auto"/>
                    <w:ind w:left="0" w:leftChars="0" w:firstLine="0" w:firstLineChars="0"/>
                    <w:jc w:val="both"/>
                    <w:rPr>
                      <w:rFonts w:hint="eastAsia" w:ascii="Times New Roman" w:hAnsi="Times New Roman" w:eastAsia="宋体"/>
                      <w:color w:val="auto"/>
                      <w:szCs w:val="21"/>
                      <w:highlight w:val="none"/>
                      <w:lang w:val="en-US" w:eastAsia="zh-CN"/>
                    </w:rPr>
                  </w:pPr>
                  <w:r>
                    <w:rPr>
                      <w:rFonts w:hint="eastAsia" w:ascii="Times New Roman" w:hAnsi="Times New Roman" w:eastAsia="宋体"/>
                      <w:b/>
                      <w:bCs/>
                      <w:color w:val="auto"/>
                      <w:szCs w:val="21"/>
                      <w:highlight w:val="none"/>
                      <w:lang w:val="en-US" w:eastAsia="zh-CN"/>
                    </w:rPr>
                    <w:t>本次评价提</w:t>
                  </w:r>
                  <w:r>
                    <w:rPr>
                      <w:rFonts w:hint="eastAsia" w:ascii="Times New Roman" w:hAnsi="Times New Roman" w:eastAsia="宋体"/>
                      <w:b/>
                      <w:bCs/>
                      <w:color w:val="auto"/>
                      <w:sz w:val="21"/>
                      <w:szCs w:val="21"/>
                      <w:highlight w:val="none"/>
                      <w:lang w:val="en-US" w:eastAsia="zh-CN"/>
                    </w:rPr>
                    <w:t>出整个措施：清除施工场地内遗留施工设备、砂石、施工材料，以及沿线残留的生活垃圾及建筑垃圾。</w:t>
                  </w:r>
                  <w:r>
                    <w:rPr>
                      <w:rFonts w:hint="default" w:ascii="Times New Roman" w:hAnsi="Times New Roman" w:cs="Times New Roman"/>
                      <w:color w:val="auto"/>
                      <w:szCs w:val="21"/>
                      <w:highlight w:val="none"/>
                    </w:rPr>
                    <w:t>可回收的</w:t>
                  </w:r>
                  <w:r>
                    <w:rPr>
                      <w:rFonts w:hint="eastAsia" w:cs="Times New Roman"/>
                      <w:color w:val="auto"/>
                      <w:szCs w:val="21"/>
                      <w:highlight w:val="none"/>
                      <w:lang w:val="en-US" w:eastAsia="zh-CN"/>
                    </w:rPr>
                    <w:t>建材废包装、</w:t>
                  </w:r>
                  <w:r>
                    <w:rPr>
                      <w:rFonts w:hint="default" w:ascii="Times New Roman" w:hAnsi="Times New Roman" w:cs="Times New Roman"/>
                      <w:color w:val="auto"/>
                      <w:szCs w:val="21"/>
                      <w:highlight w:val="none"/>
                    </w:rPr>
                    <w:t>建筑垃圾交废物回收站处理，不能回收的建筑垃圾定时清运到</w:t>
                  </w:r>
                  <w:r>
                    <w:rPr>
                      <w:rFonts w:hint="default" w:ascii="Times New Roman" w:hAnsi="Times New Roman" w:cs="Times New Roman"/>
                      <w:color w:val="auto"/>
                      <w:szCs w:val="21"/>
                      <w:highlight w:val="none"/>
                      <w:lang w:eastAsia="zh-CN"/>
                    </w:rPr>
                    <w:t>大竹县</w:t>
                  </w:r>
                  <w:r>
                    <w:rPr>
                      <w:rFonts w:hint="default" w:ascii="Times New Roman" w:hAnsi="Times New Roman" w:cs="Times New Roman"/>
                      <w:color w:val="auto"/>
                      <w:szCs w:val="21"/>
                      <w:highlight w:val="none"/>
                    </w:rPr>
                    <w:t>指定的建筑垃圾处置场</w:t>
                  </w:r>
                  <w:r>
                    <w:rPr>
                      <w:rFonts w:hint="eastAsia" w:cs="Times New Roman"/>
                      <w:color w:val="auto"/>
                      <w:szCs w:val="21"/>
                      <w:highlight w:val="none"/>
                      <w:lang w:eastAsia="zh-CN"/>
                    </w:rPr>
                    <w:t>。</w:t>
                  </w:r>
                </w:p>
              </w:tc>
              <w:tc>
                <w:tcPr>
                  <w:tcW w:w="750" w:type="dxa"/>
                  <w:vMerge w:val="continue"/>
                  <w:noWrap w:val="0"/>
                  <w:vAlign w:val="center"/>
                </w:tcPr>
                <w:p w14:paraId="60D5F769">
                  <w:pPr>
                    <w:pStyle w:val="23"/>
                    <w:spacing w:line="240" w:lineRule="auto"/>
                    <w:rPr>
                      <w:rFonts w:hint="eastAsia" w:ascii="Times New Roman" w:hAnsi="Times New Roman" w:eastAsia="宋体" w:cs="Times New Roman"/>
                      <w:color w:val="auto"/>
                      <w:szCs w:val="21"/>
                      <w:highlight w:val="none"/>
                      <w:lang w:val="en-US" w:eastAsia="zh-CN"/>
                    </w:rPr>
                  </w:pPr>
                </w:p>
              </w:tc>
              <w:tc>
                <w:tcPr>
                  <w:tcW w:w="663" w:type="dxa"/>
                  <w:vMerge w:val="continue"/>
                  <w:noWrap w:val="0"/>
                  <w:vAlign w:val="center"/>
                </w:tcPr>
                <w:p w14:paraId="30D8C1D7">
                  <w:pPr>
                    <w:pStyle w:val="23"/>
                    <w:spacing w:line="240" w:lineRule="auto"/>
                    <w:rPr>
                      <w:rFonts w:hint="default" w:ascii="Times New Roman" w:hAnsi="Times New Roman" w:cs="Times New Roman"/>
                      <w:color w:val="auto"/>
                      <w:szCs w:val="21"/>
                      <w:highlight w:val="none"/>
                    </w:rPr>
                  </w:pPr>
                </w:p>
              </w:tc>
            </w:tr>
            <w:tr w14:paraId="1ADF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4E2E7681">
                  <w:pPr>
                    <w:pStyle w:val="23"/>
                    <w:spacing w:line="240" w:lineRule="auto"/>
                    <w:rPr>
                      <w:rFonts w:hint="default" w:ascii="Times New Roman" w:hAnsi="Times New Roman" w:cs="Times New Roman"/>
                      <w:color w:val="auto"/>
                      <w:szCs w:val="21"/>
                      <w:highlight w:val="none"/>
                    </w:rPr>
                  </w:pPr>
                </w:p>
              </w:tc>
              <w:tc>
                <w:tcPr>
                  <w:tcW w:w="845" w:type="dxa"/>
                  <w:vMerge w:val="restart"/>
                  <w:noWrap w:val="0"/>
                  <w:vAlign w:val="center"/>
                </w:tcPr>
                <w:p w14:paraId="50BAD95E">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生态环境</w:t>
                  </w:r>
                </w:p>
              </w:tc>
              <w:tc>
                <w:tcPr>
                  <w:tcW w:w="813" w:type="dxa"/>
                  <w:noWrap w:val="0"/>
                  <w:vAlign w:val="center"/>
                </w:tcPr>
                <w:p w14:paraId="0BDEA083">
                  <w:pPr>
                    <w:pStyle w:val="23"/>
                    <w:spacing w:line="240" w:lineRule="auto"/>
                    <w:jc w:val="lef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石河镇段</w:t>
                  </w:r>
                </w:p>
              </w:tc>
              <w:tc>
                <w:tcPr>
                  <w:tcW w:w="5193" w:type="dxa"/>
                  <w:gridSpan w:val="2"/>
                  <w:noWrap w:val="0"/>
                  <w:vAlign w:val="center"/>
                </w:tcPr>
                <w:p w14:paraId="5C889D9A">
                  <w:pPr>
                    <w:pStyle w:val="23"/>
                    <w:spacing w:line="240" w:lineRule="auto"/>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施工严格控制施工作业范围，禁止越界施工，禁止滥砍滥伐，保护野生动物赖以生存的植被环境；</w:t>
                  </w:r>
                </w:p>
                <w:p w14:paraId="1E400A00">
                  <w:pPr>
                    <w:pStyle w:val="23"/>
                    <w:spacing w:line="240" w:lineRule="auto"/>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严格按照施工进度施工，在枯水期施工；</w:t>
                  </w:r>
                </w:p>
                <w:p w14:paraId="0B306DDE">
                  <w:pPr>
                    <w:pStyle w:val="23"/>
                    <w:spacing w:line="240" w:lineRule="auto"/>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严格按照前期设计的施工导流方案做好导流措施；</w:t>
                  </w:r>
                </w:p>
                <w:p w14:paraId="3C88FF0B">
                  <w:pPr>
                    <w:pStyle w:val="23"/>
                    <w:spacing w:line="240" w:lineRule="auto"/>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施工过程严格按照“先挡后堆”原则，对表土堆场临河道一侧坡脚布置编织土袋拦挡；土石方开挖裸露地表及表土堆体进行防雨布临时遮盖；</w:t>
                  </w:r>
                </w:p>
                <w:p w14:paraId="26B30AD2">
                  <w:pPr>
                    <w:pStyle w:val="23"/>
                    <w:spacing w:line="240" w:lineRule="auto"/>
                    <w:jc w:val="lef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施工结束后对</w:t>
                  </w:r>
                  <w:r>
                    <w:rPr>
                      <w:rFonts w:hint="default" w:ascii="Times New Roman" w:hAnsi="Times New Roman" w:cs="Times New Roman"/>
                      <w:color w:val="auto"/>
                      <w:szCs w:val="21"/>
                      <w:highlight w:val="none"/>
                      <w:lang w:val="en-US" w:eastAsia="zh-CN"/>
                    </w:rPr>
                    <w:t>施工场区等</w:t>
                  </w:r>
                  <w:r>
                    <w:rPr>
                      <w:rFonts w:hint="default" w:ascii="Times New Roman" w:hAnsi="Times New Roman" w:cs="Times New Roman"/>
                      <w:color w:val="auto"/>
                      <w:szCs w:val="21"/>
                      <w:highlight w:val="none"/>
                    </w:rPr>
                    <w:t>临时占地进行复耕或恢复绿化处理</w:t>
                  </w:r>
                  <w:r>
                    <w:rPr>
                      <w:rFonts w:hint="eastAsia" w:ascii="Times New Roman" w:hAnsi="Times New Roman" w:cs="Times New Roman"/>
                      <w:color w:val="auto"/>
                      <w:szCs w:val="21"/>
                      <w:highlight w:val="none"/>
                      <w:lang w:eastAsia="zh-CN"/>
                    </w:rPr>
                    <w:t>。</w:t>
                  </w:r>
                </w:p>
              </w:tc>
              <w:tc>
                <w:tcPr>
                  <w:tcW w:w="750" w:type="dxa"/>
                  <w:vMerge w:val="continue"/>
                  <w:noWrap w:val="0"/>
                  <w:vAlign w:val="center"/>
                </w:tcPr>
                <w:p w14:paraId="6574F2B6">
                  <w:pPr>
                    <w:pStyle w:val="23"/>
                    <w:spacing w:line="240" w:lineRule="auto"/>
                    <w:rPr>
                      <w:rFonts w:hint="default" w:ascii="Times New Roman" w:hAnsi="Times New Roman" w:cs="Times New Roman"/>
                      <w:color w:val="auto"/>
                      <w:szCs w:val="21"/>
                      <w:highlight w:val="none"/>
                    </w:rPr>
                  </w:pPr>
                </w:p>
              </w:tc>
              <w:tc>
                <w:tcPr>
                  <w:tcW w:w="663" w:type="dxa"/>
                  <w:vMerge w:val="continue"/>
                  <w:noWrap w:val="0"/>
                  <w:vAlign w:val="center"/>
                </w:tcPr>
                <w:p w14:paraId="4E7F8C42">
                  <w:pPr>
                    <w:pStyle w:val="23"/>
                    <w:spacing w:line="240" w:lineRule="auto"/>
                    <w:rPr>
                      <w:rFonts w:hint="default" w:ascii="Times New Roman" w:hAnsi="Times New Roman" w:cs="Times New Roman"/>
                      <w:color w:val="auto"/>
                      <w:szCs w:val="21"/>
                      <w:highlight w:val="none"/>
                    </w:rPr>
                  </w:pPr>
                </w:p>
              </w:tc>
            </w:tr>
            <w:tr w14:paraId="426B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1" w:type="dxa"/>
                  <w:vMerge w:val="continue"/>
                  <w:noWrap w:val="0"/>
                  <w:vAlign w:val="center"/>
                </w:tcPr>
                <w:p w14:paraId="1E723ABB">
                  <w:pPr>
                    <w:pStyle w:val="23"/>
                    <w:spacing w:line="240" w:lineRule="auto"/>
                    <w:rPr>
                      <w:rFonts w:hint="default" w:ascii="Times New Roman" w:hAnsi="Times New Roman" w:cs="Times New Roman"/>
                      <w:color w:val="auto"/>
                      <w:szCs w:val="21"/>
                      <w:highlight w:val="none"/>
                    </w:rPr>
                  </w:pPr>
                </w:p>
              </w:tc>
              <w:tc>
                <w:tcPr>
                  <w:tcW w:w="845" w:type="dxa"/>
                  <w:vMerge w:val="continue"/>
                  <w:noWrap w:val="0"/>
                  <w:vAlign w:val="center"/>
                </w:tcPr>
                <w:p w14:paraId="5F887EE1">
                  <w:pPr>
                    <w:pStyle w:val="23"/>
                    <w:spacing w:line="240" w:lineRule="auto"/>
                    <w:rPr>
                      <w:rFonts w:hint="default" w:ascii="Times New Roman" w:hAnsi="Times New Roman" w:cs="Times New Roman"/>
                      <w:color w:val="auto"/>
                      <w:szCs w:val="21"/>
                      <w:highlight w:val="none"/>
                    </w:rPr>
                  </w:pPr>
                </w:p>
              </w:tc>
              <w:tc>
                <w:tcPr>
                  <w:tcW w:w="813" w:type="dxa"/>
                  <w:noWrap w:val="0"/>
                  <w:vAlign w:val="center"/>
                </w:tcPr>
                <w:p w14:paraId="63343B44">
                  <w:pPr>
                    <w:pStyle w:val="23"/>
                    <w:spacing w:line="240" w:lineRule="auto"/>
                    <w:jc w:val="left"/>
                    <w:rPr>
                      <w:rFonts w:hint="eastAsia" w:cs="Times New Roman"/>
                      <w:color w:val="auto"/>
                      <w:szCs w:val="21"/>
                      <w:highlight w:val="none"/>
                      <w:lang w:val="en-US" w:eastAsia="zh-CN"/>
                    </w:rPr>
                  </w:pPr>
                  <w:r>
                    <w:rPr>
                      <w:rFonts w:hint="eastAsia" w:cs="Times New Roman"/>
                      <w:snapToGrid w:val="0"/>
                      <w:color w:val="auto"/>
                      <w:w w:val="100"/>
                      <w:sz w:val="21"/>
                      <w:szCs w:val="21"/>
                      <w:highlight w:val="none"/>
                      <w:lang w:val="en-US" w:eastAsia="zh-CN" w:bidi="ar-SA"/>
                    </w:rPr>
                    <w:t>清河镇及杨家镇段</w:t>
                  </w:r>
                </w:p>
              </w:tc>
              <w:tc>
                <w:tcPr>
                  <w:tcW w:w="5193" w:type="dxa"/>
                  <w:gridSpan w:val="2"/>
                  <w:noWrap w:val="0"/>
                  <w:vAlign w:val="center"/>
                </w:tcPr>
                <w:p w14:paraId="4724DC76">
                  <w:pPr>
                    <w:pStyle w:val="23"/>
                    <w:spacing w:line="240" w:lineRule="auto"/>
                    <w:jc w:val="left"/>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Cs w:val="21"/>
                      <w:highlight w:val="none"/>
                      <w:lang w:val="en-US" w:eastAsia="zh-CN"/>
                    </w:rPr>
                    <w:t>施工期间采取了分段施工；涉水施工均安排在枯水期施工，并采用围堰导流施工方式；表土剥离，用于护坡及临时用</w:t>
                  </w:r>
                  <w:r>
                    <w:rPr>
                      <w:rFonts w:hint="eastAsia" w:ascii="Times New Roman" w:hAnsi="Times New Roman" w:cs="Times New Roman"/>
                      <w:color w:val="auto"/>
                      <w:sz w:val="21"/>
                      <w:szCs w:val="21"/>
                      <w:highlight w:val="none"/>
                      <w:lang w:val="en-US" w:eastAsia="zh-CN"/>
                    </w:rPr>
                    <w:t>地恢复；开挖土石方及疏浚淤泥临河一次采用编织袋围挡。</w:t>
                  </w:r>
                </w:p>
                <w:p w14:paraId="2D5BD939">
                  <w:pPr>
                    <w:pStyle w:val="23"/>
                    <w:spacing w:line="240" w:lineRule="auto"/>
                    <w:jc w:val="left"/>
                    <w:rPr>
                      <w:rFonts w:hint="eastAsia" w:ascii="Times New Roman" w:hAnsi="Times New Roman" w:eastAsia="宋体"/>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现场调查，</w:t>
                  </w:r>
                  <w:r>
                    <w:rPr>
                      <w:rFonts w:hint="eastAsia" w:ascii="Times New Roman" w:hAnsi="Times New Roman" w:eastAsia="宋体"/>
                      <w:color w:val="auto"/>
                      <w:sz w:val="21"/>
                      <w:szCs w:val="21"/>
                      <w:highlight w:val="none"/>
                      <w:lang w:val="en-US" w:eastAsia="zh-CN"/>
                    </w:rPr>
                    <w:t>部分护坡有裸露地面。</w:t>
                  </w:r>
                </w:p>
                <w:p w14:paraId="4929FE0C">
                  <w:pPr>
                    <w:pStyle w:val="23"/>
                    <w:spacing w:line="240" w:lineRule="auto"/>
                    <w:jc w:val="left"/>
                    <w:rPr>
                      <w:rFonts w:hint="default" w:ascii="Times New Roman" w:hAnsi="Times New Roman" w:eastAsia="宋体"/>
                      <w:color w:val="auto"/>
                      <w:sz w:val="24"/>
                      <w:szCs w:val="24"/>
                      <w:highlight w:val="none"/>
                      <w:lang w:val="en-US" w:eastAsia="zh-CN"/>
                    </w:rPr>
                  </w:pPr>
                  <w:r>
                    <w:rPr>
                      <w:rFonts w:hint="eastAsia" w:ascii="Times New Roman" w:hAnsi="Times New Roman" w:eastAsia="宋体"/>
                      <w:b/>
                      <w:bCs/>
                      <w:color w:val="auto"/>
                      <w:sz w:val="21"/>
                      <w:szCs w:val="21"/>
                      <w:highlight w:val="none"/>
                      <w:lang w:val="en-US" w:eastAsia="zh-CN"/>
                    </w:rPr>
                    <w:t>本次评价提出整改措施：采用当地植被对岸坡裸露地面进行生态恢复。</w:t>
                  </w:r>
                </w:p>
              </w:tc>
              <w:tc>
                <w:tcPr>
                  <w:tcW w:w="750" w:type="dxa"/>
                  <w:vMerge w:val="continue"/>
                  <w:noWrap w:val="0"/>
                  <w:vAlign w:val="center"/>
                </w:tcPr>
                <w:p w14:paraId="075BE580">
                  <w:pPr>
                    <w:pStyle w:val="23"/>
                    <w:spacing w:line="240" w:lineRule="auto"/>
                    <w:rPr>
                      <w:rFonts w:hint="eastAsia" w:ascii="Times New Roman" w:hAnsi="Times New Roman" w:eastAsia="宋体" w:cs="Times New Roman"/>
                      <w:color w:val="auto"/>
                      <w:szCs w:val="21"/>
                      <w:highlight w:val="none"/>
                      <w:lang w:val="en-US" w:eastAsia="zh-CN"/>
                    </w:rPr>
                  </w:pPr>
                </w:p>
              </w:tc>
              <w:tc>
                <w:tcPr>
                  <w:tcW w:w="663" w:type="dxa"/>
                  <w:vMerge w:val="continue"/>
                  <w:noWrap w:val="0"/>
                  <w:vAlign w:val="center"/>
                </w:tcPr>
                <w:p w14:paraId="35EB1A3B">
                  <w:pPr>
                    <w:pStyle w:val="23"/>
                    <w:spacing w:line="240" w:lineRule="auto"/>
                    <w:rPr>
                      <w:rFonts w:hint="default" w:ascii="Times New Roman" w:hAnsi="Times New Roman" w:cs="Times New Roman"/>
                      <w:color w:val="auto"/>
                      <w:szCs w:val="21"/>
                      <w:highlight w:val="none"/>
                    </w:rPr>
                  </w:pPr>
                </w:p>
              </w:tc>
            </w:tr>
          </w:tbl>
          <w:p w14:paraId="412851F3">
            <w:pPr>
              <w:pStyle w:val="21"/>
              <w:ind w:firstLine="0" w:firstLineChars="0"/>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2.3.</w:t>
            </w:r>
            <w:r>
              <w:rPr>
                <w:rFonts w:hint="eastAsia" w:cs="Times New Roman"/>
                <w:b/>
                <w:bCs/>
                <w:color w:val="auto"/>
                <w:highlight w:val="none"/>
                <w:lang w:val="en-US" w:eastAsia="zh-CN"/>
              </w:rPr>
              <w:t>3</w:t>
            </w:r>
            <w:r>
              <w:rPr>
                <w:rFonts w:hint="default" w:ascii="Times New Roman" w:hAnsi="Times New Roman" w:cs="Times New Roman"/>
                <w:b/>
                <w:bCs/>
                <w:color w:val="auto"/>
                <w:highlight w:val="none"/>
              </w:rPr>
              <w:t>.1</w:t>
            </w:r>
            <w:r>
              <w:rPr>
                <w:rFonts w:hint="default" w:ascii="Times New Roman" w:hAns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公用工程</w:t>
            </w:r>
          </w:p>
          <w:p w14:paraId="5D1F4D3C">
            <w:pPr>
              <w:pStyle w:val="21"/>
              <w:ind w:firstLine="48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（1）供水</w:t>
            </w:r>
          </w:p>
          <w:p w14:paraId="7E6B6F4D">
            <w:pPr>
              <w:ind w:firstLine="480"/>
              <w:jc w:val="left"/>
              <w:rPr>
                <w:rFonts w:hint="default" w:ascii="Times New Roman" w:hAnsi="Times New Roman" w:cs="Times New Roman"/>
                <w:color w:val="auto"/>
                <w:szCs w:val="24"/>
                <w:highlight w:val="none"/>
              </w:rPr>
            </w:pPr>
            <w:r>
              <w:rPr>
                <w:rFonts w:hint="default" w:ascii="Times New Roman" w:hAnsi="Times New Roman" w:cs="Times New Roman"/>
                <w:color w:val="auto"/>
                <w:szCs w:val="21"/>
                <w:highlight w:val="none"/>
              </w:rPr>
              <w:t>生活用水</w:t>
            </w:r>
            <w:r>
              <w:rPr>
                <w:rFonts w:hint="eastAsia" w:cs="Times New Roman"/>
                <w:color w:val="auto"/>
                <w:szCs w:val="24"/>
                <w:highlight w:val="none"/>
                <w:lang w:val="en-US" w:eastAsia="zh-CN"/>
              </w:rPr>
              <w:t>依托周边自来水供水</w:t>
            </w:r>
            <w:r>
              <w:rPr>
                <w:rFonts w:hint="default" w:ascii="Times New Roman" w:hAnsi="Times New Roman" w:cs="Times New Roman"/>
                <w:color w:val="auto"/>
                <w:szCs w:val="24"/>
                <w:highlight w:val="none"/>
              </w:rPr>
              <w:t>管网饮</w:t>
            </w:r>
            <w:r>
              <w:rPr>
                <w:rFonts w:hint="default" w:ascii="Times New Roman" w:hAnsi="Times New Roman" w:cs="Times New Roman"/>
                <w:color w:val="auto"/>
                <w:szCs w:val="21"/>
                <w:highlight w:val="none"/>
              </w:rPr>
              <w:t>，施工用水就近抽取河水使用</w:t>
            </w:r>
            <w:r>
              <w:rPr>
                <w:rFonts w:hint="default" w:ascii="Times New Roman" w:hAnsi="Times New Roman" w:cs="Times New Roman"/>
                <w:color w:val="auto"/>
                <w:szCs w:val="24"/>
                <w:highlight w:val="none"/>
              </w:rPr>
              <w:t>。</w:t>
            </w:r>
          </w:p>
          <w:p w14:paraId="2314E462">
            <w:pPr>
              <w:pStyle w:val="21"/>
              <w:numPr>
                <w:ilvl w:val="0"/>
                <w:numId w:val="2"/>
              </w:numPr>
              <w:ind w:firstLine="48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供电</w:t>
            </w:r>
          </w:p>
          <w:p w14:paraId="52DCEB6D">
            <w:pPr>
              <w:ind w:firstLine="480"/>
              <w:jc w:val="lef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本项目采用自拌，施工用电负荷较大，</w:t>
            </w:r>
            <w:r>
              <w:rPr>
                <w:rFonts w:hint="eastAsia"/>
                <w:color w:val="auto"/>
                <w:szCs w:val="21"/>
                <w:highlight w:val="none"/>
                <w:lang w:val="zh-CN"/>
              </w:rPr>
              <w:t>各工程河段供电采用就近搭接乡镇农网1</w:t>
            </w:r>
            <w:r>
              <w:rPr>
                <w:color w:val="auto"/>
                <w:szCs w:val="21"/>
                <w:highlight w:val="none"/>
                <w:lang w:val="zh-CN"/>
              </w:rPr>
              <w:t>0</w:t>
            </w:r>
            <w:r>
              <w:rPr>
                <w:rFonts w:hint="eastAsia"/>
                <w:color w:val="auto"/>
                <w:szCs w:val="21"/>
                <w:highlight w:val="none"/>
                <w:lang w:val="zh-CN"/>
              </w:rPr>
              <w:t>k</w:t>
            </w:r>
            <w:r>
              <w:rPr>
                <w:color w:val="auto"/>
                <w:szCs w:val="21"/>
                <w:highlight w:val="none"/>
                <w:lang w:val="zh-CN"/>
              </w:rPr>
              <w:t>V</w:t>
            </w:r>
            <w:r>
              <w:rPr>
                <w:rFonts w:hint="eastAsia"/>
                <w:color w:val="auto"/>
                <w:szCs w:val="21"/>
                <w:highlight w:val="none"/>
                <w:lang w:val="zh-CN"/>
              </w:rPr>
              <w:t>输电线路，设置变压器；</w:t>
            </w:r>
            <w:r>
              <w:rPr>
                <w:rFonts w:hint="eastAsia" w:cs="Times New Roman"/>
                <w:color w:val="auto"/>
                <w:szCs w:val="24"/>
                <w:highlight w:val="none"/>
                <w:lang w:val="en-US" w:eastAsia="zh-CN"/>
              </w:rPr>
              <w:t>同时各施工场地</w:t>
            </w:r>
            <w:r>
              <w:rPr>
                <w:rFonts w:hint="default" w:ascii="Times New Roman" w:hAnsi="Times New Roman" w:cs="Times New Roman"/>
                <w:color w:val="auto"/>
                <w:szCs w:val="24"/>
                <w:highlight w:val="none"/>
              </w:rPr>
              <w:t>配备1套50kW移动式柴油发电机组作备用电源。</w:t>
            </w:r>
          </w:p>
          <w:p w14:paraId="53ABC963">
            <w:pPr>
              <w:pStyle w:val="21"/>
              <w:ind w:firstLine="48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（4</w:t>
            </w:r>
            <w:r>
              <w:rPr>
                <w:rFonts w:hint="eastAsia" w:cs="Times New Roman"/>
                <w:color w:val="auto"/>
                <w:szCs w:val="24"/>
                <w:highlight w:val="none"/>
                <w:lang w:val="en-US" w:eastAsia="zh-CN"/>
              </w:rPr>
              <w:t>3</w:t>
            </w:r>
            <w:r>
              <w:rPr>
                <w:rFonts w:hint="default" w:ascii="Times New Roman" w:hAnsi="Times New Roman" w:cs="Times New Roman"/>
                <w:color w:val="auto"/>
                <w:szCs w:val="24"/>
                <w:highlight w:val="none"/>
              </w:rPr>
              <w:t>）施工通讯</w:t>
            </w:r>
          </w:p>
          <w:p w14:paraId="02DD11A9">
            <w:pPr>
              <w:ind w:firstLine="480"/>
              <w:jc w:val="left"/>
              <w:rPr>
                <w:rFonts w:hint="default" w:ascii="Times New Roman" w:hAnsi="Times New Roman" w:cs="Times New Roman"/>
                <w:color w:val="auto"/>
                <w:szCs w:val="24"/>
                <w:highlight w:val="none"/>
              </w:rPr>
            </w:pPr>
            <w:r>
              <w:rPr>
                <w:rFonts w:hint="default" w:ascii="Times New Roman" w:hAnsi="Times New Roman" w:cs="Times New Roman"/>
                <w:color w:val="auto"/>
                <w:szCs w:val="21"/>
                <w:highlight w:val="none"/>
                <w:lang w:val="zh-CN"/>
              </w:rPr>
              <w:t>由于无线通讯信号全覆盖，</w:t>
            </w:r>
            <w:r>
              <w:rPr>
                <w:rFonts w:hint="eastAsia" w:ascii="Times New Roman" w:hAnsi="Times New Roman" w:cs="Times New Roman"/>
                <w:color w:val="auto"/>
                <w:szCs w:val="21"/>
                <w:highlight w:val="none"/>
                <w:lang w:val="zh-CN"/>
              </w:rPr>
              <w:t>各工程河段采用</w:t>
            </w:r>
            <w:r>
              <w:rPr>
                <w:rFonts w:hint="default" w:ascii="Times New Roman" w:hAnsi="Times New Roman" w:cs="Times New Roman"/>
                <w:color w:val="auto"/>
                <w:szCs w:val="21"/>
                <w:highlight w:val="none"/>
                <w:lang w:val="zh-CN"/>
              </w:rPr>
              <w:t>无线通讯工具，以满足施工要求和建设管理的需要</w:t>
            </w:r>
            <w:r>
              <w:rPr>
                <w:rFonts w:hint="default" w:ascii="Times New Roman" w:hAnsi="Times New Roman" w:cs="Times New Roman"/>
                <w:color w:val="auto"/>
                <w:szCs w:val="24"/>
                <w:highlight w:val="none"/>
              </w:rPr>
              <w:t>。</w:t>
            </w:r>
          </w:p>
          <w:p w14:paraId="4BCB0861">
            <w:pPr>
              <w:ind w:left="0" w:leftChars="0" w:firstLine="0" w:firstLineChars="0"/>
              <w:jc w:val="left"/>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rPr>
              <w:t>2.</w:t>
            </w:r>
            <w:r>
              <w:rPr>
                <w:rFonts w:hint="eastAsia" w:cs="Times New Roman"/>
                <w:b/>
                <w:bCs/>
                <w:color w:val="auto"/>
                <w:highlight w:val="none"/>
                <w:lang w:val="en-US" w:eastAsia="zh-CN"/>
              </w:rPr>
              <w:t>3</w:t>
            </w:r>
            <w:r>
              <w:rPr>
                <w:rFonts w:hint="default" w:ascii="Times New Roman" w:hAnsi="Times New Roman" w:cs="Times New Roman"/>
                <w:b/>
                <w:bCs/>
                <w:color w:val="auto"/>
                <w:highlight w:val="none"/>
              </w:rPr>
              <w:t>.</w:t>
            </w:r>
            <w:r>
              <w:rPr>
                <w:rFonts w:hint="eastAsia" w:cs="Times New Roman"/>
                <w:b/>
                <w:bCs/>
                <w:color w:val="auto"/>
                <w:highlight w:val="none"/>
                <w:lang w:val="en-US" w:eastAsia="zh-CN"/>
              </w:rPr>
              <w:t>3</w:t>
            </w:r>
            <w:r>
              <w:rPr>
                <w:rFonts w:hint="default" w:ascii="Times New Roman" w:hAnsi="Times New Roman" w:cs="Times New Roman"/>
                <w:b/>
                <w:bCs/>
                <w:color w:val="auto"/>
                <w:highlight w:val="none"/>
              </w:rPr>
              <w:t>.</w:t>
            </w:r>
            <w:r>
              <w:rPr>
                <w:rFonts w:hint="eastAsia" w:cs="Times New Roman"/>
                <w:b/>
                <w:bCs/>
                <w:color w:val="auto"/>
                <w:highlight w:val="none"/>
                <w:lang w:val="en-US" w:eastAsia="zh-CN"/>
              </w:rPr>
              <w:t>2</w:t>
            </w:r>
            <w:r>
              <w:rPr>
                <w:rFonts w:hint="eastAsia" w:ascii="Times New Roman" w:hAnsi="Times New Roman" w:cs="Times New Roman"/>
                <w:b/>
                <w:bCs/>
                <w:color w:val="auto"/>
                <w:highlight w:val="none"/>
                <w:lang w:val="en-US" w:eastAsia="zh-CN"/>
              </w:rPr>
              <w:t xml:space="preserve"> 施工场地共用情况及可行性分析</w:t>
            </w:r>
          </w:p>
          <w:p w14:paraId="1E398F6C">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color w:val="auto"/>
                <w:szCs w:val="24"/>
                <w:highlight w:val="none"/>
                <w:lang w:bidi="ar"/>
              </w:rPr>
            </w:pPr>
            <w:r>
              <w:rPr>
                <w:rFonts w:hint="eastAsia" w:cs="Times New Roman"/>
                <w:b w:val="0"/>
                <w:bCs w:val="0"/>
                <w:color w:val="auto"/>
                <w:sz w:val="24"/>
                <w:szCs w:val="24"/>
                <w:highlight w:val="none"/>
                <w:lang w:val="en-US" w:eastAsia="zh-CN"/>
              </w:rPr>
              <w:t>石河镇段、双拱场段与</w:t>
            </w:r>
            <w:r>
              <w:rPr>
                <w:rFonts w:hint="default" w:ascii="Times New Roman" w:hAnsi="Times New Roman" w:cs="Times New Roman"/>
                <w:b w:val="0"/>
                <w:bCs w:val="0"/>
                <w:color w:val="auto"/>
                <w:sz w:val="24"/>
                <w:szCs w:val="24"/>
                <w:highlight w:val="none"/>
              </w:rPr>
              <w:t>二郎、福兴</w:t>
            </w:r>
            <w:r>
              <w:rPr>
                <w:rFonts w:hint="eastAsia" w:cs="Times New Roman"/>
                <w:b w:val="0"/>
                <w:bCs w:val="0"/>
                <w:color w:val="auto"/>
                <w:sz w:val="24"/>
                <w:szCs w:val="24"/>
                <w:highlight w:val="none"/>
                <w:lang w:val="en-US" w:eastAsia="zh-CN"/>
              </w:rPr>
              <w:t>段共用1个施工场地</w:t>
            </w:r>
            <w:r>
              <w:rPr>
                <w:rFonts w:hint="eastAsia"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施工场地</w:t>
            </w:r>
            <w:r>
              <w:rPr>
                <w:rFonts w:hint="default" w:ascii="Times New Roman" w:hAnsi="Times New Roman" w:cs="Times New Roman"/>
                <w:b w:val="0"/>
                <w:bCs w:val="0"/>
                <w:color w:val="auto"/>
                <w:sz w:val="24"/>
                <w:szCs w:val="24"/>
                <w:highlight w:val="none"/>
                <w:lang w:val="en-US" w:eastAsia="zh-CN"/>
              </w:rPr>
              <w:t>设置在</w:t>
            </w:r>
            <w:r>
              <w:rPr>
                <w:rFonts w:hint="eastAsia" w:cs="Times New Roman"/>
                <w:b w:val="0"/>
                <w:bCs w:val="0"/>
                <w:color w:val="auto"/>
                <w:sz w:val="24"/>
                <w:szCs w:val="24"/>
                <w:highlight w:val="none"/>
                <w:lang w:val="en-US" w:eastAsia="zh-CN"/>
              </w:rPr>
              <w:t>石河镇玉子铺村。</w:t>
            </w:r>
            <w:r>
              <w:rPr>
                <w:rFonts w:hint="eastAsia"/>
                <w:color w:val="auto"/>
                <w:szCs w:val="24"/>
                <w:highlight w:val="none"/>
                <w:lang w:val="en-US" w:eastAsia="zh-CN" w:bidi="ar"/>
              </w:rPr>
              <w:t>施工场地共用</w:t>
            </w:r>
            <w:r>
              <w:rPr>
                <w:color w:val="auto"/>
                <w:szCs w:val="24"/>
                <w:highlight w:val="none"/>
                <w:lang w:bidi="ar"/>
              </w:rPr>
              <w:t>情况详见表2.</w:t>
            </w:r>
            <w:r>
              <w:rPr>
                <w:rFonts w:hint="eastAsia"/>
                <w:color w:val="auto"/>
                <w:szCs w:val="24"/>
                <w:highlight w:val="none"/>
                <w:lang w:val="en-US" w:eastAsia="zh-CN" w:bidi="ar"/>
              </w:rPr>
              <w:t>3</w:t>
            </w:r>
            <w:r>
              <w:rPr>
                <w:color w:val="auto"/>
                <w:szCs w:val="24"/>
                <w:highlight w:val="none"/>
                <w:lang w:bidi="ar"/>
              </w:rPr>
              <w:t>-</w:t>
            </w:r>
            <w:r>
              <w:rPr>
                <w:rFonts w:hint="eastAsia"/>
                <w:color w:val="auto"/>
                <w:szCs w:val="24"/>
                <w:highlight w:val="none"/>
                <w:lang w:val="en-US" w:eastAsia="zh-CN" w:bidi="ar"/>
              </w:rPr>
              <w:t>4</w:t>
            </w:r>
            <w:r>
              <w:rPr>
                <w:color w:val="auto"/>
                <w:szCs w:val="24"/>
                <w:highlight w:val="none"/>
                <w:lang w:bidi="ar"/>
              </w:rPr>
              <w:t>。</w:t>
            </w:r>
          </w:p>
          <w:p w14:paraId="43FE4241">
            <w:pPr>
              <w:adjustRightInd w:val="0"/>
              <w:snapToGrid w:val="0"/>
              <w:jc w:val="center"/>
              <w:rPr>
                <w:b/>
                <w:color w:val="auto"/>
                <w:sz w:val="24"/>
                <w:highlight w:val="none"/>
              </w:rPr>
            </w:pPr>
            <w:r>
              <w:rPr>
                <w:b/>
                <w:color w:val="auto"/>
                <w:sz w:val="24"/>
                <w:highlight w:val="none"/>
              </w:rPr>
              <w:t>表2.</w:t>
            </w:r>
            <w:r>
              <w:rPr>
                <w:rFonts w:hint="eastAsia"/>
                <w:b/>
                <w:color w:val="auto"/>
                <w:sz w:val="24"/>
                <w:highlight w:val="none"/>
                <w:lang w:val="en-US" w:eastAsia="zh-CN"/>
              </w:rPr>
              <w:t>3-4</w:t>
            </w:r>
            <w:r>
              <w:rPr>
                <w:b/>
                <w:color w:val="auto"/>
                <w:sz w:val="24"/>
                <w:highlight w:val="none"/>
              </w:rPr>
              <w:t xml:space="preserve">  </w:t>
            </w:r>
            <w:r>
              <w:rPr>
                <w:rFonts w:hint="eastAsia"/>
                <w:b/>
                <w:color w:val="auto"/>
                <w:sz w:val="24"/>
                <w:highlight w:val="none"/>
                <w:lang w:val="en-US" w:eastAsia="zh-CN"/>
              </w:rPr>
              <w:t>1#施工场地共用</w:t>
            </w:r>
            <w:r>
              <w:rPr>
                <w:b/>
                <w:color w:val="auto"/>
                <w:sz w:val="24"/>
                <w:highlight w:val="none"/>
              </w:rPr>
              <w:t>情况一览表</w:t>
            </w:r>
          </w:p>
          <w:tbl>
            <w:tblPr>
              <w:tblStyle w:val="11"/>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190"/>
              <w:gridCol w:w="2451"/>
              <w:gridCol w:w="4724"/>
            </w:tblGrid>
            <w:tr w14:paraId="64F7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noWrap w:val="0"/>
                  <w:vAlign w:val="center"/>
                </w:tcPr>
                <w:p w14:paraId="747EF9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highlight w:val="none"/>
                    </w:rPr>
                  </w:pPr>
                  <w:r>
                    <w:rPr>
                      <w:b/>
                      <w:color w:val="auto"/>
                      <w:sz w:val="21"/>
                      <w:szCs w:val="21"/>
                      <w:highlight w:val="none"/>
                    </w:rPr>
                    <w:t>序号</w:t>
                  </w:r>
                </w:p>
              </w:tc>
              <w:tc>
                <w:tcPr>
                  <w:tcW w:w="653" w:type="pct"/>
                  <w:noWrap w:val="0"/>
                  <w:vAlign w:val="center"/>
                </w:tcPr>
                <w:p w14:paraId="3EEAAB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共</w:t>
                  </w:r>
                  <w:r>
                    <w:rPr>
                      <w:rFonts w:hint="eastAsia" w:ascii="Times New Roman" w:hAnsi="Times New Roman" w:eastAsia="宋体" w:cs="Times New Roman"/>
                      <w:b/>
                      <w:color w:val="auto"/>
                      <w:sz w:val="21"/>
                      <w:szCs w:val="21"/>
                      <w:highlight w:val="none"/>
                      <w:lang w:val="en-US" w:eastAsia="zh-CN"/>
                    </w:rPr>
                    <w:t>用设施</w:t>
                  </w:r>
                </w:p>
              </w:tc>
              <w:tc>
                <w:tcPr>
                  <w:tcW w:w="1346" w:type="pct"/>
                  <w:noWrap w:val="0"/>
                  <w:vAlign w:val="center"/>
                </w:tcPr>
                <w:p w14:paraId="5E15B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现有情况</w:t>
                  </w:r>
                </w:p>
              </w:tc>
              <w:tc>
                <w:tcPr>
                  <w:tcW w:w="2595" w:type="pct"/>
                  <w:noWrap w:val="0"/>
                  <w:vAlign w:val="center"/>
                </w:tcPr>
                <w:p w14:paraId="113102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z w:val="21"/>
                      <w:szCs w:val="21"/>
                      <w:highlight w:val="none"/>
                    </w:rPr>
                  </w:pPr>
                  <w:r>
                    <w:rPr>
                      <w:rFonts w:hint="eastAsia"/>
                      <w:b/>
                      <w:color w:val="auto"/>
                      <w:sz w:val="21"/>
                      <w:szCs w:val="21"/>
                      <w:highlight w:val="none"/>
                      <w:lang w:val="en-US" w:eastAsia="zh-CN"/>
                    </w:rPr>
                    <w:t>共用</w:t>
                  </w:r>
                  <w:r>
                    <w:rPr>
                      <w:b/>
                      <w:color w:val="auto"/>
                      <w:sz w:val="21"/>
                      <w:szCs w:val="21"/>
                      <w:highlight w:val="none"/>
                    </w:rPr>
                    <w:t>关系及可行性分析</w:t>
                  </w:r>
                </w:p>
              </w:tc>
            </w:tr>
            <w:tr w14:paraId="5AC4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noWrap w:val="0"/>
                  <w:vAlign w:val="center"/>
                </w:tcPr>
                <w:p w14:paraId="231A5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color w:val="auto"/>
                      <w:sz w:val="21"/>
                      <w:szCs w:val="21"/>
                      <w:highlight w:val="none"/>
                    </w:rPr>
                  </w:pPr>
                  <w:r>
                    <w:rPr>
                      <w:bCs/>
                      <w:color w:val="auto"/>
                      <w:sz w:val="21"/>
                      <w:szCs w:val="21"/>
                      <w:highlight w:val="none"/>
                    </w:rPr>
                    <w:t>1</w:t>
                  </w:r>
                </w:p>
              </w:tc>
              <w:tc>
                <w:tcPr>
                  <w:tcW w:w="653" w:type="pct"/>
                  <w:noWrap w:val="0"/>
                  <w:vAlign w:val="center"/>
                </w:tcPr>
                <w:p w14:paraId="5F6831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color w:val="auto"/>
                      <w:sz w:val="21"/>
                      <w:szCs w:val="21"/>
                      <w:highlight w:val="none"/>
                      <w:lang w:eastAsia="zh-CN"/>
                    </w:rPr>
                  </w:pPr>
                  <w:r>
                    <w:rPr>
                      <w:rFonts w:hint="eastAsia"/>
                      <w:bCs/>
                      <w:color w:val="auto"/>
                      <w:sz w:val="21"/>
                      <w:szCs w:val="21"/>
                      <w:highlight w:val="none"/>
                      <w:lang w:val="en-US" w:eastAsia="zh-CN"/>
                    </w:rPr>
                    <w:t>1#施工场地</w:t>
                  </w:r>
                </w:p>
              </w:tc>
              <w:tc>
                <w:tcPr>
                  <w:tcW w:w="1346" w:type="pct"/>
                  <w:shd w:val="clear" w:color="auto" w:fill="auto"/>
                  <w:noWrap w:val="0"/>
                  <w:vAlign w:val="center"/>
                </w:tcPr>
                <w:p w14:paraId="05591DF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hAnsi="Times New Roman" w:eastAsia="宋体" w:cs="Times New Roman"/>
                      <w:snapToGrid w:val="0"/>
                      <w:color w:val="auto"/>
                      <w:sz w:val="21"/>
                      <w:szCs w:val="21"/>
                      <w:highlight w:val="none"/>
                      <w:lang w:val="en-US" w:eastAsia="zh-CN" w:bidi="ar-SA"/>
                    </w:rPr>
                  </w:pPr>
                  <w:r>
                    <w:rPr>
                      <w:rFonts w:hint="eastAsia" w:cs="Times New Roman"/>
                      <w:b w:val="0"/>
                      <w:bCs w:val="0"/>
                      <w:color w:val="auto"/>
                      <w:sz w:val="21"/>
                      <w:szCs w:val="21"/>
                      <w:highlight w:val="none"/>
                      <w:lang w:val="en-US" w:eastAsia="zh-CN"/>
                    </w:rPr>
                    <w:t>1#施工场地</w:t>
                  </w:r>
                  <w:r>
                    <w:rPr>
                      <w:rFonts w:hint="default" w:ascii="Times New Roman" w:hAnsi="Times New Roman" w:cs="Times New Roman"/>
                      <w:b w:val="0"/>
                      <w:bCs w:val="0"/>
                      <w:color w:val="auto"/>
                      <w:sz w:val="21"/>
                      <w:szCs w:val="21"/>
                      <w:highlight w:val="none"/>
                      <w:lang w:val="en-US" w:eastAsia="zh-CN"/>
                    </w:rPr>
                    <w:t>设置在</w:t>
                  </w:r>
                  <w:r>
                    <w:rPr>
                      <w:rFonts w:hint="eastAsia" w:cs="Times New Roman"/>
                      <w:b w:val="0"/>
                      <w:bCs w:val="0"/>
                      <w:color w:val="auto"/>
                      <w:sz w:val="21"/>
                      <w:szCs w:val="21"/>
                      <w:highlight w:val="none"/>
                      <w:lang w:val="en-US" w:eastAsia="zh-CN"/>
                    </w:rPr>
                    <w:t>石河镇玉子铺村，</w:t>
                  </w:r>
                  <w:r>
                    <w:rPr>
                      <w:rFonts w:hint="default" w:ascii="Times New Roman" w:hAnsi="Times New Roman" w:cs="Times New Roman"/>
                      <w:b w:val="0"/>
                      <w:bCs w:val="0"/>
                      <w:color w:val="auto"/>
                      <w:sz w:val="21"/>
                      <w:szCs w:val="21"/>
                      <w:highlight w:val="none"/>
                    </w:rPr>
                    <w:t>临时占地面积</w:t>
                  </w:r>
                  <w:r>
                    <w:rPr>
                      <w:rFonts w:hint="eastAsia" w:ascii="Times New Roman" w:hAnsi="Times New Roman" w:cs="Times New Roman"/>
                      <w:b w:val="0"/>
                      <w:bCs w:val="0"/>
                      <w:color w:val="auto"/>
                      <w:sz w:val="21"/>
                      <w:szCs w:val="21"/>
                      <w:highlight w:val="none"/>
                      <w:lang w:eastAsia="zh-CN"/>
                    </w:rPr>
                    <w:t>约</w:t>
                  </w:r>
                  <w:r>
                    <w:rPr>
                      <w:rFonts w:hint="eastAsia" w:cs="Times New Roman"/>
                      <w:b w:val="0"/>
                      <w:bCs w:val="0"/>
                      <w:color w:val="auto"/>
                      <w:sz w:val="21"/>
                      <w:szCs w:val="21"/>
                      <w:highlight w:val="none"/>
                      <w:lang w:val="en-US" w:eastAsia="zh-CN"/>
                    </w:rPr>
                    <w:t>6</w:t>
                  </w:r>
                  <w:r>
                    <w:rPr>
                      <w:rFonts w:hint="default" w:ascii="Times New Roman" w:hAnsi="Times New Roman" w:cs="Times New Roman"/>
                      <w:b w:val="0"/>
                      <w:bCs w:val="0"/>
                      <w:color w:val="auto"/>
                      <w:sz w:val="21"/>
                      <w:szCs w:val="21"/>
                      <w:highlight w:val="none"/>
                      <w:lang w:val="en-US" w:eastAsia="zh-CN"/>
                    </w:rPr>
                    <w:t>00</w:t>
                  </w:r>
                  <w:r>
                    <w:rPr>
                      <w:rFonts w:hint="default" w:ascii="Times New Roman" w:hAnsi="Times New Roman" w:cs="Times New Roman"/>
                      <w:b w:val="0"/>
                      <w:bCs w:val="0"/>
                      <w:color w:val="auto"/>
                      <w:sz w:val="21"/>
                      <w:szCs w:val="21"/>
                      <w:highlight w:val="none"/>
                      <w:lang w:eastAsia="zh-CN"/>
                    </w:rPr>
                    <w:t>m</w:t>
                  </w:r>
                  <w:r>
                    <w:rPr>
                      <w:rFonts w:hint="default" w:ascii="Times New Roman" w:hAnsi="Times New Roman" w:cs="Times New Roman"/>
                      <w:b w:val="0"/>
                      <w:bCs w:val="0"/>
                      <w:color w:val="auto"/>
                      <w:sz w:val="21"/>
                      <w:szCs w:val="21"/>
                      <w:highlight w:val="none"/>
                      <w:vertAlign w:val="superscript"/>
                    </w:rPr>
                    <w:t>2</w:t>
                  </w:r>
                  <w:r>
                    <w:rPr>
                      <w:rFonts w:hint="default" w:ascii="Times New Roman" w:hAnsi="Times New Roman" w:cs="Times New Roman"/>
                      <w:b w:val="0"/>
                      <w:bCs w:val="0"/>
                      <w:color w:val="auto"/>
                      <w:sz w:val="21"/>
                      <w:szCs w:val="21"/>
                      <w:highlight w:val="none"/>
                    </w:rPr>
                    <w:t>。</w:t>
                  </w:r>
                  <w:r>
                    <w:rPr>
                      <w:rFonts w:hint="eastAsia" w:ascii="Times New Roman" w:hAnsi="Times New Roman" w:cs="Times New Roman"/>
                      <w:b w:val="0"/>
                      <w:bCs w:val="0"/>
                      <w:color w:val="auto"/>
                      <w:sz w:val="21"/>
                      <w:szCs w:val="21"/>
                      <w:highlight w:val="none"/>
                      <w:lang w:val="en-US" w:eastAsia="zh-CN"/>
                    </w:rPr>
                    <w:t>其中，</w:t>
                  </w:r>
                  <w:r>
                    <w:rPr>
                      <w:rFonts w:hint="default" w:ascii="Times New Roman" w:hAnsi="Times New Roman" w:cs="Times New Roman"/>
                      <w:b w:val="0"/>
                      <w:bCs w:val="0"/>
                      <w:color w:val="auto"/>
                      <w:sz w:val="21"/>
                      <w:szCs w:val="21"/>
                      <w:highlight w:val="none"/>
                      <w:lang w:val="en-US" w:eastAsia="zh-CN"/>
                    </w:rPr>
                    <w:t>临时</w:t>
                  </w:r>
                  <w:r>
                    <w:rPr>
                      <w:rFonts w:hint="default" w:ascii="Times New Roman" w:hAnsi="Times New Roman" w:cs="Times New Roman"/>
                      <w:b w:val="0"/>
                      <w:bCs w:val="0"/>
                      <w:color w:val="auto"/>
                      <w:sz w:val="21"/>
                      <w:szCs w:val="21"/>
                      <w:highlight w:val="none"/>
                    </w:rPr>
                    <w:t>堆料场</w:t>
                  </w:r>
                  <w:r>
                    <w:rPr>
                      <w:rFonts w:hint="default" w:ascii="Times New Roman" w:hAnsi="Times New Roman" w:cs="Times New Roman"/>
                      <w:b w:val="0"/>
                      <w:bCs w:val="0"/>
                      <w:color w:val="auto"/>
                      <w:sz w:val="21"/>
                      <w:szCs w:val="21"/>
                      <w:highlight w:val="none"/>
                      <w:lang w:eastAsia="zh-CN"/>
                    </w:rPr>
                    <w:t>（</w:t>
                  </w:r>
                  <w:r>
                    <w:rPr>
                      <w:rFonts w:hint="eastAsia"/>
                      <w:color w:val="auto"/>
                      <w:sz w:val="21"/>
                      <w:szCs w:val="21"/>
                      <w:highlight w:val="none"/>
                      <w:lang w:val="en-US" w:eastAsia="zh-CN"/>
                    </w:rPr>
                    <w:t>场内分别设置</w:t>
                  </w:r>
                  <w:r>
                    <w:rPr>
                      <w:rFonts w:hint="default" w:ascii="Times New Roman" w:hAnsi="Times New Roman" w:cs="Times New Roman"/>
                      <w:color w:val="auto"/>
                      <w:sz w:val="21"/>
                      <w:szCs w:val="21"/>
                      <w:highlight w:val="none"/>
                    </w:rPr>
                    <w:t>水泥、砂石</w:t>
                  </w:r>
                  <w:r>
                    <w:rPr>
                      <w:rFonts w:hint="eastAsia"/>
                      <w:color w:val="auto"/>
                      <w:sz w:val="21"/>
                      <w:szCs w:val="21"/>
                      <w:highlight w:val="none"/>
                      <w:lang w:val="en-US" w:eastAsia="zh-CN"/>
                    </w:rPr>
                    <w:t>、表土等堆场，共</w:t>
                  </w:r>
                  <w:r>
                    <w:rPr>
                      <w:rFonts w:hint="eastAsia" w:cs="Times New Roman"/>
                      <w:b w:val="0"/>
                      <w:bCs w:val="0"/>
                      <w:color w:val="auto"/>
                      <w:sz w:val="21"/>
                      <w:szCs w:val="21"/>
                      <w:highlight w:val="none"/>
                      <w:lang w:val="en-US" w:eastAsia="zh-CN"/>
                    </w:rPr>
                    <w:t>3</w:t>
                  </w:r>
                  <w:r>
                    <w:rPr>
                      <w:rFonts w:hint="default" w:ascii="Times New Roman" w:hAnsi="Times New Roman" w:cs="Times New Roman"/>
                      <w:b w:val="0"/>
                      <w:bCs w:val="0"/>
                      <w:color w:val="auto"/>
                      <w:sz w:val="21"/>
                      <w:szCs w:val="21"/>
                      <w:highlight w:val="none"/>
                    </w:rPr>
                    <w:t>00m</w:t>
                  </w:r>
                  <w:r>
                    <w:rPr>
                      <w:rFonts w:hint="default" w:ascii="Times New Roman" w:hAnsi="Times New Roman" w:cs="Times New Roman"/>
                      <w:b w:val="0"/>
                      <w:bCs w:val="0"/>
                      <w:color w:val="auto"/>
                      <w:sz w:val="21"/>
                      <w:szCs w:val="21"/>
                      <w:highlight w:val="none"/>
                      <w:vertAlign w:val="superscript"/>
                    </w:rPr>
                    <w:t>2</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lang w:val="en-US" w:eastAsia="zh-CN"/>
                    </w:rPr>
                    <w:t>拌和站（100</w:t>
                  </w:r>
                  <w:r>
                    <w:rPr>
                      <w:rFonts w:hint="default" w:ascii="Times New Roman" w:hAnsi="Times New Roman" w:cs="Times New Roman"/>
                      <w:b w:val="0"/>
                      <w:bCs w:val="0"/>
                      <w:color w:val="auto"/>
                      <w:sz w:val="21"/>
                      <w:szCs w:val="21"/>
                      <w:highlight w:val="none"/>
                    </w:rPr>
                    <w:t>m</w:t>
                  </w:r>
                  <w:r>
                    <w:rPr>
                      <w:rFonts w:hint="default" w:ascii="Times New Roman" w:hAnsi="Times New Roman" w:cs="Times New Roman"/>
                      <w:b w:val="0"/>
                      <w:bCs w:val="0"/>
                      <w:color w:val="auto"/>
                      <w:sz w:val="21"/>
                      <w:szCs w:val="21"/>
                      <w:highlight w:val="none"/>
                      <w:vertAlign w:val="superscript"/>
                    </w:rPr>
                    <w:t>2</w:t>
                  </w:r>
                  <w:r>
                    <w:rPr>
                      <w:rFonts w:hint="default" w:ascii="Times New Roman" w:hAnsi="Times New Roman" w:cs="Times New Roman"/>
                      <w:b w:val="0"/>
                      <w:bCs w:val="0"/>
                      <w:color w:val="auto"/>
                      <w:sz w:val="21"/>
                      <w:szCs w:val="21"/>
                      <w:highlight w:val="none"/>
                      <w:lang w:val="en-US" w:eastAsia="zh-CN"/>
                    </w:rPr>
                    <w:t>）、钢筋加工场（100</w:t>
                  </w:r>
                  <w:r>
                    <w:rPr>
                      <w:rFonts w:hint="default" w:ascii="Times New Roman" w:hAnsi="Times New Roman" w:cs="Times New Roman"/>
                      <w:b w:val="0"/>
                      <w:bCs w:val="0"/>
                      <w:color w:val="auto"/>
                      <w:sz w:val="21"/>
                      <w:szCs w:val="21"/>
                      <w:highlight w:val="none"/>
                    </w:rPr>
                    <w:t>m</w:t>
                  </w:r>
                  <w:r>
                    <w:rPr>
                      <w:rFonts w:hint="default" w:ascii="Times New Roman" w:hAnsi="Times New Roman" w:cs="Times New Roman"/>
                      <w:b w:val="0"/>
                      <w:bCs w:val="0"/>
                      <w:color w:val="auto"/>
                      <w:sz w:val="21"/>
                      <w:szCs w:val="21"/>
                      <w:highlight w:val="none"/>
                      <w:vertAlign w:val="superscript"/>
                    </w:rPr>
                    <w:t>2</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rPr>
                    <w:t>施工机械停放场</w:t>
                  </w:r>
                  <w:r>
                    <w:rPr>
                      <w:rFonts w:hint="default" w:ascii="Times New Roman" w:hAnsi="Times New Roman" w:cs="Times New Roman"/>
                      <w:b w:val="0"/>
                      <w:bCs w:val="0"/>
                      <w:color w:val="auto"/>
                      <w:sz w:val="21"/>
                      <w:szCs w:val="21"/>
                      <w:highlight w:val="none"/>
                      <w:vertAlign w:val="baseline"/>
                      <w:lang w:val="en-US" w:eastAsia="zh-CN"/>
                    </w:rPr>
                    <w:t>（</w:t>
                  </w:r>
                  <w:r>
                    <w:rPr>
                      <w:rFonts w:hint="eastAsia" w:cs="Times New Roman"/>
                      <w:b w:val="0"/>
                      <w:bCs w:val="0"/>
                      <w:color w:val="auto"/>
                      <w:sz w:val="21"/>
                      <w:szCs w:val="21"/>
                      <w:highlight w:val="none"/>
                      <w:vertAlign w:val="baseline"/>
                      <w:lang w:val="en-US" w:eastAsia="zh-CN"/>
                    </w:rPr>
                    <w:t>1</w:t>
                  </w:r>
                  <w:r>
                    <w:rPr>
                      <w:rFonts w:hint="default" w:ascii="Times New Roman" w:hAnsi="Times New Roman" w:cs="Times New Roman"/>
                      <w:b w:val="0"/>
                      <w:bCs w:val="0"/>
                      <w:color w:val="auto"/>
                      <w:sz w:val="21"/>
                      <w:szCs w:val="21"/>
                      <w:highlight w:val="none"/>
                      <w:vertAlign w:val="baseline"/>
                      <w:lang w:val="en-US" w:eastAsia="zh-CN"/>
                    </w:rPr>
                    <w:t>00</w:t>
                  </w:r>
                  <w:r>
                    <w:rPr>
                      <w:rFonts w:hint="default" w:ascii="Times New Roman" w:hAnsi="Times New Roman" w:cs="Times New Roman"/>
                      <w:b w:val="0"/>
                      <w:bCs w:val="0"/>
                      <w:color w:val="auto"/>
                      <w:sz w:val="21"/>
                      <w:szCs w:val="21"/>
                      <w:highlight w:val="none"/>
                    </w:rPr>
                    <w:t>m</w:t>
                  </w:r>
                  <w:r>
                    <w:rPr>
                      <w:rFonts w:hint="default" w:ascii="Times New Roman" w:hAnsi="Times New Roman" w:cs="Times New Roman"/>
                      <w:b w:val="0"/>
                      <w:bCs w:val="0"/>
                      <w:color w:val="auto"/>
                      <w:sz w:val="21"/>
                      <w:szCs w:val="21"/>
                      <w:highlight w:val="none"/>
                      <w:vertAlign w:val="superscript"/>
                    </w:rPr>
                    <w:t>2</w:t>
                  </w:r>
                  <w:r>
                    <w:rPr>
                      <w:rFonts w:hint="default" w:ascii="Times New Roman" w:hAnsi="Times New Roman" w:cs="Times New Roman"/>
                      <w:b w:val="0"/>
                      <w:bCs w:val="0"/>
                      <w:color w:val="auto"/>
                      <w:sz w:val="21"/>
                      <w:szCs w:val="21"/>
                      <w:highlight w:val="none"/>
                      <w:vertAlign w:val="baseline"/>
                      <w:lang w:val="en-US" w:eastAsia="zh-CN"/>
                    </w:rPr>
                    <w:t>）</w:t>
                  </w:r>
                  <w:r>
                    <w:rPr>
                      <w:rFonts w:hint="eastAsia" w:cs="Times New Roman"/>
                      <w:b w:val="0"/>
                      <w:bCs w:val="0"/>
                      <w:color w:val="auto"/>
                      <w:sz w:val="21"/>
                      <w:szCs w:val="21"/>
                      <w:highlight w:val="none"/>
                      <w:lang w:val="en-US" w:eastAsia="zh-CN"/>
                    </w:rPr>
                    <w:t>。</w:t>
                  </w:r>
                </w:p>
              </w:tc>
              <w:tc>
                <w:tcPr>
                  <w:tcW w:w="2595" w:type="pct"/>
                  <w:noWrap w:val="0"/>
                  <w:vAlign w:val="center"/>
                </w:tcPr>
                <w:p w14:paraId="1000ACF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b/>
                      <w:color w:val="auto"/>
                      <w:sz w:val="21"/>
                      <w:szCs w:val="21"/>
                      <w:highlight w:val="none"/>
                      <w:lang w:val="en-US" w:eastAsia="zh-CN"/>
                    </w:rPr>
                  </w:pPr>
                  <w:r>
                    <w:rPr>
                      <w:color w:val="auto"/>
                      <w:sz w:val="21"/>
                      <w:szCs w:val="21"/>
                      <w:highlight w:val="none"/>
                    </w:rPr>
                    <w:t>经调查，</w:t>
                  </w:r>
                  <w:r>
                    <w:rPr>
                      <w:rFonts w:hint="eastAsia"/>
                      <w:color w:val="auto"/>
                      <w:sz w:val="21"/>
                      <w:szCs w:val="21"/>
                      <w:highlight w:val="none"/>
                      <w:lang w:val="en-US" w:eastAsia="zh-CN"/>
                    </w:rPr>
                    <w:t>石河镇段距离施工场地的平均综合运距约6km，双拱场段距离施工场地的平均综合运距约4km，运距合理可行。根据现场调查，</w:t>
                  </w:r>
                  <w:r>
                    <w:rPr>
                      <w:rFonts w:hint="eastAsia" w:cs="Times New Roman"/>
                      <w:color w:val="auto"/>
                      <w:sz w:val="21"/>
                      <w:szCs w:val="21"/>
                      <w:highlight w:val="none"/>
                      <w:lang w:val="en-US" w:eastAsia="zh-CN"/>
                    </w:rPr>
                    <w:t>两个</w:t>
                  </w:r>
                  <w:r>
                    <w:rPr>
                      <w:rFonts w:hint="default" w:ascii="Times New Roman" w:hAnsi="Times New Roman" w:cs="Times New Roman"/>
                      <w:color w:val="auto"/>
                      <w:sz w:val="21"/>
                      <w:szCs w:val="21"/>
                      <w:highlight w:val="none"/>
                    </w:rPr>
                    <w:t>防洪治理工程</w:t>
                  </w:r>
                  <w:r>
                    <w:rPr>
                      <w:rFonts w:hint="eastAsia" w:cs="Times New Roman"/>
                      <w:color w:val="auto"/>
                      <w:sz w:val="21"/>
                      <w:szCs w:val="21"/>
                      <w:highlight w:val="none"/>
                      <w:lang w:val="en-US" w:eastAsia="zh-CN"/>
                    </w:rPr>
                    <w:t>不在同一时段内使用施工场地内的同一施工机械；</w:t>
                  </w:r>
                  <w:r>
                    <w:rPr>
                      <w:rFonts w:hint="default" w:ascii="Times New Roman" w:hAnsi="Times New Roman" w:cs="Times New Roman"/>
                      <w:b w:val="0"/>
                      <w:bCs w:val="0"/>
                      <w:color w:val="auto"/>
                      <w:sz w:val="21"/>
                      <w:szCs w:val="21"/>
                      <w:highlight w:val="none"/>
                      <w:lang w:val="en-US" w:eastAsia="zh-CN"/>
                    </w:rPr>
                    <w:t>临时</w:t>
                  </w:r>
                  <w:r>
                    <w:rPr>
                      <w:rFonts w:hint="default" w:ascii="Times New Roman" w:hAnsi="Times New Roman" w:cs="Times New Roman"/>
                      <w:b w:val="0"/>
                      <w:bCs w:val="0"/>
                      <w:color w:val="auto"/>
                      <w:sz w:val="21"/>
                      <w:szCs w:val="21"/>
                      <w:highlight w:val="none"/>
                    </w:rPr>
                    <w:t>堆料场</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rPr>
                    <w:t>施工机械停放场</w:t>
                  </w:r>
                  <w:r>
                    <w:rPr>
                      <w:rFonts w:hint="eastAsia" w:ascii="Times New Roman" w:hAnsi="Times New Roman" w:cs="Times New Roman"/>
                      <w:b w:val="0"/>
                      <w:bCs w:val="0"/>
                      <w:color w:val="auto"/>
                      <w:sz w:val="21"/>
                      <w:szCs w:val="21"/>
                      <w:highlight w:val="none"/>
                      <w:lang w:val="en-US" w:eastAsia="zh-CN"/>
                    </w:rPr>
                    <w:t>均有剩余容纳量，临时堆料场可提高临时性堆放材料等的周转频次，共用可行。</w:t>
                  </w:r>
                </w:p>
              </w:tc>
            </w:tr>
            <w:tr w14:paraId="05F0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noWrap w:val="0"/>
                  <w:vAlign w:val="center"/>
                </w:tcPr>
                <w:p w14:paraId="5A221E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2</w:t>
                  </w:r>
                </w:p>
              </w:tc>
              <w:tc>
                <w:tcPr>
                  <w:tcW w:w="653" w:type="pct"/>
                  <w:noWrap w:val="0"/>
                  <w:vAlign w:val="center"/>
                </w:tcPr>
                <w:p w14:paraId="368C77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Cs/>
                      <w:color w:val="auto"/>
                      <w:sz w:val="21"/>
                      <w:szCs w:val="21"/>
                      <w:highlight w:val="none"/>
                      <w:lang w:val="en-US" w:eastAsia="zh-CN"/>
                    </w:rPr>
                  </w:pPr>
                  <w:r>
                    <w:rPr>
                      <w:rFonts w:hint="eastAsia"/>
                      <w:bCs/>
                      <w:color w:val="auto"/>
                      <w:sz w:val="21"/>
                      <w:szCs w:val="21"/>
                      <w:highlight w:val="none"/>
                      <w:lang w:val="en-US" w:eastAsia="zh-CN"/>
                    </w:rPr>
                    <w:t>沉淀池</w:t>
                  </w:r>
                </w:p>
              </w:tc>
              <w:tc>
                <w:tcPr>
                  <w:tcW w:w="1346" w:type="pct"/>
                  <w:noWrap w:val="0"/>
                  <w:vAlign w:val="center"/>
                </w:tcPr>
                <w:p w14:paraId="46990E2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auto"/>
                      <w:sz w:val="21"/>
                      <w:szCs w:val="21"/>
                      <w:highlight w:val="none"/>
                      <w:lang w:val="en-US" w:eastAsia="zh-CN"/>
                    </w:rPr>
                  </w:pPr>
                  <w:r>
                    <w:rPr>
                      <w:rFonts w:hint="eastAsia" w:cs="Times New Roman"/>
                      <w:b w:val="0"/>
                      <w:bCs w:val="0"/>
                      <w:color w:val="auto"/>
                      <w:sz w:val="21"/>
                      <w:szCs w:val="21"/>
                      <w:highlight w:val="none"/>
                      <w:lang w:val="en-US" w:eastAsia="zh-CN"/>
                    </w:rPr>
                    <w:t>1#</w:t>
                  </w:r>
                  <w:r>
                    <w:rPr>
                      <w:rFonts w:hint="eastAsia" w:ascii="Times New Roman" w:hAnsi="Times New Roman" w:cs="Times New Roman"/>
                      <w:b w:val="0"/>
                      <w:bCs w:val="0"/>
                      <w:color w:val="auto"/>
                      <w:sz w:val="21"/>
                      <w:szCs w:val="21"/>
                      <w:highlight w:val="none"/>
                      <w:lang w:val="en-US" w:eastAsia="zh-CN"/>
                    </w:rPr>
                    <w:t>施工场地内的沉淀池处理量为12m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r>
                    <w:rPr>
                      <w:rFonts w:hint="eastAsia" w:ascii="Times New Roman" w:hAnsi="Times New Roman" w:cs="Times New Roman"/>
                      <w:color w:val="auto"/>
                      <w:sz w:val="21"/>
                      <w:szCs w:val="21"/>
                      <w:highlight w:val="none"/>
                      <w:lang w:eastAsia="zh-CN"/>
                    </w:rPr>
                    <w:t>。</w:t>
                  </w:r>
                </w:p>
              </w:tc>
              <w:tc>
                <w:tcPr>
                  <w:tcW w:w="2595" w:type="pct"/>
                  <w:noWrap w:val="0"/>
                  <w:vAlign w:val="center"/>
                </w:tcPr>
                <w:p w14:paraId="1D16B9A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sz w:val="21"/>
                      <w:szCs w:val="21"/>
                      <w:highlight w:val="none"/>
                      <w:lang w:val="en-US" w:eastAsia="zh-CN"/>
                    </w:rPr>
                  </w:pPr>
                  <w:r>
                    <w:rPr>
                      <w:rFonts w:hint="default" w:ascii="Times New Roman" w:hAnsi="Times New Roman" w:cs="Times New Roman"/>
                      <w:b w:val="0"/>
                      <w:bCs w:val="0"/>
                      <w:color w:val="auto"/>
                      <w:sz w:val="21"/>
                      <w:szCs w:val="21"/>
                      <w:highlight w:val="none"/>
                    </w:rPr>
                    <w:t>二郎、福兴</w:t>
                  </w:r>
                  <w:r>
                    <w:rPr>
                      <w:rFonts w:hint="eastAsia" w:cs="Times New Roman"/>
                      <w:b w:val="0"/>
                      <w:bCs w:val="0"/>
                      <w:color w:val="auto"/>
                      <w:sz w:val="21"/>
                      <w:szCs w:val="21"/>
                      <w:highlight w:val="none"/>
                      <w:lang w:val="en-US" w:eastAsia="zh-CN"/>
                    </w:rPr>
                    <w:t>段和石河、双拱段</w:t>
                  </w:r>
                  <w:r>
                    <w:rPr>
                      <w:rFonts w:hint="eastAsia" w:ascii="Times New Roman" w:hAnsi="Times New Roman" w:cs="Times New Roman"/>
                      <w:b w:val="0"/>
                      <w:bCs w:val="0"/>
                      <w:color w:val="auto"/>
                      <w:sz w:val="21"/>
                      <w:szCs w:val="21"/>
                      <w:highlight w:val="none"/>
                      <w:lang w:val="en-US" w:eastAsia="zh-CN"/>
                    </w:rPr>
                    <w:t>产生的</w:t>
                  </w:r>
                  <w:r>
                    <w:rPr>
                      <w:rFonts w:hint="default" w:ascii="Times New Roman" w:hAnsi="Times New Roman" w:cs="Times New Roman"/>
                      <w:color w:val="auto"/>
                      <w:sz w:val="21"/>
                      <w:szCs w:val="21"/>
                      <w:highlight w:val="none"/>
                    </w:rPr>
                    <w:t>施工机械和运输车辆冲洗废水</w:t>
                  </w:r>
                  <w:r>
                    <w:rPr>
                      <w:rFonts w:hint="default" w:ascii="Times New Roman" w:hAnsi="Times New Roman" w:cs="Times New Roman"/>
                      <w:color w:val="auto"/>
                      <w:sz w:val="21"/>
                      <w:szCs w:val="21"/>
                      <w:highlight w:val="none"/>
                      <w:lang w:eastAsia="zh-CN"/>
                    </w:rPr>
                    <w:t>、拌和</w:t>
                  </w:r>
                  <w:r>
                    <w:rPr>
                      <w:rFonts w:hint="default" w:ascii="Times New Roman" w:hAnsi="Times New Roman" w:cs="Times New Roman"/>
                      <w:color w:val="auto"/>
                      <w:sz w:val="21"/>
                      <w:szCs w:val="21"/>
                      <w:highlight w:val="none"/>
                    </w:rPr>
                    <w:t>系统冲洗废水</w:t>
                  </w:r>
                  <w:r>
                    <w:rPr>
                      <w:rFonts w:hint="eastAsia" w:ascii="Times New Roman" w:hAnsi="Times New Roman" w:cs="Times New Roman"/>
                      <w:color w:val="auto"/>
                      <w:sz w:val="21"/>
                      <w:szCs w:val="21"/>
                      <w:highlight w:val="none"/>
                      <w:lang w:val="en-US" w:eastAsia="zh-CN"/>
                    </w:rPr>
                    <w:t>均为5.2</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共10.4</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r>
                    <w:rPr>
                      <w:rFonts w:hint="eastAsia" w:cs="Times New Roman"/>
                      <w:color w:val="auto"/>
                      <w:sz w:val="21"/>
                      <w:szCs w:val="21"/>
                      <w:highlight w:val="none"/>
                      <w:lang w:val="en-US" w:eastAsia="zh-CN"/>
                    </w:rPr>
                    <w:t>＜</w:t>
                  </w:r>
                  <w:r>
                    <w:rPr>
                      <w:rFonts w:hint="eastAsia" w:ascii="Times New Roman" w:hAnsi="Times New Roman" w:cs="Times New Roman"/>
                      <w:b w:val="0"/>
                      <w:bCs w:val="0"/>
                      <w:color w:val="auto"/>
                      <w:sz w:val="21"/>
                      <w:szCs w:val="21"/>
                      <w:highlight w:val="none"/>
                      <w:lang w:val="en-US" w:eastAsia="zh-CN"/>
                    </w:rPr>
                    <w:t>12m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/d</w:t>
                  </w:r>
                  <w:r>
                    <w:rPr>
                      <w:rFonts w:hint="eastAsia" w:ascii="Times New Roman" w:hAnsi="Times New Roman" w:cs="Times New Roman"/>
                      <w:color w:val="auto"/>
                      <w:sz w:val="21"/>
                      <w:szCs w:val="21"/>
                      <w:highlight w:val="none"/>
                      <w:lang w:eastAsia="zh-CN"/>
                    </w:rPr>
                    <w:t>。</w:t>
                  </w:r>
                  <w:r>
                    <w:rPr>
                      <w:rFonts w:hint="eastAsia"/>
                      <w:color w:val="auto"/>
                      <w:sz w:val="21"/>
                      <w:szCs w:val="21"/>
                      <w:highlight w:val="none"/>
                      <w:lang w:val="en-US" w:eastAsia="zh-CN"/>
                    </w:rPr>
                    <w:t>根据现场调查与核实，</w:t>
                  </w:r>
                  <w:r>
                    <w:rPr>
                      <w:rFonts w:hint="eastAsia" w:cs="Times New Roman"/>
                      <w:color w:val="auto"/>
                      <w:sz w:val="21"/>
                      <w:szCs w:val="21"/>
                      <w:highlight w:val="none"/>
                      <w:lang w:val="en-US" w:eastAsia="zh-CN"/>
                    </w:rPr>
                    <w:t>两个</w:t>
                  </w:r>
                  <w:r>
                    <w:rPr>
                      <w:rFonts w:hint="default" w:ascii="Times New Roman" w:hAnsi="Times New Roman" w:cs="Times New Roman"/>
                      <w:color w:val="auto"/>
                      <w:sz w:val="21"/>
                      <w:szCs w:val="21"/>
                      <w:highlight w:val="none"/>
                    </w:rPr>
                    <w:t>防洪治理工程</w:t>
                  </w:r>
                  <w:r>
                    <w:rPr>
                      <w:rFonts w:hint="eastAsia" w:cs="Times New Roman"/>
                      <w:color w:val="auto"/>
                      <w:sz w:val="21"/>
                      <w:szCs w:val="21"/>
                      <w:highlight w:val="none"/>
                      <w:lang w:val="en-US" w:eastAsia="zh-CN"/>
                    </w:rPr>
                    <w:t>不在同一时段内使用施工场地内的同一施工机械，故沉淀池共用可行。故</w:t>
                  </w:r>
                  <w:r>
                    <w:rPr>
                      <w:rFonts w:hint="eastAsia" w:ascii="Times New Roman" w:hAnsi="Times New Roman" w:cs="Times New Roman"/>
                      <w:color w:val="auto"/>
                      <w:sz w:val="21"/>
                      <w:szCs w:val="21"/>
                      <w:highlight w:val="none"/>
                      <w:lang w:val="en-US" w:eastAsia="zh-CN"/>
                    </w:rPr>
                    <w:t>沉淀池剩余处理量可以处理</w:t>
                  </w:r>
                  <w:r>
                    <w:rPr>
                      <w:rFonts w:hint="default" w:ascii="Times New Roman" w:hAnsi="Times New Roman" w:cs="Times New Roman"/>
                      <w:b w:val="0"/>
                      <w:bCs w:val="0"/>
                      <w:color w:val="auto"/>
                      <w:sz w:val="21"/>
                      <w:szCs w:val="21"/>
                      <w:highlight w:val="none"/>
                    </w:rPr>
                    <w:t>二郎、福兴</w:t>
                  </w:r>
                  <w:r>
                    <w:rPr>
                      <w:rFonts w:hint="eastAsia" w:cs="Times New Roman"/>
                      <w:b w:val="0"/>
                      <w:bCs w:val="0"/>
                      <w:color w:val="auto"/>
                      <w:sz w:val="21"/>
                      <w:szCs w:val="21"/>
                      <w:highlight w:val="none"/>
                      <w:lang w:val="en-US" w:eastAsia="zh-CN"/>
                    </w:rPr>
                    <w:t>段和石河、双拱段</w:t>
                  </w:r>
                  <w:r>
                    <w:rPr>
                      <w:rFonts w:hint="eastAsia" w:ascii="Times New Roman" w:hAnsi="Times New Roman" w:cs="Times New Roman"/>
                      <w:color w:val="auto"/>
                      <w:sz w:val="21"/>
                      <w:szCs w:val="21"/>
                      <w:highlight w:val="none"/>
                      <w:lang w:val="en-US" w:eastAsia="zh-CN"/>
                    </w:rPr>
                    <w:t>产生的施工废水。</w:t>
                  </w:r>
                </w:p>
              </w:tc>
            </w:tr>
          </w:tbl>
          <w:p w14:paraId="22156D6D">
            <w:pPr>
              <w:pStyle w:val="21"/>
              <w:ind w:firstLine="0" w:firstLineChars="0"/>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2.3.3 工程占地及拆迁</w:t>
            </w:r>
          </w:p>
          <w:p w14:paraId="3596E1D9">
            <w:pPr>
              <w:pStyle w:val="21"/>
              <w:ind w:firstLine="0" w:firstLineChars="0"/>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2.3.3.1 工程占地</w:t>
            </w:r>
          </w:p>
          <w:p w14:paraId="435165D0">
            <w:pPr>
              <w:ind w:firstLine="480"/>
              <w:jc w:val="left"/>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highlight w:val="none"/>
              </w:rPr>
              <w:t>本项目永久占地和临时占地</w:t>
            </w:r>
            <w:r>
              <w:rPr>
                <w:rFonts w:hint="default" w:ascii="Times New Roman" w:hAnsi="Times New Roman" w:cs="Times New Roman"/>
                <w:bCs/>
                <w:color w:val="auto"/>
                <w:sz w:val="24"/>
                <w:szCs w:val="32"/>
                <w:highlight w:val="none"/>
                <w:lang w:val="en-US" w:eastAsia="zh-CN"/>
              </w:rPr>
              <w:t>均</w:t>
            </w:r>
            <w:r>
              <w:rPr>
                <w:rFonts w:hint="default" w:ascii="Times New Roman" w:hAnsi="Times New Roman" w:cs="Times New Roman"/>
                <w:color w:val="auto"/>
                <w:highlight w:val="none"/>
              </w:rPr>
              <w:t>不涉及基本农田。项目占地总面积</w:t>
            </w:r>
            <w:r>
              <w:rPr>
                <w:rFonts w:hint="eastAsia" w:cs="Times New Roman"/>
                <w:color w:val="auto"/>
                <w:highlight w:val="none"/>
                <w:lang w:val="en-US" w:eastAsia="zh-CN"/>
              </w:rPr>
              <w:t>334.51</w:t>
            </w:r>
            <w:r>
              <w:rPr>
                <w:rFonts w:hint="eastAsia" w:cs="Times New Roman"/>
                <w:color w:val="auto"/>
                <w:highlight w:val="none"/>
                <w:lang w:eastAsia="zh-CN"/>
              </w:rPr>
              <w:t>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其中：</w:t>
            </w:r>
            <w:r>
              <w:rPr>
                <w:rFonts w:hint="default" w:ascii="Times New Roman" w:hAnsi="Times New Roman" w:cs="Times New Roman"/>
                <w:color w:val="auto"/>
                <w:highlight w:val="none"/>
              </w:rPr>
              <w:t>永久占地共</w:t>
            </w:r>
            <w:r>
              <w:rPr>
                <w:rFonts w:hint="eastAsia"/>
                <w:b w:val="0"/>
                <w:color w:val="auto"/>
                <w:highlight w:val="none"/>
                <w:lang w:val="en-US" w:eastAsia="zh-CN"/>
              </w:rPr>
              <w:t>277.57</w:t>
            </w:r>
            <w:r>
              <w:rPr>
                <w:rFonts w:hint="default" w:ascii="Times New Roman" w:hAnsi="Times New Roman" w:cs="Times New Roman"/>
                <w:color w:val="auto"/>
                <w:highlight w:val="none"/>
              </w:rPr>
              <w:t>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临时占地共</w:t>
            </w:r>
            <w:r>
              <w:rPr>
                <w:rFonts w:hint="eastAsia" w:cs="Times New Roman"/>
                <w:color w:val="auto"/>
                <w:highlight w:val="none"/>
                <w:lang w:val="en-US" w:eastAsia="zh-CN"/>
              </w:rPr>
              <w:t>56.94亩</w:t>
            </w:r>
            <w:r>
              <w:rPr>
                <w:rFonts w:hint="default" w:ascii="Times New Roman" w:hAnsi="Times New Roman" w:cs="Times New Roman"/>
                <w:color w:val="auto"/>
                <w:highlight w:val="none"/>
              </w:rPr>
              <w:t>。</w:t>
            </w:r>
            <w:r>
              <w:rPr>
                <w:rFonts w:hint="eastAsia" w:cs="Times New Roman"/>
                <w:color w:val="auto"/>
                <w:highlight w:val="none"/>
                <w:lang w:val="en-US" w:eastAsia="zh-CN"/>
              </w:rPr>
              <w:t>工程占地情况详见下表。</w:t>
            </w:r>
          </w:p>
          <w:p w14:paraId="2A732F07">
            <w:pPr>
              <w:adjustRightInd w:val="0"/>
              <w:snapToGrid w:val="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rPr>
              <w:t>表2.3-</w:t>
            </w:r>
            <w:r>
              <w:rPr>
                <w:rFonts w:hint="eastAsia" w:cs="Times New Roman"/>
                <w:b/>
                <w:bCs/>
                <w:color w:val="auto"/>
                <w:highlight w:val="none"/>
                <w:lang w:val="en-US" w:eastAsia="zh-CN"/>
              </w:rPr>
              <w:t>5</w:t>
            </w:r>
            <w:r>
              <w:rPr>
                <w:rFonts w:hint="default" w:ascii="Times New Roman" w:hAnsi="Times New Roman" w:cs="Times New Roman"/>
                <w:b/>
                <w:bCs/>
                <w:color w:val="auto"/>
                <w:highlight w:val="none"/>
                <w:lang w:val="en-US" w:eastAsia="zh-CN"/>
              </w:rPr>
              <w:t xml:space="preserve"> </w:t>
            </w:r>
            <w:r>
              <w:rPr>
                <w:rFonts w:hint="default" w:ascii="Times New Roman" w:hAnsi="Times New Roman" w:cs="Times New Roman"/>
                <w:b/>
                <w:bCs/>
                <w:color w:val="auto"/>
                <w:highlight w:val="none"/>
              </w:rPr>
              <w:t xml:space="preserve"> 本项目占地类型分布情况一览表</w:t>
            </w:r>
            <w:r>
              <w:rPr>
                <w:rFonts w:hint="eastAsia" w:cs="Times New Roman"/>
                <w:b/>
                <w:bCs/>
                <w:color w:val="auto"/>
                <w:highlight w:val="none"/>
                <w:lang w:val="en-US" w:eastAsia="zh-CN"/>
              </w:rPr>
              <w:t xml:space="preserve">  </w:t>
            </w:r>
            <w:r>
              <w:rPr>
                <w:rFonts w:hint="eastAsia"/>
                <w:b/>
                <w:color w:val="auto"/>
                <w:sz w:val="24"/>
                <w:highlight w:val="none"/>
              </w:rPr>
              <w:t>单位：亩</w:t>
            </w:r>
          </w:p>
          <w:tbl>
            <w:tblPr>
              <w:tblStyle w:val="11"/>
              <w:tblW w:w="9139" w:type="dxa"/>
              <w:jc w:val="center"/>
              <w:tblBorders>
                <w:top w:val="single" w:color="auto" w:sz="8" w:space="0"/>
                <w:left w:val="single" w:color="auto" w:sz="4" w:space="0"/>
                <w:bottom w:val="single" w:color="auto" w:sz="4" w:space="0"/>
                <w:right w:val="single" w:color="auto" w:sz="4" w:space="0"/>
                <w:insideH w:val="single" w:color="auto" w:sz="4" w:space="0"/>
                <w:insideV w:val="single" w:color="auto" w:sz="8" w:space="0"/>
              </w:tblBorders>
              <w:tblLayout w:type="fixed"/>
              <w:tblCellMar>
                <w:top w:w="0" w:type="dxa"/>
                <w:left w:w="108" w:type="dxa"/>
                <w:bottom w:w="0" w:type="dxa"/>
                <w:right w:w="108" w:type="dxa"/>
              </w:tblCellMar>
            </w:tblPr>
            <w:tblGrid>
              <w:gridCol w:w="1114"/>
              <w:gridCol w:w="857"/>
              <w:gridCol w:w="903"/>
              <w:gridCol w:w="789"/>
              <w:gridCol w:w="811"/>
              <w:gridCol w:w="689"/>
              <w:gridCol w:w="767"/>
              <w:gridCol w:w="689"/>
              <w:gridCol w:w="766"/>
              <w:gridCol w:w="861"/>
              <w:gridCol w:w="893"/>
            </w:tblGrid>
            <w:tr w14:paraId="61FE8F06">
              <w:tblPrEx>
                <w:tblBorders>
                  <w:top w:val="single" w:color="auto" w:sz="8"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90" w:hRule="atLeast"/>
                <w:jc w:val="center"/>
              </w:trPr>
              <w:tc>
                <w:tcPr>
                  <w:tcW w:w="609" w:type="pct"/>
                  <w:vMerge w:val="restart"/>
                  <w:shd w:val="clear" w:color="auto" w:fill="auto"/>
                  <w:noWrap w:val="0"/>
                  <w:vAlign w:val="center"/>
                </w:tcPr>
                <w:p w14:paraId="677208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bookmarkStart w:id="1" w:name="_bookmark0"/>
                  <w:bookmarkEnd w:id="1"/>
                  <w:bookmarkStart w:id="2" w:name="8.5.2主要不利影响"/>
                  <w:bookmarkEnd w:id="2"/>
                  <w:r>
                    <w:rPr>
                      <w:b/>
                      <w:bCs/>
                      <w:color w:val="auto"/>
                      <w:spacing w:val="-20"/>
                      <w:kern w:val="0"/>
                      <w:sz w:val="21"/>
                      <w:szCs w:val="21"/>
                      <w:highlight w:val="none"/>
                    </w:rPr>
                    <w:t>工程位置</w:t>
                  </w:r>
                </w:p>
              </w:tc>
              <w:tc>
                <w:tcPr>
                  <w:tcW w:w="4390" w:type="pct"/>
                  <w:gridSpan w:val="10"/>
                  <w:shd w:val="clear" w:color="auto" w:fill="auto"/>
                  <w:noWrap w:val="0"/>
                  <w:vAlign w:val="center"/>
                </w:tcPr>
                <w:p w14:paraId="60DD78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r>
                    <w:rPr>
                      <w:b/>
                      <w:bCs/>
                      <w:color w:val="auto"/>
                      <w:spacing w:val="-20"/>
                      <w:kern w:val="0"/>
                      <w:sz w:val="21"/>
                      <w:szCs w:val="21"/>
                      <w:highlight w:val="none"/>
                    </w:rPr>
                    <w:t>占地情况</w:t>
                  </w:r>
                </w:p>
              </w:tc>
            </w:tr>
            <w:tr w14:paraId="46200184">
              <w:tblPrEx>
                <w:tblBorders>
                  <w:top w:val="single" w:color="auto" w:sz="8"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23" w:hRule="atLeast"/>
                <w:jc w:val="center"/>
              </w:trPr>
              <w:tc>
                <w:tcPr>
                  <w:tcW w:w="609" w:type="pct"/>
                  <w:vMerge w:val="continue"/>
                  <w:shd w:val="clear" w:color="auto" w:fill="auto"/>
                  <w:noWrap w:val="0"/>
                  <w:vAlign w:val="center"/>
                </w:tcPr>
                <w:p w14:paraId="270011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p>
              </w:tc>
              <w:tc>
                <w:tcPr>
                  <w:tcW w:w="2215" w:type="pct"/>
                  <w:gridSpan w:val="5"/>
                  <w:shd w:val="clear" w:color="auto" w:fill="auto"/>
                  <w:noWrap w:val="0"/>
                  <w:vAlign w:val="center"/>
                </w:tcPr>
                <w:p w14:paraId="612662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r>
                    <w:rPr>
                      <w:b/>
                      <w:bCs/>
                      <w:color w:val="auto"/>
                      <w:spacing w:val="-20"/>
                      <w:kern w:val="0"/>
                      <w:sz w:val="21"/>
                      <w:szCs w:val="21"/>
                      <w:highlight w:val="none"/>
                    </w:rPr>
                    <w:t>永久占地</w:t>
                  </w:r>
                </w:p>
              </w:tc>
              <w:tc>
                <w:tcPr>
                  <w:tcW w:w="2175" w:type="pct"/>
                  <w:gridSpan w:val="5"/>
                  <w:shd w:val="clear" w:color="auto" w:fill="auto"/>
                  <w:noWrap w:val="0"/>
                  <w:vAlign w:val="center"/>
                </w:tcPr>
                <w:p w14:paraId="485225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r>
                    <w:rPr>
                      <w:b/>
                      <w:bCs/>
                      <w:color w:val="auto"/>
                      <w:spacing w:val="-20"/>
                      <w:kern w:val="0"/>
                      <w:sz w:val="21"/>
                      <w:szCs w:val="21"/>
                      <w:highlight w:val="none"/>
                    </w:rPr>
                    <w:t>临时占地</w:t>
                  </w:r>
                </w:p>
              </w:tc>
            </w:tr>
            <w:tr w14:paraId="33948A5E">
              <w:tblPrEx>
                <w:tblBorders>
                  <w:top w:val="single" w:color="auto" w:sz="8"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23" w:hRule="atLeast"/>
                <w:jc w:val="center"/>
              </w:trPr>
              <w:tc>
                <w:tcPr>
                  <w:tcW w:w="609" w:type="pct"/>
                  <w:vMerge w:val="continue"/>
                  <w:shd w:val="clear" w:color="auto" w:fill="auto"/>
                  <w:noWrap w:val="0"/>
                  <w:vAlign w:val="center"/>
                </w:tcPr>
                <w:p w14:paraId="4776F2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p>
              </w:tc>
              <w:tc>
                <w:tcPr>
                  <w:tcW w:w="468" w:type="pct"/>
                  <w:vMerge w:val="restart"/>
                  <w:shd w:val="clear" w:color="auto" w:fill="auto"/>
                  <w:noWrap w:val="0"/>
                  <w:vAlign w:val="center"/>
                </w:tcPr>
                <w:p w14:paraId="55FE47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r>
                    <w:rPr>
                      <w:b/>
                      <w:bCs/>
                      <w:color w:val="auto"/>
                      <w:spacing w:val="-20"/>
                      <w:kern w:val="0"/>
                      <w:sz w:val="21"/>
                      <w:szCs w:val="21"/>
                      <w:highlight w:val="none"/>
                    </w:rPr>
                    <w:t>总计</w:t>
                  </w:r>
                </w:p>
              </w:tc>
              <w:tc>
                <w:tcPr>
                  <w:tcW w:w="1746" w:type="pct"/>
                  <w:gridSpan w:val="4"/>
                  <w:shd w:val="clear" w:color="auto" w:fill="auto"/>
                  <w:noWrap w:val="0"/>
                  <w:vAlign w:val="center"/>
                </w:tcPr>
                <w:p w14:paraId="55ABDF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r>
                    <w:rPr>
                      <w:b/>
                      <w:bCs/>
                      <w:color w:val="auto"/>
                      <w:spacing w:val="-20"/>
                      <w:kern w:val="0"/>
                      <w:sz w:val="21"/>
                      <w:szCs w:val="21"/>
                      <w:highlight w:val="none"/>
                    </w:rPr>
                    <w:t>其中</w:t>
                  </w:r>
                </w:p>
              </w:tc>
              <w:tc>
                <w:tcPr>
                  <w:tcW w:w="419" w:type="pct"/>
                  <w:vMerge w:val="restart"/>
                  <w:shd w:val="clear" w:color="auto" w:fill="auto"/>
                  <w:noWrap w:val="0"/>
                  <w:vAlign w:val="center"/>
                </w:tcPr>
                <w:p w14:paraId="27AFEC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r>
                    <w:rPr>
                      <w:b/>
                      <w:bCs/>
                      <w:color w:val="auto"/>
                      <w:spacing w:val="-20"/>
                      <w:kern w:val="0"/>
                      <w:sz w:val="21"/>
                      <w:szCs w:val="21"/>
                      <w:highlight w:val="none"/>
                    </w:rPr>
                    <w:t>总计</w:t>
                  </w:r>
                </w:p>
              </w:tc>
              <w:tc>
                <w:tcPr>
                  <w:tcW w:w="1755" w:type="pct"/>
                  <w:gridSpan w:val="4"/>
                  <w:shd w:val="clear" w:color="auto" w:fill="auto"/>
                  <w:noWrap w:val="0"/>
                  <w:vAlign w:val="center"/>
                </w:tcPr>
                <w:p w14:paraId="0B4E1B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r>
                    <w:rPr>
                      <w:b/>
                      <w:bCs/>
                      <w:color w:val="auto"/>
                      <w:spacing w:val="-20"/>
                      <w:kern w:val="0"/>
                      <w:sz w:val="21"/>
                      <w:szCs w:val="21"/>
                      <w:highlight w:val="none"/>
                    </w:rPr>
                    <w:t>其中</w:t>
                  </w:r>
                </w:p>
              </w:tc>
            </w:tr>
            <w:tr w14:paraId="30D13F1A">
              <w:tblPrEx>
                <w:tblBorders>
                  <w:top w:val="single" w:color="auto" w:sz="8"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23" w:hRule="atLeast"/>
                <w:jc w:val="center"/>
              </w:trPr>
              <w:tc>
                <w:tcPr>
                  <w:tcW w:w="609" w:type="pct"/>
                  <w:vMerge w:val="continue"/>
                  <w:shd w:val="clear" w:color="auto" w:fill="auto"/>
                  <w:noWrap w:val="0"/>
                  <w:vAlign w:val="center"/>
                </w:tcPr>
                <w:p w14:paraId="7E17DF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p>
              </w:tc>
              <w:tc>
                <w:tcPr>
                  <w:tcW w:w="468" w:type="pct"/>
                  <w:vMerge w:val="continue"/>
                  <w:shd w:val="clear" w:color="auto" w:fill="auto"/>
                  <w:noWrap w:val="0"/>
                  <w:vAlign w:val="center"/>
                </w:tcPr>
                <w:p w14:paraId="162E31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p>
              </w:tc>
              <w:tc>
                <w:tcPr>
                  <w:tcW w:w="494" w:type="pct"/>
                  <w:shd w:val="clear" w:color="auto" w:fill="auto"/>
                  <w:noWrap w:val="0"/>
                  <w:vAlign w:val="center"/>
                </w:tcPr>
                <w:p w14:paraId="1C7DF6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r>
                    <w:rPr>
                      <w:b/>
                      <w:bCs/>
                      <w:color w:val="auto"/>
                      <w:spacing w:val="-20"/>
                      <w:kern w:val="0"/>
                      <w:sz w:val="21"/>
                      <w:szCs w:val="21"/>
                      <w:highlight w:val="none"/>
                    </w:rPr>
                    <w:t>耕地</w:t>
                  </w:r>
                </w:p>
              </w:tc>
              <w:tc>
                <w:tcPr>
                  <w:tcW w:w="431" w:type="pct"/>
                  <w:shd w:val="clear" w:color="auto" w:fill="auto"/>
                  <w:noWrap w:val="0"/>
                  <w:vAlign w:val="center"/>
                </w:tcPr>
                <w:p w14:paraId="58B9C1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r>
                    <w:rPr>
                      <w:rFonts w:hint="eastAsia"/>
                      <w:b/>
                      <w:bCs/>
                      <w:color w:val="auto"/>
                      <w:sz w:val="21"/>
                      <w:szCs w:val="21"/>
                      <w:highlight w:val="none"/>
                      <w:lang w:eastAsia="zh-CN"/>
                    </w:rPr>
                    <w:t>林地草地</w:t>
                  </w:r>
                </w:p>
              </w:tc>
              <w:tc>
                <w:tcPr>
                  <w:tcW w:w="443" w:type="pct"/>
                  <w:shd w:val="clear" w:color="auto" w:fill="auto"/>
                  <w:noWrap w:val="0"/>
                  <w:vAlign w:val="center"/>
                </w:tcPr>
                <w:p w14:paraId="4DFC4D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r>
                    <w:rPr>
                      <w:rFonts w:hint="eastAsia"/>
                      <w:b/>
                      <w:bCs/>
                      <w:color w:val="auto"/>
                      <w:sz w:val="21"/>
                      <w:szCs w:val="21"/>
                      <w:highlight w:val="none"/>
                      <w:lang w:eastAsia="zh-CN"/>
                    </w:rPr>
                    <w:t>河滩地</w:t>
                  </w:r>
                </w:p>
              </w:tc>
              <w:tc>
                <w:tcPr>
                  <w:tcW w:w="376" w:type="pct"/>
                  <w:shd w:val="clear" w:color="auto" w:fill="auto"/>
                  <w:noWrap w:val="0"/>
                  <w:vAlign w:val="center"/>
                </w:tcPr>
                <w:p w14:paraId="069081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20"/>
                      <w:kern w:val="0"/>
                      <w:sz w:val="21"/>
                      <w:szCs w:val="21"/>
                      <w:highlight w:val="none"/>
                      <w:lang w:val="en-US" w:eastAsia="zh-CN"/>
                    </w:rPr>
                  </w:pPr>
                  <w:r>
                    <w:rPr>
                      <w:rFonts w:hint="eastAsia"/>
                      <w:b/>
                      <w:bCs/>
                      <w:color w:val="auto"/>
                      <w:spacing w:val="-20"/>
                      <w:kern w:val="0"/>
                      <w:sz w:val="21"/>
                      <w:szCs w:val="21"/>
                      <w:highlight w:val="none"/>
                      <w:lang w:val="en-US" w:eastAsia="zh-CN"/>
                    </w:rPr>
                    <w:t>其他土地</w:t>
                  </w:r>
                </w:p>
              </w:tc>
              <w:tc>
                <w:tcPr>
                  <w:tcW w:w="419" w:type="pct"/>
                  <w:vMerge w:val="continue"/>
                  <w:shd w:val="clear" w:color="auto" w:fill="auto"/>
                  <w:noWrap w:val="0"/>
                  <w:vAlign w:val="center"/>
                </w:tcPr>
                <w:p w14:paraId="5F3BA1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p>
              </w:tc>
              <w:tc>
                <w:tcPr>
                  <w:tcW w:w="376" w:type="pct"/>
                  <w:shd w:val="clear" w:color="auto" w:fill="auto"/>
                  <w:noWrap w:val="0"/>
                  <w:vAlign w:val="center"/>
                </w:tcPr>
                <w:p w14:paraId="556A91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r>
                    <w:rPr>
                      <w:b/>
                      <w:bCs/>
                      <w:color w:val="auto"/>
                      <w:spacing w:val="-20"/>
                      <w:kern w:val="0"/>
                      <w:sz w:val="21"/>
                      <w:szCs w:val="21"/>
                      <w:highlight w:val="none"/>
                    </w:rPr>
                    <w:t>耕地</w:t>
                  </w:r>
                </w:p>
              </w:tc>
              <w:tc>
                <w:tcPr>
                  <w:tcW w:w="419" w:type="pct"/>
                  <w:shd w:val="clear" w:color="auto" w:fill="auto"/>
                  <w:noWrap w:val="0"/>
                  <w:vAlign w:val="center"/>
                </w:tcPr>
                <w:p w14:paraId="669BE2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20"/>
                      <w:kern w:val="0"/>
                      <w:sz w:val="21"/>
                      <w:szCs w:val="21"/>
                      <w:highlight w:val="none"/>
                      <w:lang w:val="en-US" w:eastAsia="zh-CN"/>
                    </w:rPr>
                  </w:pPr>
                  <w:r>
                    <w:rPr>
                      <w:b/>
                      <w:bCs/>
                      <w:color w:val="auto"/>
                      <w:spacing w:val="-20"/>
                      <w:kern w:val="0"/>
                      <w:sz w:val="21"/>
                      <w:szCs w:val="21"/>
                      <w:highlight w:val="none"/>
                    </w:rPr>
                    <w:t>林地</w:t>
                  </w:r>
                  <w:r>
                    <w:rPr>
                      <w:rFonts w:hint="eastAsia"/>
                      <w:b/>
                      <w:bCs/>
                      <w:color w:val="auto"/>
                      <w:spacing w:val="-20"/>
                      <w:kern w:val="0"/>
                      <w:sz w:val="21"/>
                      <w:szCs w:val="21"/>
                      <w:highlight w:val="none"/>
                      <w:lang w:val="en-US" w:eastAsia="zh-CN"/>
                    </w:rPr>
                    <w:t>草地</w:t>
                  </w:r>
                </w:p>
              </w:tc>
              <w:tc>
                <w:tcPr>
                  <w:tcW w:w="471" w:type="pct"/>
                  <w:tcBorders>
                    <w:right w:val="single" w:color="auto" w:sz="4" w:space="0"/>
                  </w:tcBorders>
                  <w:shd w:val="clear" w:color="auto" w:fill="auto"/>
                  <w:noWrap w:val="0"/>
                  <w:vAlign w:val="center"/>
                </w:tcPr>
                <w:p w14:paraId="42CA0B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auto"/>
                      <w:spacing w:val="-20"/>
                      <w:kern w:val="0"/>
                      <w:sz w:val="21"/>
                      <w:szCs w:val="21"/>
                      <w:highlight w:val="none"/>
                      <w:lang w:val="en-US" w:eastAsia="zh-CN"/>
                    </w:rPr>
                  </w:pPr>
                  <w:r>
                    <w:rPr>
                      <w:rFonts w:hint="eastAsia"/>
                      <w:b/>
                      <w:bCs/>
                      <w:color w:val="auto"/>
                      <w:spacing w:val="-20"/>
                      <w:kern w:val="0"/>
                      <w:sz w:val="21"/>
                      <w:szCs w:val="21"/>
                      <w:highlight w:val="none"/>
                      <w:lang w:val="en-US" w:eastAsia="zh-CN"/>
                    </w:rPr>
                    <w:t>河滩地</w:t>
                  </w:r>
                </w:p>
              </w:tc>
              <w:tc>
                <w:tcPr>
                  <w:tcW w:w="488" w:type="pct"/>
                  <w:tcBorders>
                    <w:left w:val="single" w:color="auto" w:sz="4" w:space="0"/>
                  </w:tcBorders>
                  <w:shd w:val="clear" w:color="auto" w:fill="auto"/>
                  <w:noWrap w:val="0"/>
                  <w:vAlign w:val="center"/>
                </w:tcPr>
                <w:p w14:paraId="32CF52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pacing w:val="-20"/>
                      <w:kern w:val="0"/>
                      <w:sz w:val="21"/>
                      <w:szCs w:val="21"/>
                      <w:highlight w:val="none"/>
                      <w:lang w:val="en-US" w:eastAsia="zh-CN"/>
                    </w:rPr>
                  </w:pPr>
                  <w:r>
                    <w:rPr>
                      <w:rFonts w:hint="eastAsia"/>
                      <w:b/>
                      <w:bCs/>
                      <w:color w:val="auto"/>
                      <w:spacing w:val="-20"/>
                      <w:kern w:val="0"/>
                      <w:sz w:val="21"/>
                      <w:szCs w:val="21"/>
                      <w:highlight w:val="none"/>
                      <w:lang w:val="en-US" w:eastAsia="zh-CN"/>
                    </w:rPr>
                    <w:t>建设用地</w:t>
                  </w:r>
                </w:p>
              </w:tc>
            </w:tr>
            <w:tr w14:paraId="7F98EDA4">
              <w:tblPrEx>
                <w:tblBorders>
                  <w:top w:val="single" w:color="auto" w:sz="8"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23" w:hRule="atLeast"/>
                <w:jc w:val="center"/>
              </w:trPr>
              <w:tc>
                <w:tcPr>
                  <w:tcW w:w="609" w:type="pct"/>
                  <w:shd w:val="clear" w:color="auto" w:fill="auto"/>
                  <w:noWrap w:val="0"/>
                  <w:vAlign w:val="center"/>
                </w:tcPr>
                <w:p w14:paraId="29A10318">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石河镇二郎段、福兴段</w:t>
                  </w:r>
                </w:p>
              </w:tc>
              <w:tc>
                <w:tcPr>
                  <w:tcW w:w="468" w:type="pct"/>
                  <w:shd w:val="clear" w:color="auto" w:fill="auto"/>
                  <w:noWrap w:val="0"/>
                  <w:vAlign w:val="center"/>
                </w:tcPr>
                <w:p w14:paraId="37E60AFD">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67.87</w:t>
                  </w:r>
                </w:p>
              </w:tc>
              <w:tc>
                <w:tcPr>
                  <w:tcW w:w="494" w:type="pct"/>
                  <w:shd w:val="clear" w:color="auto" w:fill="auto"/>
                  <w:noWrap w:val="0"/>
                  <w:vAlign w:val="center"/>
                </w:tcPr>
                <w:p w14:paraId="3EC195FD">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12.08</w:t>
                  </w:r>
                </w:p>
              </w:tc>
              <w:tc>
                <w:tcPr>
                  <w:tcW w:w="431" w:type="pct"/>
                  <w:shd w:val="clear" w:color="auto" w:fill="auto"/>
                  <w:noWrap w:val="0"/>
                  <w:vAlign w:val="center"/>
                </w:tcPr>
                <w:p w14:paraId="068F8B79">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28.87</w:t>
                  </w:r>
                </w:p>
              </w:tc>
              <w:tc>
                <w:tcPr>
                  <w:tcW w:w="443" w:type="pct"/>
                  <w:shd w:val="clear" w:color="auto" w:fill="auto"/>
                  <w:noWrap w:val="0"/>
                  <w:vAlign w:val="center"/>
                </w:tcPr>
                <w:p w14:paraId="0D4C2115">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26.92</w:t>
                  </w:r>
                </w:p>
              </w:tc>
              <w:tc>
                <w:tcPr>
                  <w:tcW w:w="376" w:type="pct"/>
                  <w:shd w:val="clear" w:color="auto" w:fill="auto"/>
                  <w:noWrap w:val="0"/>
                  <w:vAlign w:val="center"/>
                </w:tcPr>
                <w:p w14:paraId="0F991F2E">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19" w:type="pct"/>
                  <w:shd w:val="clear" w:color="auto" w:fill="auto"/>
                  <w:noWrap w:val="0"/>
                  <w:vAlign w:val="center"/>
                </w:tcPr>
                <w:p w14:paraId="6207BDBC">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9.21</w:t>
                  </w:r>
                </w:p>
              </w:tc>
              <w:tc>
                <w:tcPr>
                  <w:tcW w:w="376" w:type="pct"/>
                  <w:shd w:val="clear" w:color="auto" w:fill="auto"/>
                  <w:noWrap w:val="0"/>
                  <w:vAlign w:val="center"/>
                </w:tcPr>
                <w:p w14:paraId="2A6A72C8">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1.18</w:t>
                  </w:r>
                </w:p>
              </w:tc>
              <w:tc>
                <w:tcPr>
                  <w:tcW w:w="419" w:type="pct"/>
                  <w:shd w:val="clear" w:color="auto" w:fill="auto"/>
                  <w:noWrap w:val="0"/>
                  <w:vAlign w:val="center"/>
                </w:tcPr>
                <w:p w14:paraId="39C7286F">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1.91</w:t>
                  </w:r>
                </w:p>
              </w:tc>
              <w:tc>
                <w:tcPr>
                  <w:tcW w:w="471" w:type="pct"/>
                  <w:tcBorders>
                    <w:right w:val="single" w:color="auto" w:sz="4" w:space="0"/>
                  </w:tcBorders>
                  <w:shd w:val="clear" w:color="auto" w:fill="auto"/>
                  <w:noWrap/>
                  <w:vAlign w:val="center"/>
                </w:tcPr>
                <w:p w14:paraId="3574F169">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6.12</w:t>
                  </w:r>
                </w:p>
              </w:tc>
              <w:tc>
                <w:tcPr>
                  <w:tcW w:w="488" w:type="pct"/>
                  <w:tcBorders>
                    <w:left w:val="single" w:color="auto" w:sz="4" w:space="0"/>
                  </w:tcBorders>
                  <w:shd w:val="clear" w:color="auto" w:fill="auto"/>
                  <w:noWrap/>
                  <w:vAlign w:val="center"/>
                </w:tcPr>
                <w:p w14:paraId="38B4A1B6">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34ABC94E">
              <w:tblPrEx>
                <w:tblBorders>
                  <w:top w:val="single" w:color="auto" w:sz="8"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23" w:hRule="atLeast"/>
                <w:jc w:val="center"/>
              </w:trPr>
              <w:tc>
                <w:tcPr>
                  <w:tcW w:w="609" w:type="pct"/>
                  <w:shd w:val="clear" w:color="auto" w:fill="auto"/>
                  <w:noWrap w:val="0"/>
                  <w:vAlign w:val="center"/>
                </w:tcPr>
                <w:p w14:paraId="573C9692">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石河镇石河镇段、双拱场段</w:t>
                  </w:r>
                </w:p>
              </w:tc>
              <w:tc>
                <w:tcPr>
                  <w:tcW w:w="468" w:type="pct"/>
                  <w:shd w:val="clear" w:color="auto" w:fill="auto"/>
                  <w:noWrap w:val="0"/>
                  <w:vAlign w:val="center"/>
                </w:tcPr>
                <w:p w14:paraId="396B49BA">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75.60</w:t>
                  </w:r>
                </w:p>
              </w:tc>
              <w:tc>
                <w:tcPr>
                  <w:tcW w:w="494" w:type="pct"/>
                  <w:shd w:val="clear" w:color="auto" w:fill="auto"/>
                  <w:noWrap w:val="0"/>
                  <w:vAlign w:val="center"/>
                </w:tcPr>
                <w:p w14:paraId="6B6D81F0">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431" w:type="pct"/>
                  <w:shd w:val="clear" w:color="auto" w:fill="auto"/>
                  <w:noWrap w:val="0"/>
                  <w:vAlign w:val="center"/>
                </w:tcPr>
                <w:p w14:paraId="2D2D8F73">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w:t>
                  </w:r>
                </w:p>
              </w:tc>
              <w:tc>
                <w:tcPr>
                  <w:tcW w:w="443" w:type="pct"/>
                  <w:shd w:val="clear" w:color="auto" w:fill="auto"/>
                  <w:noWrap w:val="0"/>
                  <w:vAlign w:val="center"/>
                </w:tcPr>
                <w:p w14:paraId="009CF1A8">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48.15</w:t>
                  </w:r>
                </w:p>
              </w:tc>
              <w:tc>
                <w:tcPr>
                  <w:tcW w:w="376" w:type="pct"/>
                  <w:shd w:val="clear" w:color="auto" w:fill="auto"/>
                  <w:noWrap w:val="0"/>
                  <w:vAlign w:val="center"/>
                </w:tcPr>
                <w:p w14:paraId="45D43068">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25.35</w:t>
                  </w:r>
                </w:p>
              </w:tc>
              <w:tc>
                <w:tcPr>
                  <w:tcW w:w="419" w:type="pct"/>
                  <w:shd w:val="clear" w:color="auto" w:fill="auto"/>
                  <w:noWrap w:val="0"/>
                  <w:vAlign w:val="center"/>
                </w:tcPr>
                <w:p w14:paraId="5E2A872E">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20.88</w:t>
                  </w:r>
                </w:p>
              </w:tc>
              <w:tc>
                <w:tcPr>
                  <w:tcW w:w="376" w:type="pct"/>
                  <w:shd w:val="clear" w:color="auto" w:fill="auto"/>
                  <w:noWrap w:val="0"/>
                  <w:vAlign w:val="center"/>
                </w:tcPr>
                <w:p w14:paraId="2C2F0DB1">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20.88</w:t>
                  </w:r>
                </w:p>
              </w:tc>
              <w:tc>
                <w:tcPr>
                  <w:tcW w:w="419" w:type="pct"/>
                  <w:shd w:val="clear" w:color="auto" w:fill="auto"/>
                  <w:noWrap w:val="0"/>
                  <w:vAlign w:val="center"/>
                </w:tcPr>
                <w:p w14:paraId="25D3C084">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71" w:type="pct"/>
                  <w:tcBorders>
                    <w:right w:val="single" w:color="auto" w:sz="4" w:space="0"/>
                  </w:tcBorders>
                  <w:shd w:val="clear" w:color="auto" w:fill="auto"/>
                  <w:noWrap/>
                  <w:vAlign w:val="center"/>
                </w:tcPr>
                <w:p w14:paraId="09A394B9">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88" w:type="pct"/>
                  <w:tcBorders>
                    <w:left w:val="single" w:color="auto" w:sz="4" w:space="0"/>
                  </w:tcBorders>
                  <w:shd w:val="clear" w:color="auto" w:fill="auto"/>
                  <w:noWrap/>
                  <w:vAlign w:val="center"/>
                </w:tcPr>
                <w:p w14:paraId="2867C80F">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r>
            <w:tr w14:paraId="6FD6C518">
              <w:tblPrEx>
                <w:tblBorders>
                  <w:top w:val="single" w:color="auto" w:sz="8"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23" w:hRule="atLeast"/>
                <w:jc w:val="center"/>
              </w:trPr>
              <w:tc>
                <w:tcPr>
                  <w:tcW w:w="609" w:type="pct"/>
                  <w:shd w:val="clear" w:color="auto" w:fill="auto"/>
                  <w:noWrap w:val="0"/>
                  <w:vAlign w:val="center"/>
                </w:tcPr>
                <w:p w14:paraId="192F86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val="0"/>
                      <w:color w:val="auto"/>
                      <w:spacing w:val="-20"/>
                      <w:kern w:val="0"/>
                      <w:sz w:val="21"/>
                      <w:szCs w:val="21"/>
                      <w:highlight w:val="none"/>
                      <w:lang w:val="en-US" w:eastAsia="zh-CN"/>
                    </w:rPr>
                  </w:pPr>
                  <w:r>
                    <w:rPr>
                      <w:rFonts w:hint="eastAsia"/>
                      <w:b w:val="0"/>
                      <w:bCs w:val="0"/>
                      <w:color w:val="auto"/>
                      <w:spacing w:val="-20"/>
                      <w:kern w:val="0"/>
                      <w:sz w:val="21"/>
                      <w:szCs w:val="21"/>
                      <w:highlight w:val="none"/>
                      <w:lang w:val="en-US" w:eastAsia="zh-CN"/>
                    </w:rPr>
                    <w:t>清河镇、杨家镇</w:t>
                  </w:r>
                </w:p>
              </w:tc>
              <w:tc>
                <w:tcPr>
                  <w:tcW w:w="468" w:type="pct"/>
                  <w:shd w:val="clear" w:color="auto" w:fill="auto"/>
                  <w:noWrap w:val="0"/>
                  <w:vAlign w:val="center"/>
                </w:tcPr>
                <w:p w14:paraId="74305D86">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134.1</w:t>
                  </w:r>
                </w:p>
              </w:tc>
              <w:tc>
                <w:tcPr>
                  <w:tcW w:w="494" w:type="pct"/>
                  <w:shd w:val="clear" w:color="auto" w:fill="auto"/>
                  <w:noWrap w:val="0"/>
                  <w:vAlign w:val="center"/>
                </w:tcPr>
                <w:p w14:paraId="4E3532CF">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88.05</w:t>
                  </w:r>
                </w:p>
              </w:tc>
              <w:tc>
                <w:tcPr>
                  <w:tcW w:w="431" w:type="pct"/>
                  <w:shd w:val="clear" w:color="auto" w:fill="auto"/>
                  <w:noWrap w:val="0"/>
                  <w:vAlign w:val="center"/>
                </w:tcPr>
                <w:p w14:paraId="4EAEF1C6">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17.85</w:t>
                  </w:r>
                </w:p>
              </w:tc>
              <w:tc>
                <w:tcPr>
                  <w:tcW w:w="443" w:type="pct"/>
                  <w:shd w:val="clear" w:color="auto" w:fill="auto"/>
                  <w:noWrap w:val="0"/>
                  <w:vAlign w:val="center"/>
                </w:tcPr>
                <w:p w14:paraId="46E45C99">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28.2</w:t>
                  </w:r>
                </w:p>
              </w:tc>
              <w:tc>
                <w:tcPr>
                  <w:tcW w:w="376" w:type="pct"/>
                  <w:shd w:val="clear" w:color="auto" w:fill="auto"/>
                  <w:noWrap w:val="0"/>
                  <w:vAlign w:val="center"/>
                </w:tcPr>
                <w:p w14:paraId="22C5B059">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419" w:type="pct"/>
                  <w:shd w:val="clear" w:color="auto" w:fill="auto"/>
                  <w:noWrap w:val="0"/>
                  <w:vAlign w:val="center"/>
                </w:tcPr>
                <w:p w14:paraId="54D9CC6E">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26.85</w:t>
                  </w:r>
                </w:p>
              </w:tc>
              <w:tc>
                <w:tcPr>
                  <w:tcW w:w="376" w:type="pct"/>
                  <w:shd w:val="clear" w:color="auto" w:fill="auto"/>
                  <w:noWrap w:val="0"/>
                  <w:vAlign w:val="center"/>
                </w:tcPr>
                <w:p w14:paraId="345EDD81">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419" w:type="pct"/>
                  <w:shd w:val="clear" w:color="auto" w:fill="auto"/>
                  <w:noWrap w:val="0"/>
                  <w:vAlign w:val="center"/>
                </w:tcPr>
                <w:p w14:paraId="7EACAECF">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471" w:type="pct"/>
                  <w:tcBorders>
                    <w:right w:val="single" w:color="auto" w:sz="4" w:space="0"/>
                  </w:tcBorders>
                  <w:shd w:val="clear" w:color="auto" w:fill="auto"/>
                  <w:noWrap/>
                  <w:vAlign w:val="center"/>
                </w:tcPr>
                <w:p w14:paraId="2F97F51C">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21.35</w:t>
                  </w:r>
                </w:p>
              </w:tc>
              <w:tc>
                <w:tcPr>
                  <w:tcW w:w="488" w:type="pct"/>
                  <w:tcBorders>
                    <w:left w:val="single" w:color="auto" w:sz="4" w:space="0"/>
                  </w:tcBorders>
                  <w:shd w:val="clear" w:color="auto" w:fill="auto"/>
                  <w:noWrap/>
                  <w:vAlign w:val="center"/>
                </w:tcPr>
                <w:p w14:paraId="47B46D12">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r>
            <w:tr w14:paraId="46BA96F2">
              <w:tblPrEx>
                <w:tblBorders>
                  <w:top w:val="single" w:color="auto" w:sz="8" w:space="0"/>
                  <w:left w:val="single" w:color="auto" w:sz="4" w:space="0"/>
                  <w:bottom w:val="single" w:color="auto" w:sz="4" w:space="0"/>
                  <w:right w:val="single" w:color="auto" w:sz="4" w:space="0"/>
                  <w:insideH w:val="single" w:color="auto" w:sz="4" w:space="0"/>
                  <w:insideV w:val="single" w:color="auto" w:sz="8" w:space="0"/>
                </w:tblBorders>
                <w:tblCellMar>
                  <w:top w:w="0" w:type="dxa"/>
                  <w:left w:w="108" w:type="dxa"/>
                  <w:bottom w:w="0" w:type="dxa"/>
                  <w:right w:w="108" w:type="dxa"/>
                </w:tblCellMar>
              </w:tblPrEx>
              <w:trPr>
                <w:trHeight w:val="23" w:hRule="atLeast"/>
                <w:jc w:val="center"/>
              </w:trPr>
              <w:tc>
                <w:tcPr>
                  <w:tcW w:w="609" w:type="pct"/>
                  <w:shd w:val="clear" w:color="auto" w:fill="auto"/>
                  <w:noWrap/>
                  <w:vAlign w:val="center"/>
                </w:tcPr>
                <w:p w14:paraId="67D9E3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pacing w:val="-20"/>
                      <w:kern w:val="0"/>
                      <w:sz w:val="21"/>
                      <w:szCs w:val="21"/>
                      <w:highlight w:val="none"/>
                    </w:rPr>
                  </w:pPr>
                  <w:r>
                    <w:rPr>
                      <w:b/>
                      <w:bCs/>
                      <w:color w:val="auto"/>
                      <w:spacing w:val="-20"/>
                      <w:kern w:val="0"/>
                      <w:sz w:val="21"/>
                      <w:szCs w:val="21"/>
                      <w:highlight w:val="none"/>
                    </w:rPr>
                    <w:t>合计</w:t>
                  </w:r>
                </w:p>
              </w:tc>
              <w:tc>
                <w:tcPr>
                  <w:tcW w:w="468" w:type="pct"/>
                  <w:shd w:val="clear" w:color="auto" w:fill="auto"/>
                  <w:noWrap w:val="0"/>
                  <w:vAlign w:val="center"/>
                </w:tcPr>
                <w:p w14:paraId="6D978250">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 = sum(B5:B7) \* MERGEFORMAT </w:instrText>
                  </w:r>
                  <w:r>
                    <w:rPr>
                      <w:rFonts w:hint="default" w:ascii="Times New Roman" w:hAnsi="Times New Roman" w:cs="Times New Roman"/>
                      <w:color w:val="auto"/>
                      <w:sz w:val="21"/>
                      <w:szCs w:val="21"/>
                      <w:highlight w:val="none"/>
                      <w:lang w:eastAsia="zh-CN"/>
                    </w:rPr>
                    <w:fldChar w:fldCharType="separate"/>
                  </w:r>
                  <w:r>
                    <w:rPr>
                      <w:rFonts w:hint="default" w:ascii="Times New Roman" w:hAnsi="Times New Roman" w:cs="Times New Roman"/>
                      <w:color w:val="auto"/>
                      <w:sz w:val="21"/>
                      <w:szCs w:val="21"/>
                      <w:highlight w:val="none"/>
                      <w:lang w:eastAsia="zh-CN"/>
                    </w:rPr>
                    <w:t>277.57</w:t>
                  </w:r>
                  <w:r>
                    <w:rPr>
                      <w:rFonts w:hint="default" w:ascii="Times New Roman" w:hAnsi="Times New Roman" w:cs="Times New Roman"/>
                      <w:color w:val="auto"/>
                      <w:sz w:val="21"/>
                      <w:szCs w:val="21"/>
                      <w:highlight w:val="none"/>
                      <w:lang w:eastAsia="zh-CN"/>
                    </w:rPr>
                    <w:fldChar w:fldCharType="end"/>
                  </w:r>
                </w:p>
              </w:tc>
              <w:tc>
                <w:tcPr>
                  <w:tcW w:w="494" w:type="pct"/>
                  <w:shd w:val="clear" w:color="auto" w:fill="auto"/>
                  <w:noWrap w:val="0"/>
                  <w:vAlign w:val="center"/>
                </w:tcPr>
                <w:p w14:paraId="105AB93D">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 = sum(C5:C7) \* MERGEFORMAT </w:instrText>
                  </w:r>
                  <w:r>
                    <w:rPr>
                      <w:rFonts w:hint="default" w:ascii="Times New Roman" w:hAnsi="Times New Roman" w:cs="Times New Roman"/>
                      <w:color w:val="auto"/>
                      <w:sz w:val="21"/>
                      <w:szCs w:val="21"/>
                      <w:highlight w:val="none"/>
                      <w:lang w:eastAsia="zh-CN"/>
                    </w:rPr>
                    <w:fldChar w:fldCharType="separate"/>
                  </w:r>
                  <w:r>
                    <w:rPr>
                      <w:rFonts w:hint="default" w:ascii="Times New Roman" w:hAnsi="Times New Roman" w:cs="Times New Roman"/>
                      <w:color w:val="auto"/>
                      <w:sz w:val="21"/>
                      <w:szCs w:val="21"/>
                      <w:highlight w:val="none"/>
                      <w:lang w:eastAsia="zh-CN"/>
                    </w:rPr>
                    <w:t>101.33</w:t>
                  </w:r>
                  <w:r>
                    <w:rPr>
                      <w:rFonts w:hint="default" w:ascii="Times New Roman" w:hAnsi="Times New Roman" w:cs="Times New Roman"/>
                      <w:color w:val="auto"/>
                      <w:sz w:val="21"/>
                      <w:szCs w:val="21"/>
                      <w:highlight w:val="none"/>
                      <w:lang w:eastAsia="zh-CN"/>
                    </w:rPr>
                    <w:fldChar w:fldCharType="end"/>
                  </w:r>
                </w:p>
              </w:tc>
              <w:tc>
                <w:tcPr>
                  <w:tcW w:w="431" w:type="pct"/>
                  <w:shd w:val="clear" w:color="auto" w:fill="auto"/>
                  <w:noWrap w:val="0"/>
                  <w:vAlign w:val="center"/>
                </w:tcPr>
                <w:p w14:paraId="5022F017">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 = sum(D5:D7) \* MERGEFORMAT </w:instrText>
                  </w:r>
                  <w:r>
                    <w:rPr>
                      <w:rFonts w:hint="default" w:ascii="Times New Roman" w:hAnsi="Times New Roman" w:cs="Times New Roman"/>
                      <w:color w:val="auto"/>
                      <w:sz w:val="21"/>
                      <w:szCs w:val="21"/>
                      <w:highlight w:val="none"/>
                      <w:lang w:eastAsia="zh-CN"/>
                    </w:rPr>
                    <w:fldChar w:fldCharType="separate"/>
                  </w:r>
                  <w:r>
                    <w:rPr>
                      <w:rFonts w:hint="default" w:ascii="Times New Roman" w:hAnsi="Times New Roman" w:cs="Times New Roman"/>
                      <w:color w:val="auto"/>
                      <w:sz w:val="21"/>
                      <w:szCs w:val="21"/>
                      <w:highlight w:val="none"/>
                      <w:lang w:eastAsia="zh-CN"/>
                    </w:rPr>
                    <w:t>47.62</w:t>
                  </w:r>
                  <w:r>
                    <w:rPr>
                      <w:rFonts w:hint="default" w:ascii="Times New Roman" w:hAnsi="Times New Roman" w:cs="Times New Roman"/>
                      <w:color w:val="auto"/>
                      <w:sz w:val="21"/>
                      <w:szCs w:val="21"/>
                      <w:highlight w:val="none"/>
                      <w:lang w:eastAsia="zh-CN"/>
                    </w:rPr>
                    <w:fldChar w:fldCharType="end"/>
                  </w:r>
                </w:p>
              </w:tc>
              <w:tc>
                <w:tcPr>
                  <w:tcW w:w="443" w:type="pct"/>
                  <w:shd w:val="clear" w:color="auto" w:fill="auto"/>
                  <w:noWrap w:val="0"/>
                  <w:vAlign w:val="center"/>
                </w:tcPr>
                <w:p w14:paraId="1E59C612">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 = sum(E5:E7) \* MERGEFORMAT </w:instrText>
                  </w:r>
                  <w:r>
                    <w:rPr>
                      <w:rFonts w:hint="default" w:ascii="Times New Roman" w:hAnsi="Times New Roman" w:cs="Times New Roman"/>
                      <w:color w:val="auto"/>
                      <w:sz w:val="21"/>
                      <w:szCs w:val="21"/>
                      <w:highlight w:val="none"/>
                      <w:lang w:eastAsia="zh-CN"/>
                    </w:rPr>
                    <w:fldChar w:fldCharType="separate"/>
                  </w:r>
                  <w:r>
                    <w:rPr>
                      <w:rFonts w:hint="default" w:ascii="Times New Roman" w:hAnsi="Times New Roman" w:cs="Times New Roman"/>
                      <w:color w:val="auto"/>
                      <w:sz w:val="21"/>
                      <w:szCs w:val="21"/>
                      <w:highlight w:val="none"/>
                      <w:lang w:eastAsia="zh-CN"/>
                    </w:rPr>
                    <w:t>103.27</w:t>
                  </w:r>
                  <w:r>
                    <w:rPr>
                      <w:rFonts w:hint="default" w:ascii="Times New Roman" w:hAnsi="Times New Roman" w:cs="Times New Roman"/>
                      <w:color w:val="auto"/>
                      <w:sz w:val="21"/>
                      <w:szCs w:val="21"/>
                      <w:highlight w:val="none"/>
                      <w:lang w:eastAsia="zh-CN"/>
                    </w:rPr>
                    <w:fldChar w:fldCharType="end"/>
                  </w:r>
                </w:p>
              </w:tc>
              <w:tc>
                <w:tcPr>
                  <w:tcW w:w="376" w:type="pct"/>
                  <w:shd w:val="clear" w:color="auto" w:fill="auto"/>
                  <w:noWrap w:val="0"/>
                  <w:vAlign w:val="center"/>
                </w:tcPr>
                <w:p w14:paraId="3DED2BA6">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25.35</w:t>
                  </w:r>
                </w:p>
              </w:tc>
              <w:tc>
                <w:tcPr>
                  <w:tcW w:w="419" w:type="pct"/>
                  <w:shd w:val="clear" w:color="auto" w:fill="auto"/>
                  <w:noWrap w:val="0"/>
                  <w:vAlign w:val="center"/>
                </w:tcPr>
                <w:p w14:paraId="361B2AF1">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 = sum(G5:G7) \* MERGEFORMAT </w:instrText>
                  </w:r>
                  <w:r>
                    <w:rPr>
                      <w:rFonts w:hint="default" w:ascii="Times New Roman" w:hAnsi="Times New Roman" w:cs="Times New Roman"/>
                      <w:color w:val="auto"/>
                      <w:sz w:val="21"/>
                      <w:szCs w:val="21"/>
                      <w:highlight w:val="none"/>
                      <w:lang w:eastAsia="zh-CN"/>
                    </w:rPr>
                    <w:fldChar w:fldCharType="separate"/>
                  </w:r>
                  <w:r>
                    <w:rPr>
                      <w:rFonts w:hint="default" w:ascii="Times New Roman" w:hAnsi="Times New Roman" w:cs="Times New Roman"/>
                      <w:color w:val="auto"/>
                      <w:sz w:val="21"/>
                      <w:szCs w:val="21"/>
                      <w:highlight w:val="none"/>
                      <w:lang w:eastAsia="zh-CN"/>
                    </w:rPr>
                    <w:t>56.94</w:t>
                  </w:r>
                  <w:r>
                    <w:rPr>
                      <w:rFonts w:hint="default" w:ascii="Times New Roman" w:hAnsi="Times New Roman" w:cs="Times New Roman"/>
                      <w:color w:val="auto"/>
                      <w:sz w:val="21"/>
                      <w:szCs w:val="21"/>
                      <w:highlight w:val="none"/>
                      <w:lang w:eastAsia="zh-CN"/>
                    </w:rPr>
                    <w:fldChar w:fldCharType="end"/>
                  </w:r>
                </w:p>
              </w:tc>
              <w:tc>
                <w:tcPr>
                  <w:tcW w:w="376" w:type="pct"/>
                  <w:shd w:val="clear" w:color="auto" w:fill="auto"/>
                  <w:noWrap w:val="0"/>
                  <w:vAlign w:val="center"/>
                </w:tcPr>
                <w:p w14:paraId="7C8FB34A">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 = sum(H5:H7) \* MERGEFORMAT </w:instrText>
                  </w:r>
                  <w:r>
                    <w:rPr>
                      <w:rFonts w:hint="default" w:ascii="Times New Roman" w:hAnsi="Times New Roman" w:cs="Times New Roman"/>
                      <w:color w:val="auto"/>
                      <w:sz w:val="21"/>
                      <w:szCs w:val="21"/>
                      <w:highlight w:val="none"/>
                      <w:lang w:eastAsia="zh-CN"/>
                    </w:rPr>
                    <w:fldChar w:fldCharType="separate"/>
                  </w:r>
                  <w:r>
                    <w:rPr>
                      <w:rFonts w:hint="default" w:ascii="Times New Roman" w:hAnsi="Times New Roman" w:cs="Times New Roman"/>
                      <w:color w:val="auto"/>
                      <w:sz w:val="21"/>
                      <w:szCs w:val="21"/>
                      <w:highlight w:val="none"/>
                      <w:lang w:eastAsia="zh-CN"/>
                    </w:rPr>
                    <w:t>22.06</w:t>
                  </w:r>
                  <w:r>
                    <w:rPr>
                      <w:rFonts w:hint="default" w:ascii="Times New Roman" w:hAnsi="Times New Roman" w:cs="Times New Roman"/>
                      <w:color w:val="auto"/>
                      <w:sz w:val="21"/>
                      <w:szCs w:val="21"/>
                      <w:highlight w:val="none"/>
                      <w:lang w:eastAsia="zh-CN"/>
                    </w:rPr>
                    <w:fldChar w:fldCharType="end"/>
                  </w:r>
                </w:p>
              </w:tc>
              <w:tc>
                <w:tcPr>
                  <w:tcW w:w="419" w:type="pct"/>
                  <w:shd w:val="clear" w:color="auto" w:fill="auto"/>
                  <w:noWrap w:val="0"/>
                  <w:vAlign w:val="center"/>
                </w:tcPr>
                <w:p w14:paraId="5C63292D">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1.91</w:t>
                  </w:r>
                </w:p>
              </w:tc>
              <w:tc>
                <w:tcPr>
                  <w:tcW w:w="471" w:type="pct"/>
                  <w:tcBorders>
                    <w:right w:val="single" w:color="auto" w:sz="4" w:space="0"/>
                  </w:tcBorders>
                  <w:shd w:val="clear" w:color="auto" w:fill="auto"/>
                  <w:noWrap w:val="0"/>
                  <w:vAlign w:val="center"/>
                </w:tcPr>
                <w:p w14:paraId="7ACAF462">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fldChar w:fldCharType="begin"/>
                  </w:r>
                  <w:r>
                    <w:rPr>
                      <w:rFonts w:hint="default" w:ascii="Times New Roman" w:hAnsi="Times New Roman" w:cs="Times New Roman"/>
                      <w:color w:val="auto"/>
                      <w:sz w:val="21"/>
                      <w:szCs w:val="21"/>
                      <w:highlight w:val="none"/>
                      <w:lang w:eastAsia="zh-CN"/>
                    </w:rPr>
                    <w:instrText xml:space="preserve"> = sum(J5:J7) \* MERGEFORMAT </w:instrText>
                  </w:r>
                  <w:r>
                    <w:rPr>
                      <w:rFonts w:hint="default" w:ascii="Times New Roman" w:hAnsi="Times New Roman" w:cs="Times New Roman"/>
                      <w:color w:val="auto"/>
                      <w:sz w:val="21"/>
                      <w:szCs w:val="21"/>
                      <w:highlight w:val="none"/>
                      <w:lang w:eastAsia="zh-CN"/>
                    </w:rPr>
                    <w:fldChar w:fldCharType="separate"/>
                  </w:r>
                  <w:r>
                    <w:rPr>
                      <w:rFonts w:hint="default" w:ascii="Times New Roman" w:hAnsi="Times New Roman" w:cs="Times New Roman"/>
                      <w:color w:val="auto"/>
                      <w:sz w:val="21"/>
                      <w:szCs w:val="21"/>
                      <w:highlight w:val="none"/>
                      <w:lang w:eastAsia="zh-CN"/>
                    </w:rPr>
                    <w:t>27.47</w:t>
                  </w:r>
                  <w:r>
                    <w:rPr>
                      <w:rFonts w:hint="default" w:ascii="Times New Roman" w:hAnsi="Times New Roman" w:cs="Times New Roman"/>
                      <w:color w:val="auto"/>
                      <w:sz w:val="21"/>
                      <w:szCs w:val="21"/>
                      <w:highlight w:val="none"/>
                      <w:lang w:eastAsia="zh-CN"/>
                    </w:rPr>
                    <w:fldChar w:fldCharType="end"/>
                  </w:r>
                </w:p>
              </w:tc>
              <w:tc>
                <w:tcPr>
                  <w:tcW w:w="488" w:type="pct"/>
                  <w:tcBorders>
                    <w:left w:val="single" w:color="auto" w:sz="4" w:space="0"/>
                  </w:tcBorders>
                  <w:shd w:val="clear" w:color="auto" w:fill="auto"/>
                  <w:noWrap w:val="0"/>
                  <w:vAlign w:val="center"/>
                </w:tcPr>
                <w:p w14:paraId="48FDD60A">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r>
          </w:tbl>
          <w:p w14:paraId="54D95E6B">
            <w:pPr>
              <w:pStyle w:val="21"/>
              <w:ind w:firstLine="0" w:firstLineChars="0"/>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2.3.3.2 工程拆迁</w:t>
            </w:r>
          </w:p>
          <w:p w14:paraId="028D2494">
            <w:pPr>
              <w:pStyle w:val="21"/>
              <w:ind w:firstLine="480"/>
              <w:jc w:val="both"/>
              <w:rPr>
                <w:rFonts w:hint="default" w:ascii="Times New Roman" w:hAnsi="Times New Roman" w:cs="Times New Roman"/>
                <w:b/>
                <w:bCs/>
                <w:color w:val="auto"/>
                <w:highlight w:val="none"/>
              </w:rPr>
            </w:pPr>
            <w:r>
              <w:rPr>
                <w:rFonts w:hint="default" w:ascii="Times New Roman" w:hAnsi="Times New Roman" w:cs="Times New Roman"/>
                <w:color w:val="auto"/>
                <w:highlight w:val="none"/>
              </w:rPr>
              <w:t>本项目不涉及人口搬迁和房屋拆迁。</w:t>
            </w:r>
          </w:p>
          <w:p w14:paraId="5DE9BAD4">
            <w:pPr>
              <w:pStyle w:val="21"/>
              <w:ind w:firstLine="0" w:firstLineChars="0"/>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2.3.4 土石方平衡</w:t>
            </w:r>
          </w:p>
          <w:p w14:paraId="4C8E258A">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cs="Times New Roman"/>
                <w:b/>
                <w:bCs/>
                <w:color w:val="auto"/>
                <w:highlight w:val="none"/>
                <w:lang w:val="en-US" w:eastAsia="zh-CN"/>
              </w:rPr>
            </w:pPr>
            <w:r>
              <w:rPr>
                <w:rFonts w:hint="eastAsia" w:cs="Times New Roman"/>
                <w:b/>
                <w:bCs/>
                <w:color w:val="auto"/>
                <w:highlight w:val="none"/>
                <w:lang w:val="en-US" w:eastAsia="zh-CN"/>
              </w:rPr>
              <w:t>2.3.4.1 柳城河石河镇段</w:t>
            </w:r>
          </w:p>
          <w:p w14:paraId="09D7B92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eastAsia" w:cs="Times New Roman"/>
                <w:color w:val="auto"/>
                <w:highlight w:val="none"/>
                <w:lang w:val="en-US" w:eastAsia="zh-CN"/>
              </w:rPr>
              <w:t>石河镇二郎段、福兴段</w:t>
            </w:r>
          </w:p>
          <w:p w14:paraId="6C5C33F0">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sz w:val="24"/>
                <w:szCs w:val="24"/>
                <w:highlight w:val="none"/>
              </w:rPr>
            </w:pPr>
            <w:r>
              <w:rPr>
                <w:rFonts w:hint="eastAsia" w:cs="Times New Roman"/>
                <w:color w:val="auto"/>
                <w:highlight w:val="none"/>
                <w:lang w:val="en-US" w:eastAsia="zh-CN"/>
              </w:rPr>
              <w:t>石河镇二郎段、福兴段</w:t>
            </w:r>
            <w:r>
              <w:rPr>
                <w:rFonts w:hint="default" w:ascii="Times New Roman" w:hAnsi="Times New Roman" w:cs="Times New Roman"/>
                <w:color w:val="auto"/>
                <w:highlight w:val="none"/>
              </w:rPr>
              <w:t>土石开挖量为</w:t>
            </w:r>
            <w:r>
              <w:rPr>
                <w:rFonts w:hint="eastAsia" w:cs="Times New Roman"/>
                <w:color w:val="auto"/>
                <w:highlight w:val="none"/>
                <w:lang w:val="en-US" w:eastAsia="zh-CN"/>
              </w:rPr>
              <w:t>14.66万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（自然方），其中土方开挖</w:t>
            </w:r>
            <w:r>
              <w:rPr>
                <w:rFonts w:hint="eastAsia" w:cs="Times New Roman"/>
                <w:color w:val="auto"/>
                <w:highlight w:val="none"/>
                <w:lang w:val="en-US" w:eastAsia="zh-CN"/>
              </w:rPr>
              <w:t>6.20万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（自然方），石方开挖</w:t>
            </w:r>
            <w:r>
              <w:rPr>
                <w:rFonts w:hint="eastAsia" w:cs="Times New Roman"/>
                <w:color w:val="auto"/>
                <w:highlight w:val="none"/>
                <w:lang w:val="en-US" w:eastAsia="zh-CN"/>
              </w:rPr>
              <w:t>0.35万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（自然方），河道清淤（土方）</w:t>
            </w:r>
            <w:r>
              <w:rPr>
                <w:rFonts w:hint="eastAsia" w:cs="Times New Roman"/>
                <w:color w:val="auto"/>
                <w:highlight w:val="none"/>
                <w:lang w:val="en-US" w:eastAsia="zh-CN"/>
              </w:rPr>
              <w:t>8.11万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（自然方）</w:t>
            </w:r>
            <w:r>
              <w:rPr>
                <w:rFonts w:hint="default" w:ascii="Times New Roman" w:hAnsi="Times New Roman" w:cs="Times New Roman"/>
                <w:color w:val="auto"/>
                <w:szCs w:val="24"/>
                <w:highlight w:val="none"/>
              </w:rPr>
              <w:t>，土石方开挖料用于堤身填筑及土石围堰填筑</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highlight w:val="none"/>
              </w:rPr>
              <w:t>本工程</w:t>
            </w:r>
            <w:r>
              <w:rPr>
                <w:rFonts w:hint="eastAsia" w:cs="Times New Roman"/>
                <w:color w:val="auto"/>
                <w:highlight w:val="none"/>
                <w:lang w:val="en-US" w:eastAsia="zh-CN"/>
              </w:rPr>
              <w:t>段</w:t>
            </w:r>
            <w:r>
              <w:rPr>
                <w:rFonts w:hint="default" w:ascii="Times New Roman" w:hAnsi="Times New Roman" w:cs="Times New Roman"/>
                <w:color w:val="auto"/>
                <w:highlight w:val="none"/>
              </w:rPr>
              <w:t>需填筑料总量约</w:t>
            </w:r>
            <w:r>
              <w:rPr>
                <w:rFonts w:hint="eastAsia" w:cs="Times New Roman"/>
                <w:color w:val="auto"/>
                <w:highlight w:val="none"/>
                <w:lang w:val="en-US" w:eastAsia="zh-CN"/>
              </w:rPr>
              <w:t>5.21万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自然</w:t>
            </w:r>
            <w:r>
              <w:rPr>
                <w:rFonts w:hint="default" w:ascii="Times New Roman" w:hAnsi="Times New Roman" w:cs="Times New Roman"/>
                <w:color w:val="auto"/>
                <w:highlight w:val="none"/>
              </w:rPr>
              <w:t>方），工程土石方开挖可利用于填筑料的有</w:t>
            </w:r>
            <w:r>
              <w:rPr>
                <w:rFonts w:hint="eastAsia" w:cs="Times New Roman"/>
                <w:color w:val="auto"/>
                <w:highlight w:val="none"/>
                <w:lang w:val="en-US" w:eastAsia="zh-CN"/>
              </w:rPr>
              <w:t>4.89万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（实方），本工程40km范围内，无可供开采的填筑料场，不足部分的填筑料，可至九盆料场购买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借方</w:t>
            </w:r>
            <w:r>
              <w:rPr>
                <w:rFonts w:hint="eastAsia" w:cs="Times New Roman"/>
                <w:color w:val="auto"/>
                <w:highlight w:val="none"/>
                <w:lang w:val="en-US" w:eastAsia="zh-CN"/>
              </w:rPr>
              <w:t>0.32万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lang w:val="en-US" w:eastAsia="zh-CN"/>
              </w:rPr>
              <w:t>（自然方）</w:t>
            </w:r>
            <w:r>
              <w:rPr>
                <w:rFonts w:hint="default" w:ascii="Times New Roman" w:hAnsi="Times New Roman" w:cs="Times New Roman"/>
                <w:color w:val="auto"/>
                <w:szCs w:val="24"/>
                <w:highlight w:val="none"/>
                <w:lang w:eastAsia="zh-CN"/>
              </w:rPr>
              <w:t>。</w:t>
            </w:r>
            <w:r>
              <w:rPr>
                <w:rFonts w:hint="default" w:ascii="Times New Roman" w:hAnsi="Times New Roman" w:eastAsia="宋体" w:cs="Times New Roman"/>
                <w:color w:val="auto"/>
                <w:highlight w:val="none"/>
                <w:lang w:val="en-US" w:eastAsia="zh-CN"/>
              </w:rPr>
              <w:t>用于</w:t>
            </w:r>
            <w:r>
              <w:rPr>
                <w:rFonts w:hint="default" w:ascii="Times New Roman" w:hAnsi="Times New Roman" w:cs="Times New Roman"/>
                <w:color w:val="auto"/>
                <w:highlight w:val="none"/>
                <w:lang w:val="en-US" w:eastAsia="zh-CN"/>
              </w:rPr>
              <w:t>围堰工程</w:t>
            </w:r>
            <w:r>
              <w:rPr>
                <w:rFonts w:hint="default" w:ascii="Times New Roman" w:hAnsi="Times New Roman" w:eastAsia="宋体" w:cs="Times New Roman"/>
                <w:color w:val="auto"/>
                <w:highlight w:val="none"/>
                <w:lang w:val="en-US" w:eastAsia="zh-CN"/>
              </w:rPr>
              <w:t>的开挖料</w:t>
            </w:r>
            <w:r>
              <w:rPr>
                <w:rFonts w:hint="eastAsia" w:cs="Times New Roman"/>
                <w:color w:val="auto"/>
                <w:highlight w:val="none"/>
                <w:lang w:val="en-US" w:eastAsia="zh-CN"/>
              </w:rPr>
              <w:t>2.96万</w:t>
            </w:r>
            <w:r>
              <w:rPr>
                <w:rFonts w:hint="default" w:ascii="Times New Roman" w:hAnsi="Times New Roman" w:cs="Times New Roman"/>
                <w:color w:val="auto"/>
                <w:highlight w:val="none"/>
                <w:lang w:eastAsia="zh-CN"/>
              </w:rPr>
              <w:t>m³（自然方）</w:t>
            </w:r>
            <w:r>
              <w:rPr>
                <w:rFonts w:hint="eastAsia" w:cs="Times New Roman"/>
                <w:color w:val="auto"/>
                <w:highlight w:val="none"/>
                <w:lang w:eastAsia="zh-CN"/>
              </w:rPr>
              <w:t>，</w:t>
            </w:r>
            <w:r>
              <w:rPr>
                <w:rFonts w:hint="eastAsia" w:ascii="Times New Roman" w:hAnsi="Times New Roman" w:eastAsia="宋体" w:cs="Times New Roman"/>
                <w:color w:val="auto"/>
                <w:highlight w:val="none"/>
                <w:lang w:val="en-US" w:eastAsia="zh-CN"/>
              </w:rPr>
              <w:t>用于</w:t>
            </w:r>
            <w:r>
              <w:rPr>
                <w:rFonts w:hint="eastAsia" w:ascii="Times New Roman" w:hAnsi="Times New Roman" w:eastAsia="宋体" w:cs="宋体"/>
                <w:color w:val="auto"/>
                <w:highlight w:val="none"/>
                <w:lang w:val="en-US" w:eastAsia="zh-CN"/>
              </w:rPr>
              <w:t>堤后低洼地回填及道路平整的</w:t>
            </w:r>
            <w:r>
              <w:rPr>
                <w:rFonts w:hint="default" w:ascii="Times New Roman" w:hAnsi="Times New Roman" w:eastAsia="宋体" w:cs="Times New Roman"/>
                <w:color w:val="auto"/>
                <w:highlight w:val="none"/>
                <w:lang w:val="en-US" w:eastAsia="zh-CN"/>
              </w:rPr>
              <w:t>开挖料</w:t>
            </w:r>
            <w:r>
              <w:rPr>
                <w:rFonts w:hint="eastAsia" w:cs="Times New Roman"/>
                <w:color w:val="auto"/>
                <w:highlight w:val="none"/>
                <w:lang w:val="en-US" w:eastAsia="zh-CN"/>
              </w:rPr>
              <w:t>4.49万</w:t>
            </w:r>
            <w:r>
              <w:rPr>
                <w:rFonts w:hint="eastAsia" w:cs="Times New Roman"/>
                <w:color w:val="auto"/>
                <w:highlight w:val="none"/>
                <w:lang w:eastAsia="zh-CN"/>
              </w:rPr>
              <w:t>m³（自然方）</w:t>
            </w:r>
            <w:r>
              <w:rPr>
                <w:rFonts w:hint="default" w:ascii="Times New Roman" w:hAnsi="Times New Roman" w:cs="Times New Roman"/>
                <w:color w:val="auto"/>
                <w:szCs w:val="24"/>
                <w:highlight w:val="none"/>
              </w:rPr>
              <w:t>。经土石方平衡后，</w:t>
            </w:r>
            <w:r>
              <w:rPr>
                <w:rFonts w:hint="eastAsia" w:cs="Times New Roman"/>
                <w:color w:val="auto"/>
                <w:szCs w:val="24"/>
                <w:highlight w:val="none"/>
                <w:lang w:val="en-US" w:eastAsia="zh-CN"/>
              </w:rPr>
              <w:t>该工程段</w:t>
            </w:r>
            <w:r>
              <w:rPr>
                <w:rFonts w:hint="default" w:ascii="Times New Roman" w:hAnsi="Times New Roman" w:cs="Times New Roman"/>
                <w:color w:val="auto"/>
                <w:szCs w:val="24"/>
                <w:highlight w:val="none"/>
              </w:rPr>
              <w:t>弃渣量为</w:t>
            </w:r>
            <w:r>
              <w:rPr>
                <w:rFonts w:hint="eastAsia" w:cs="Times New Roman"/>
                <w:color w:val="auto"/>
                <w:szCs w:val="24"/>
                <w:highlight w:val="none"/>
                <w:lang w:val="en-US" w:eastAsia="zh-CN"/>
              </w:rPr>
              <w:t>1.68</w:t>
            </w:r>
            <w:r>
              <w:rPr>
                <w:rFonts w:hint="eastAsia" w:cs="Times New Roman"/>
                <w:color w:val="auto"/>
                <w:highlight w:val="none"/>
                <w:lang w:val="en-US" w:eastAsia="zh-CN"/>
              </w:rPr>
              <w:t>万m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w:t>
            </w:r>
            <w:r>
              <w:rPr>
                <w:rFonts w:hint="default" w:ascii="Times New Roman" w:hAnsi="Times New Roman" w:cs="Times New Roman"/>
                <w:color w:val="auto"/>
                <w:highlight w:val="none"/>
              </w:rPr>
              <w:t>自然方</w:t>
            </w:r>
            <w:r>
              <w:rPr>
                <w:rFonts w:hint="default" w:ascii="Times New Roman" w:hAnsi="Times New Roman" w:cs="Times New Roman"/>
                <w:color w:val="auto"/>
                <w:szCs w:val="24"/>
                <w:highlight w:val="none"/>
              </w:rPr>
              <w:t>）</w:t>
            </w:r>
            <w:r>
              <w:rPr>
                <w:rFonts w:hint="default" w:ascii="Times New Roman" w:hAnsi="Times New Roman" w:cs="Times New Roman"/>
                <w:color w:val="auto"/>
                <w:sz w:val="24"/>
                <w:szCs w:val="24"/>
                <w:highlight w:val="none"/>
              </w:rPr>
              <w:t>。</w:t>
            </w:r>
          </w:p>
          <w:p w14:paraId="39E9E078">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w:t>
            </w:r>
            <w:r>
              <w:rPr>
                <w:rFonts w:hint="eastAsia" w:cs="Times New Roman"/>
                <w:color w:val="auto"/>
                <w:highlight w:val="none"/>
                <w:lang w:val="en-US" w:eastAsia="zh-CN"/>
              </w:rPr>
              <w:t>石河镇石河镇段、双拱场段</w:t>
            </w:r>
          </w:p>
          <w:p w14:paraId="7A5F33FE">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sz w:val="24"/>
                <w:szCs w:val="24"/>
                <w:highlight w:val="none"/>
                <w:lang w:val="en-US" w:eastAsia="zh-CN"/>
              </w:rPr>
            </w:pPr>
            <w:r>
              <w:rPr>
                <w:rFonts w:hint="eastAsia" w:cs="Times New Roman"/>
                <w:color w:val="auto"/>
                <w:highlight w:val="none"/>
                <w:lang w:val="en-US" w:eastAsia="zh-CN"/>
              </w:rPr>
              <w:t>石河镇石河镇段、双拱场段</w:t>
            </w:r>
            <w:r>
              <w:rPr>
                <w:rFonts w:hint="default" w:ascii="Times New Roman" w:hAnsi="Times New Roman" w:cs="Times New Roman"/>
                <w:color w:val="auto"/>
                <w:highlight w:val="none"/>
              </w:rPr>
              <w:t>土石开挖量为</w:t>
            </w:r>
            <w:r>
              <w:rPr>
                <w:rFonts w:hint="eastAsia" w:cs="Times New Roman"/>
                <w:color w:val="auto"/>
                <w:highlight w:val="none"/>
                <w:lang w:eastAsia="zh-CN"/>
              </w:rPr>
              <w:t>9.66万</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（自然方），</w:t>
            </w:r>
            <w:r>
              <w:rPr>
                <w:rFonts w:hint="eastAsia"/>
                <w:color w:val="auto"/>
                <w:highlight w:val="none"/>
              </w:rPr>
              <w:t>其中河道疏浚1.28万m</w:t>
            </w:r>
            <w:r>
              <w:rPr>
                <w:rFonts w:hint="eastAsia"/>
                <w:color w:val="auto"/>
                <w:highlight w:val="none"/>
                <w:vertAlign w:val="superscript"/>
              </w:rPr>
              <w:t>3</w:t>
            </w:r>
            <w:r>
              <w:rPr>
                <w:rFonts w:hint="eastAsia"/>
                <w:color w:val="auto"/>
                <w:highlight w:val="none"/>
              </w:rPr>
              <w:t>、不可利用土方0.38万m</w:t>
            </w:r>
            <w:r>
              <w:rPr>
                <w:rFonts w:hint="eastAsia"/>
                <w:color w:val="auto"/>
                <w:highlight w:val="none"/>
                <w:vertAlign w:val="superscript"/>
              </w:rPr>
              <w:t>3</w:t>
            </w:r>
            <w:r>
              <w:rPr>
                <w:rFonts w:hint="eastAsia"/>
                <w:color w:val="auto"/>
                <w:highlight w:val="none"/>
              </w:rPr>
              <w:t>、可利用土方7.1万m</w:t>
            </w:r>
            <w:r>
              <w:rPr>
                <w:rFonts w:hint="eastAsia"/>
                <w:color w:val="auto"/>
                <w:highlight w:val="none"/>
                <w:vertAlign w:val="superscript"/>
              </w:rPr>
              <w:t>3</w:t>
            </w:r>
            <w:r>
              <w:rPr>
                <w:rFonts w:hint="eastAsia"/>
                <w:color w:val="auto"/>
                <w:highlight w:val="none"/>
              </w:rPr>
              <w:t>、石方0.9万m</w:t>
            </w:r>
            <w:r>
              <w:rPr>
                <w:rFonts w:hint="eastAsia"/>
                <w:color w:val="auto"/>
                <w:highlight w:val="none"/>
                <w:vertAlign w:val="superscript"/>
              </w:rPr>
              <w:t>3</w:t>
            </w:r>
            <w:r>
              <w:rPr>
                <w:rFonts w:hint="eastAsia"/>
                <w:color w:val="auto"/>
                <w:highlight w:val="none"/>
              </w:rPr>
              <w:t>；回填土石方</w:t>
            </w:r>
            <w:r>
              <w:rPr>
                <w:rFonts w:hint="eastAsia"/>
                <w:color w:val="auto"/>
                <w:highlight w:val="none"/>
                <w:lang w:val="en-US" w:eastAsia="zh-CN"/>
              </w:rPr>
              <w:t>8.36</w:t>
            </w:r>
            <w:r>
              <w:rPr>
                <w:rFonts w:hint="eastAsia"/>
                <w:color w:val="auto"/>
                <w:highlight w:val="none"/>
              </w:rPr>
              <w:t>万m</w:t>
            </w:r>
            <w:r>
              <w:rPr>
                <w:rFonts w:hint="eastAsia"/>
                <w:color w:val="auto"/>
                <w:highlight w:val="none"/>
                <w:vertAlign w:val="superscript"/>
              </w:rPr>
              <w:t>3</w:t>
            </w:r>
            <w:r>
              <w:rPr>
                <w:rFonts w:hint="eastAsia"/>
                <w:color w:val="auto"/>
                <w:highlight w:val="none"/>
              </w:rPr>
              <w:t>（</w:t>
            </w:r>
            <w:r>
              <w:rPr>
                <w:rFonts w:hint="default" w:ascii="Times New Roman" w:hAnsi="Times New Roman" w:cs="Times New Roman"/>
                <w:color w:val="auto"/>
                <w:highlight w:val="none"/>
              </w:rPr>
              <w:t>自然方</w:t>
            </w:r>
            <w:r>
              <w:rPr>
                <w:rFonts w:hint="eastAsia"/>
                <w:color w:val="auto"/>
                <w:highlight w:val="none"/>
              </w:rPr>
              <w:t>）</w:t>
            </w:r>
            <w:r>
              <w:rPr>
                <w:rFonts w:hint="default" w:ascii="Times New Roman" w:hAnsi="Times New Roman" w:cs="Times New Roman"/>
                <w:color w:val="auto"/>
                <w:szCs w:val="24"/>
                <w:highlight w:val="none"/>
              </w:rPr>
              <w:t>。经土石方平衡后，</w:t>
            </w:r>
            <w:r>
              <w:rPr>
                <w:rFonts w:hint="eastAsia" w:cs="Times New Roman"/>
                <w:color w:val="auto"/>
                <w:szCs w:val="24"/>
                <w:highlight w:val="none"/>
                <w:lang w:val="en-US" w:eastAsia="zh-CN"/>
              </w:rPr>
              <w:t>该工程段</w:t>
            </w:r>
            <w:r>
              <w:rPr>
                <w:rFonts w:hint="default" w:ascii="Times New Roman" w:hAnsi="Times New Roman" w:cs="Times New Roman"/>
                <w:color w:val="auto"/>
                <w:szCs w:val="24"/>
                <w:highlight w:val="none"/>
              </w:rPr>
              <w:t>弃渣量为</w:t>
            </w:r>
            <w:r>
              <w:rPr>
                <w:rFonts w:hint="eastAsia"/>
                <w:color w:val="auto"/>
                <w:highlight w:val="none"/>
                <w:lang w:val="en-US" w:eastAsia="zh-CN"/>
              </w:rPr>
              <w:t>1.30</w:t>
            </w:r>
            <w:r>
              <w:rPr>
                <w:rFonts w:hint="eastAsia"/>
                <w:color w:val="auto"/>
                <w:highlight w:val="none"/>
              </w:rPr>
              <w:t>万m</w:t>
            </w:r>
            <w:r>
              <w:rPr>
                <w:rFonts w:hint="eastAsia"/>
                <w:color w:val="auto"/>
                <w:highlight w:val="none"/>
                <w:vertAlign w:val="superscript"/>
              </w:rPr>
              <w:t>3</w:t>
            </w:r>
            <w:r>
              <w:rPr>
                <w:rFonts w:hint="default" w:ascii="Times New Roman" w:hAnsi="Times New Roman" w:cs="Times New Roman"/>
                <w:color w:val="auto"/>
                <w:szCs w:val="24"/>
                <w:highlight w:val="none"/>
              </w:rPr>
              <w:t>（</w:t>
            </w:r>
            <w:r>
              <w:rPr>
                <w:rFonts w:hint="default" w:ascii="Times New Roman" w:hAnsi="Times New Roman" w:cs="Times New Roman"/>
                <w:color w:val="auto"/>
                <w:highlight w:val="none"/>
              </w:rPr>
              <w:t>自然方</w:t>
            </w:r>
            <w:r>
              <w:rPr>
                <w:rFonts w:hint="default" w:ascii="Times New Roman" w:hAnsi="Times New Roman" w:cs="Times New Roman"/>
                <w:color w:val="auto"/>
                <w:szCs w:val="24"/>
                <w:highlight w:val="none"/>
              </w:rPr>
              <w:t>）。</w:t>
            </w:r>
          </w:p>
          <w:p w14:paraId="67F29A92">
            <w:pPr>
              <w:ind w:firstLine="480"/>
              <w:rPr>
                <w:rFonts w:hint="default" w:ascii="Times New Roman" w:hAnsi="Times New Roman" w:cs="Times New Roman"/>
                <w:color w:val="auto"/>
                <w:sz w:val="24"/>
                <w:szCs w:val="24"/>
                <w:highlight w:val="none"/>
              </w:rPr>
            </w:pPr>
            <w:r>
              <w:rPr>
                <w:rFonts w:hint="eastAsia" w:eastAsia="宋体" w:cs="Times New Roman"/>
                <w:color w:val="auto"/>
                <w:highlight w:val="none"/>
                <w:lang w:val="en-US" w:eastAsia="zh-CN"/>
              </w:rPr>
              <w:t>柳城河石</w:t>
            </w:r>
            <w:r>
              <w:rPr>
                <w:rFonts w:hint="eastAsia" w:eastAsia="宋体" w:cs="Times New Roman"/>
                <w:color w:val="auto"/>
                <w:szCs w:val="24"/>
                <w:highlight w:val="none"/>
                <w:lang w:val="en-US" w:eastAsia="zh-CN"/>
              </w:rPr>
              <w:t>河镇</w:t>
            </w:r>
            <w:r>
              <w:rPr>
                <w:rFonts w:hint="eastAsia" w:cs="Times New Roman"/>
                <w:color w:val="auto"/>
                <w:szCs w:val="24"/>
                <w:highlight w:val="none"/>
                <w:lang w:val="en-US" w:eastAsia="zh-CN"/>
              </w:rPr>
              <w:t>二郎段及福兴段、石河镇段及双拱场段</w:t>
            </w:r>
            <w:r>
              <w:rPr>
                <w:rFonts w:hint="default" w:ascii="Times New Roman" w:hAnsi="Times New Roman" w:eastAsia="宋体" w:cs="Times New Roman"/>
                <w:color w:val="auto"/>
                <w:szCs w:val="24"/>
                <w:highlight w:val="none"/>
                <w:lang w:val="en-US" w:eastAsia="zh-CN"/>
              </w:rPr>
              <w:t>不单独设弃渣场，</w:t>
            </w:r>
            <w:r>
              <w:rPr>
                <w:rFonts w:hint="eastAsia" w:cs="Times New Roman"/>
                <w:color w:val="auto"/>
                <w:szCs w:val="24"/>
                <w:highlight w:val="none"/>
                <w:lang w:val="en-US" w:eastAsia="zh-CN"/>
              </w:rPr>
              <w:t>经土石方平衡后产生的弃渣，</w:t>
            </w:r>
            <w:r>
              <w:rPr>
                <w:rFonts w:hint="eastAsia" w:cs="Times New Roman"/>
                <w:color w:val="auto"/>
                <w:sz w:val="24"/>
                <w:szCs w:val="24"/>
                <w:highlight w:val="none"/>
                <w:lang w:val="en-US" w:eastAsia="zh-CN"/>
              </w:rPr>
              <w:t>可直接利用的部分由周边居民用于农田做肥料，</w:t>
            </w:r>
            <w:r>
              <w:rPr>
                <w:rFonts w:hint="eastAsia"/>
                <w:color w:val="auto"/>
                <w:sz w:val="24"/>
                <w:szCs w:val="24"/>
                <w:highlight w:val="none"/>
                <w:lang w:val="en-US" w:eastAsia="zh-CN"/>
              </w:rPr>
              <w:t>含砂石量多的疏浚砂石用于沿线低洼地区回填</w:t>
            </w:r>
            <w:r>
              <w:rPr>
                <w:rFonts w:hint="eastAsia" w:cs="Times New Roman"/>
                <w:color w:val="auto"/>
                <w:sz w:val="24"/>
                <w:szCs w:val="24"/>
                <w:highlight w:val="none"/>
                <w:lang w:val="en-US" w:eastAsia="zh-CN"/>
              </w:rPr>
              <w:t>；经晾干后的不可直接利用清淤淤泥运往市政规划的弃渣场</w:t>
            </w:r>
            <w:r>
              <w:rPr>
                <w:rFonts w:hint="default" w:ascii="Times New Roman" w:hAnsi="Times New Roman" w:cs="Times New Roman"/>
                <w:color w:val="auto"/>
                <w:sz w:val="24"/>
                <w:szCs w:val="24"/>
                <w:highlight w:val="none"/>
              </w:rPr>
              <w:t>。项目土石方平衡见表2.3-</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所示。</w:t>
            </w:r>
          </w:p>
          <w:p w14:paraId="0D5218E2">
            <w:pPr>
              <w:ind w:firstLine="0" w:firstLineChars="0"/>
              <w:jc w:val="center"/>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表2.3-</w:t>
            </w:r>
            <w:r>
              <w:rPr>
                <w:rFonts w:hint="eastAsia" w:cs="Times New Roman"/>
                <w:b/>
                <w:bCs/>
                <w:color w:val="auto"/>
                <w:szCs w:val="24"/>
                <w:highlight w:val="none"/>
                <w:lang w:val="en-US" w:eastAsia="zh-CN"/>
              </w:rPr>
              <w:t>7</w:t>
            </w:r>
            <w:r>
              <w:rPr>
                <w:rFonts w:hint="default" w:ascii="Times New Roman" w:hAnsi="Times New Roman" w:cs="Times New Roman"/>
                <w:b/>
                <w:bCs/>
                <w:color w:val="auto"/>
                <w:szCs w:val="24"/>
                <w:highlight w:val="none"/>
              </w:rPr>
              <w:t xml:space="preserve"> 项目</w:t>
            </w:r>
            <w:r>
              <w:rPr>
                <w:rFonts w:hint="eastAsia" w:cs="Times New Roman"/>
                <w:b/>
                <w:bCs/>
                <w:color w:val="auto"/>
                <w:highlight w:val="none"/>
                <w:lang w:val="en-US" w:eastAsia="zh-CN"/>
              </w:rPr>
              <w:t>柳城河石河镇段</w:t>
            </w:r>
            <w:r>
              <w:rPr>
                <w:rFonts w:hint="default" w:ascii="Times New Roman" w:hAnsi="Times New Roman" w:cs="Times New Roman"/>
                <w:b/>
                <w:bCs/>
                <w:color w:val="auto"/>
                <w:szCs w:val="24"/>
                <w:highlight w:val="none"/>
              </w:rPr>
              <w:t>土石方平衡一览表</w:t>
            </w:r>
            <w:r>
              <w:rPr>
                <w:rFonts w:hint="eastAsia" w:cs="Times New Roman"/>
                <w:b/>
                <w:bCs/>
                <w:color w:val="auto"/>
                <w:szCs w:val="24"/>
                <w:highlight w:val="none"/>
                <w:lang w:val="en-US" w:eastAsia="zh-CN"/>
              </w:rPr>
              <w:t xml:space="preserve">  </w:t>
            </w:r>
            <w:r>
              <w:rPr>
                <w:rFonts w:hint="default" w:ascii="Times New Roman" w:hAnsi="Times New Roman" w:cs="Times New Roman"/>
                <w:b/>
                <w:bCs/>
                <w:color w:val="auto"/>
                <w:szCs w:val="24"/>
                <w:highlight w:val="none"/>
              </w:rPr>
              <w:t>单位：</w:t>
            </w:r>
            <w:r>
              <w:rPr>
                <w:rFonts w:hint="eastAsia" w:cs="Times New Roman"/>
                <w:b/>
                <w:bCs/>
                <w:color w:val="auto"/>
                <w:szCs w:val="24"/>
                <w:highlight w:val="none"/>
                <w:lang w:val="en-US" w:eastAsia="zh-CN"/>
              </w:rPr>
              <w:t>万</w:t>
            </w:r>
            <w:r>
              <w:rPr>
                <w:rFonts w:hint="default" w:ascii="Times New Roman" w:hAnsi="Times New Roman" w:cs="Times New Roman"/>
                <w:b/>
                <w:bCs/>
                <w:color w:val="auto"/>
                <w:szCs w:val="24"/>
                <w:highlight w:val="none"/>
              </w:rPr>
              <w:t>m</w:t>
            </w:r>
            <w:r>
              <w:rPr>
                <w:rFonts w:hint="default" w:ascii="Times New Roman" w:hAnsi="Times New Roman" w:cs="Times New Roman"/>
                <w:b/>
                <w:bCs/>
                <w:color w:val="auto"/>
                <w:szCs w:val="24"/>
                <w:highlight w:val="none"/>
                <w:vertAlign w:val="superscript"/>
              </w:rPr>
              <w:t>3</w:t>
            </w:r>
          </w:p>
          <w:tbl>
            <w:tblPr>
              <w:tblStyle w:val="11"/>
              <w:tblW w:w="49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992"/>
              <w:gridCol w:w="1158"/>
              <w:gridCol w:w="1158"/>
              <w:gridCol w:w="1163"/>
              <w:gridCol w:w="1158"/>
              <w:gridCol w:w="992"/>
              <w:gridCol w:w="1158"/>
            </w:tblGrid>
            <w:tr w14:paraId="286F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8" w:type="pct"/>
                  <w:vMerge w:val="restart"/>
                  <w:shd w:val="clear" w:color="auto" w:fill="auto"/>
                  <w:noWrap/>
                  <w:vAlign w:val="center"/>
                </w:tcPr>
                <w:p w14:paraId="64AF61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kern w:val="0"/>
                      <w:sz w:val="21"/>
                      <w:szCs w:val="21"/>
                      <w:highlight w:val="none"/>
                    </w:rPr>
                  </w:pPr>
                  <w:r>
                    <w:rPr>
                      <w:b/>
                      <w:color w:val="auto"/>
                      <w:kern w:val="0"/>
                      <w:sz w:val="21"/>
                      <w:szCs w:val="21"/>
                      <w:highlight w:val="none"/>
                    </w:rPr>
                    <w:t>工程位置</w:t>
                  </w:r>
                </w:p>
              </w:tc>
              <w:tc>
                <w:tcPr>
                  <w:tcW w:w="2512" w:type="pct"/>
                  <w:gridSpan w:val="4"/>
                  <w:shd w:val="clear" w:color="auto" w:fill="auto"/>
                  <w:noWrap/>
                  <w:vAlign w:val="center"/>
                </w:tcPr>
                <w:p w14:paraId="0AA314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kern w:val="0"/>
                      <w:sz w:val="21"/>
                      <w:szCs w:val="21"/>
                      <w:highlight w:val="none"/>
                    </w:rPr>
                  </w:pPr>
                  <w:r>
                    <w:rPr>
                      <w:b/>
                      <w:color w:val="auto"/>
                      <w:kern w:val="0"/>
                      <w:sz w:val="21"/>
                      <w:szCs w:val="21"/>
                      <w:highlight w:val="none"/>
                    </w:rPr>
                    <w:t>挖方（自然方）</w:t>
                  </w:r>
                </w:p>
              </w:tc>
              <w:tc>
                <w:tcPr>
                  <w:tcW w:w="650" w:type="pct"/>
                  <w:vMerge w:val="restart"/>
                  <w:shd w:val="clear" w:color="auto" w:fill="auto"/>
                  <w:noWrap/>
                  <w:vAlign w:val="center"/>
                </w:tcPr>
                <w:p w14:paraId="0A31F9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pacing w:val="-20"/>
                      <w:kern w:val="0"/>
                      <w:sz w:val="21"/>
                      <w:szCs w:val="21"/>
                      <w:highlight w:val="none"/>
                    </w:rPr>
                  </w:pPr>
                  <w:r>
                    <w:rPr>
                      <w:b/>
                      <w:color w:val="auto"/>
                      <w:spacing w:val="-20"/>
                      <w:kern w:val="0"/>
                      <w:sz w:val="21"/>
                      <w:szCs w:val="21"/>
                      <w:highlight w:val="none"/>
                    </w:rPr>
                    <w:t>回填土石</w:t>
                  </w:r>
                </w:p>
                <w:p w14:paraId="36F178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pacing w:val="-20"/>
                      <w:kern w:val="0"/>
                      <w:sz w:val="21"/>
                      <w:szCs w:val="21"/>
                      <w:highlight w:val="none"/>
                    </w:rPr>
                  </w:pPr>
                  <w:r>
                    <w:rPr>
                      <w:b/>
                      <w:color w:val="auto"/>
                      <w:spacing w:val="-20"/>
                      <w:kern w:val="0"/>
                      <w:sz w:val="21"/>
                      <w:szCs w:val="21"/>
                      <w:highlight w:val="none"/>
                    </w:rPr>
                    <w:t>方（自然</w:t>
                  </w:r>
                </w:p>
                <w:p w14:paraId="6A72E4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pacing w:val="-20"/>
                      <w:kern w:val="0"/>
                      <w:sz w:val="21"/>
                      <w:szCs w:val="21"/>
                      <w:highlight w:val="none"/>
                    </w:rPr>
                  </w:pPr>
                  <w:r>
                    <w:rPr>
                      <w:b/>
                      <w:color w:val="auto"/>
                      <w:spacing w:val="-20"/>
                      <w:kern w:val="0"/>
                      <w:sz w:val="21"/>
                      <w:szCs w:val="21"/>
                      <w:highlight w:val="none"/>
                    </w:rPr>
                    <w:t>方）</w:t>
                  </w:r>
                </w:p>
              </w:tc>
              <w:tc>
                <w:tcPr>
                  <w:tcW w:w="557" w:type="pct"/>
                  <w:vMerge w:val="restart"/>
                  <w:shd w:val="clear" w:color="auto" w:fill="auto"/>
                  <w:noWrap/>
                  <w:vAlign w:val="center"/>
                </w:tcPr>
                <w:p w14:paraId="793C91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pacing w:val="-20"/>
                      <w:kern w:val="0"/>
                      <w:sz w:val="21"/>
                      <w:szCs w:val="21"/>
                      <w:highlight w:val="none"/>
                    </w:rPr>
                  </w:pPr>
                  <w:r>
                    <w:rPr>
                      <w:b/>
                      <w:color w:val="auto"/>
                      <w:spacing w:val="-20"/>
                      <w:kern w:val="0"/>
                      <w:sz w:val="21"/>
                      <w:szCs w:val="21"/>
                      <w:highlight w:val="none"/>
                    </w:rPr>
                    <w:t>借方（自</w:t>
                  </w:r>
                </w:p>
                <w:p w14:paraId="4DFF0A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pacing w:val="-20"/>
                      <w:kern w:val="0"/>
                      <w:sz w:val="21"/>
                      <w:szCs w:val="21"/>
                      <w:highlight w:val="none"/>
                    </w:rPr>
                  </w:pPr>
                  <w:r>
                    <w:rPr>
                      <w:b/>
                      <w:color w:val="auto"/>
                      <w:spacing w:val="-20"/>
                      <w:kern w:val="0"/>
                      <w:sz w:val="21"/>
                      <w:szCs w:val="21"/>
                      <w:highlight w:val="none"/>
                    </w:rPr>
                    <w:t>然方）</w:t>
                  </w:r>
                </w:p>
              </w:tc>
              <w:tc>
                <w:tcPr>
                  <w:tcW w:w="650" w:type="pct"/>
                  <w:shd w:val="clear" w:color="auto" w:fill="auto"/>
                  <w:noWrap/>
                  <w:vAlign w:val="center"/>
                </w:tcPr>
                <w:p w14:paraId="6950B3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spacing w:val="-20"/>
                      <w:kern w:val="0"/>
                      <w:sz w:val="21"/>
                      <w:szCs w:val="21"/>
                      <w:highlight w:val="none"/>
                    </w:rPr>
                  </w:pPr>
                  <w:r>
                    <w:rPr>
                      <w:b/>
                      <w:color w:val="auto"/>
                      <w:spacing w:val="-20"/>
                      <w:kern w:val="0"/>
                      <w:sz w:val="21"/>
                      <w:szCs w:val="21"/>
                      <w:highlight w:val="none"/>
                    </w:rPr>
                    <w:t>余方</w:t>
                  </w:r>
                </w:p>
              </w:tc>
            </w:tr>
            <w:tr w14:paraId="57D8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628" w:type="pct"/>
                  <w:vMerge w:val="continue"/>
                  <w:shd w:val="clear" w:color="auto" w:fill="auto"/>
                  <w:noWrap/>
                  <w:vAlign w:val="center"/>
                </w:tcPr>
                <w:p w14:paraId="6D9D90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557" w:type="pct"/>
                  <w:shd w:val="clear" w:color="auto" w:fill="auto"/>
                  <w:noWrap/>
                  <w:vAlign w:val="center"/>
                </w:tcPr>
                <w:p w14:paraId="1C81C1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kern w:val="0"/>
                      <w:sz w:val="21"/>
                      <w:szCs w:val="21"/>
                      <w:highlight w:val="none"/>
                    </w:rPr>
                  </w:pPr>
                  <w:r>
                    <w:rPr>
                      <w:b/>
                      <w:color w:val="auto"/>
                      <w:kern w:val="0"/>
                      <w:sz w:val="21"/>
                      <w:szCs w:val="21"/>
                      <w:highlight w:val="none"/>
                    </w:rPr>
                    <w:t>总计</w:t>
                  </w:r>
                </w:p>
              </w:tc>
              <w:tc>
                <w:tcPr>
                  <w:tcW w:w="650" w:type="pct"/>
                  <w:shd w:val="clear" w:color="auto" w:fill="auto"/>
                  <w:noWrap/>
                  <w:vAlign w:val="center"/>
                </w:tcPr>
                <w:p w14:paraId="13F57F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kern w:val="0"/>
                      <w:sz w:val="21"/>
                      <w:szCs w:val="21"/>
                      <w:highlight w:val="none"/>
                    </w:rPr>
                  </w:pPr>
                  <w:r>
                    <w:rPr>
                      <w:b/>
                      <w:color w:val="auto"/>
                      <w:kern w:val="0"/>
                      <w:sz w:val="21"/>
                      <w:szCs w:val="21"/>
                      <w:highlight w:val="none"/>
                    </w:rPr>
                    <w:t>河道清淤</w:t>
                  </w:r>
                </w:p>
              </w:tc>
              <w:tc>
                <w:tcPr>
                  <w:tcW w:w="650" w:type="pct"/>
                  <w:shd w:val="clear" w:color="auto" w:fill="auto"/>
                  <w:noWrap/>
                  <w:vAlign w:val="center"/>
                </w:tcPr>
                <w:p w14:paraId="6CA0B3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kern w:val="0"/>
                      <w:sz w:val="21"/>
                      <w:szCs w:val="21"/>
                      <w:highlight w:val="none"/>
                    </w:rPr>
                  </w:pPr>
                  <w:r>
                    <w:rPr>
                      <w:b/>
                      <w:color w:val="auto"/>
                      <w:kern w:val="0"/>
                      <w:sz w:val="21"/>
                      <w:szCs w:val="21"/>
                      <w:highlight w:val="none"/>
                    </w:rPr>
                    <w:t>土方</w:t>
                  </w:r>
                </w:p>
              </w:tc>
              <w:tc>
                <w:tcPr>
                  <w:tcW w:w="653" w:type="pct"/>
                  <w:shd w:val="clear" w:color="auto" w:fill="auto"/>
                  <w:noWrap/>
                  <w:vAlign w:val="center"/>
                </w:tcPr>
                <w:p w14:paraId="4F256D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kern w:val="0"/>
                      <w:sz w:val="21"/>
                      <w:szCs w:val="21"/>
                      <w:highlight w:val="none"/>
                    </w:rPr>
                  </w:pPr>
                  <w:r>
                    <w:rPr>
                      <w:b/>
                      <w:color w:val="auto"/>
                      <w:kern w:val="0"/>
                      <w:sz w:val="21"/>
                      <w:szCs w:val="21"/>
                      <w:highlight w:val="none"/>
                    </w:rPr>
                    <w:t>石方</w:t>
                  </w:r>
                </w:p>
              </w:tc>
              <w:tc>
                <w:tcPr>
                  <w:tcW w:w="650" w:type="pct"/>
                  <w:vMerge w:val="continue"/>
                  <w:shd w:val="clear" w:color="auto" w:fill="auto"/>
                  <w:noWrap/>
                  <w:vAlign w:val="center"/>
                </w:tcPr>
                <w:p w14:paraId="59B789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557" w:type="pct"/>
                  <w:vMerge w:val="continue"/>
                  <w:shd w:val="clear" w:color="auto" w:fill="auto"/>
                  <w:noWrap/>
                  <w:vAlign w:val="center"/>
                </w:tcPr>
                <w:p w14:paraId="41A9CA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p>
              </w:tc>
              <w:tc>
                <w:tcPr>
                  <w:tcW w:w="650" w:type="pct"/>
                  <w:shd w:val="clear" w:color="auto" w:fill="auto"/>
                  <w:noWrap/>
                  <w:vAlign w:val="center"/>
                </w:tcPr>
                <w:p w14:paraId="0CBB21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color w:val="auto"/>
                      <w:kern w:val="0"/>
                      <w:sz w:val="21"/>
                      <w:szCs w:val="21"/>
                      <w:highlight w:val="none"/>
                    </w:rPr>
                  </w:pPr>
                  <w:r>
                    <w:rPr>
                      <w:b/>
                      <w:color w:val="auto"/>
                      <w:kern w:val="0"/>
                      <w:sz w:val="21"/>
                      <w:szCs w:val="21"/>
                      <w:highlight w:val="none"/>
                    </w:rPr>
                    <w:t>自然方</w:t>
                  </w:r>
                </w:p>
              </w:tc>
            </w:tr>
            <w:tr w14:paraId="0293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8" w:type="pct"/>
                  <w:shd w:val="clear" w:color="auto" w:fill="auto"/>
                  <w:noWrap w:val="0"/>
                  <w:vAlign w:val="center"/>
                </w:tcPr>
                <w:p w14:paraId="35E7FE6A">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石河镇二郎段、福兴段</w:t>
                  </w:r>
                </w:p>
              </w:tc>
              <w:tc>
                <w:tcPr>
                  <w:tcW w:w="557" w:type="pct"/>
                  <w:shd w:val="clear" w:color="auto" w:fill="auto"/>
                  <w:noWrap w:val="0"/>
                  <w:vAlign w:val="center"/>
                </w:tcPr>
                <w:p w14:paraId="74DCFA29">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14.66</w:t>
                  </w:r>
                </w:p>
              </w:tc>
              <w:tc>
                <w:tcPr>
                  <w:tcW w:w="650" w:type="pct"/>
                  <w:shd w:val="clear" w:color="auto" w:fill="auto"/>
                  <w:noWrap/>
                  <w:vAlign w:val="center"/>
                </w:tcPr>
                <w:p w14:paraId="47695642">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8.11</w:t>
                  </w:r>
                </w:p>
              </w:tc>
              <w:tc>
                <w:tcPr>
                  <w:tcW w:w="650" w:type="pct"/>
                  <w:shd w:val="clear" w:color="auto" w:fill="auto"/>
                  <w:noWrap/>
                  <w:vAlign w:val="center"/>
                </w:tcPr>
                <w:p w14:paraId="73755E9C">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6.20</w:t>
                  </w:r>
                </w:p>
              </w:tc>
              <w:tc>
                <w:tcPr>
                  <w:tcW w:w="653" w:type="pct"/>
                  <w:shd w:val="clear" w:color="auto" w:fill="auto"/>
                  <w:noWrap/>
                  <w:vAlign w:val="center"/>
                </w:tcPr>
                <w:p w14:paraId="3CA01489">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0.35</w:t>
                  </w:r>
                </w:p>
              </w:tc>
              <w:tc>
                <w:tcPr>
                  <w:tcW w:w="650" w:type="pct"/>
                  <w:shd w:val="clear" w:color="auto" w:fill="auto"/>
                  <w:noWrap/>
                  <w:vAlign w:val="center"/>
                </w:tcPr>
                <w:p w14:paraId="09D740CE">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12.66</w:t>
                  </w:r>
                </w:p>
              </w:tc>
              <w:tc>
                <w:tcPr>
                  <w:tcW w:w="557" w:type="pct"/>
                  <w:shd w:val="clear" w:color="auto" w:fill="auto"/>
                  <w:noWrap/>
                  <w:vAlign w:val="center"/>
                </w:tcPr>
                <w:p w14:paraId="4EDD17DA">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0.32</w:t>
                  </w:r>
                </w:p>
              </w:tc>
              <w:tc>
                <w:tcPr>
                  <w:tcW w:w="650" w:type="pct"/>
                  <w:shd w:val="clear" w:color="auto" w:fill="auto"/>
                  <w:noWrap/>
                  <w:vAlign w:val="center"/>
                </w:tcPr>
                <w:p w14:paraId="063477EA">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1.68</w:t>
                  </w:r>
                </w:p>
              </w:tc>
            </w:tr>
            <w:tr w14:paraId="110D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8" w:type="pct"/>
                  <w:shd w:val="clear" w:color="auto" w:fill="auto"/>
                  <w:noWrap w:val="0"/>
                  <w:vAlign w:val="center"/>
                </w:tcPr>
                <w:p w14:paraId="09AB25A6">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石河镇石河镇段、双拱场段</w:t>
                  </w:r>
                </w:p>
              </w:tc>
              <w:tc>
                <w:tcPr>
                  <w:tcW w:w="557" w:type="pct"/>
                  <w:shd w:val="clear" w:color="auto" w:fill="auto"/>
                  <w:noWrap w:val="0"/>
                  <w:vAlign w:val="center"/>
                </w:tcPr>
                <w:p w14:paraId="16B97509">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9.66</w:t>
                  </w:r>
                </w:p>
              </w:tc>
              <w:tc>
                <w:tcPr>
                  <w:tcW w:w="650" w:type="pct"/>
                  <w:shd w:val="clear" w:color="auto" w:fill="auto"/>
                  <w:noWrap/>
                  <w:vAlign w:val="center"/>
                </w:tcPr>
                <w:p w14:paraId="6803EFED">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1.28</w:t>
                  </w:r>
                </w:p>
              </w:tc>
              <w:tc>
                <w:tcPr>
                  <w:tcW w:w="650" w:type="pct"/>
                  <w:shd w:val="clear" w:color="auto" w:fill="auto"/>
                  <w:noWrap/>
                  <w:vAlign w:val="center"/>
                </w:tcPr>
                <w:p w14:paraId="3EA46B65">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7.48</w:t>
                  </w:r>
                </w:p>
              </w:tc>
              <w:tc>
                <w:tcPr>
                  <w:tcW w:w="653" w:type="pct"/>
                  <w:shd w:val="clear" w:color="auto" w:fill="auto"/>
                  <w:noWrap/>
                  <w:vAlign w:val="center"/>
                </w:tcPr>
                <w:p w14:paraId="60DF2389">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w:t>
                  </w:r>
                </w:p>
              </w:tc>
              <w:tc>
                <w:tcPr>
                  <w:tcW w:w="650" w:type="pct"/>
                  <w:shd w:val="clear" w:color="auto" w:fill="auto"/>
                  <w:noWrap/>
                  <w:vAlign w:val="center"/>
                </w:tcPr>
                <w:p w14:paraId="15CE7D46">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8.36</w:t>
                  </w:r>
                </w:p>
              </w:tc>
              <w:tc>
                <w:tcPr>
                  <w:tcW w:w="557" w:type="pct"/>
                  <w:shd w:val="clear" w:color="auto" w:fill="auto"/>
                  <w:noWrap/>
                  <w:vAlign w:val="center"/>
                </w:tcPr>
                <w:p w14:paraId="1ADD1DA6">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650" w:type="pct"/>
                  <w:shd w:val="clear" w:color="auto" w:fill="auto"/>
                  <w:noWrap/>
                  <w:vAlign w:val="center"/>
                </w:tcPr>
                <w:p w14:paraId="2DB7B871">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 xml:space="preserve">1.30 </w:t>
                  </w:r>
                </w:p>
              </w:tc>
            </w:tr>
            <w:tr w14:paraId="42E7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28" w:type="pct"/>
                  <w:shd w:val="clear" w:color="auto" w:fill="auto"/>
                  <w:noWrap w:val="0"/>
                  <w:vAlign w:val="center"/>
                </w:tcPr>
                <w:p w14:paraId="4DE112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kern w:val="0"/>
                      <w:sz w:val="21"/>
                      <w:szCs w:val="21"/>
                      <w:highlight w:val="none"/>
                      <w:lang w:val="en-US" w:eastAsia="zh-CN"/>
                    </w:rPr>
                  </w:pPr>
                  <w:r>
                    <w:rPr>
                      <w:rFonts w:hint="eastAsia"/>
                      <w:color w:val="auto"/>
                      <w:kern w:val="0"/>
                      <w:sz w:val="21"/>
                      <w:szCs w:val="21"/>
                      <w:highlight w:val="none"/>
                      <w:lang w:val="en-US" w:eastAsia="zh-CN"/>
                    </w:rPr>
                    <w:t>合计</w:t>
                  </w:r>
                </w:p>
              </w:tc>
              <w:tc>
                <w:tcPr>
                  <w:tcW w:w="557" w:type="pct"/>
                  <w:shd w:val="clear" w:color="auto" w:fill="auto"/>
                  <w:noWrap/>
                  <w:vAlign w:val="center"/>
                </w:tcPr>
                <w:p w14:paraId="6B922F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sum(B3:B4) \* MERGEFORMAT </w:instrText>
                  </w:r>
                  <w:r>
                    <w:rPr>
                      <w:color w:val="auto"/>
                      <w:kern w:val="0"/>
                      <w:sz w:val="21"/>
                      <w:szCs w:val="21"/>
                      <w:highlight w:val="none"/>
                    </w:rPr>
                    <w:fldChar w:fldCharType="separate"/>
                  </w:r>
                  <w:r>
                    <w:rPr>
                      <w:color w:val="auto"/>
                      <w:kern w:val="0"/>
                      <w:sz w:val="21"/>
                      <w:szCs w:val="21"/>
                      <w:highlight w:val="none"/>
                    </w:rPr>
                    <w:t>24.32</w:t>
                  </w:r>
                  <w:r>
                    <w:rPr>
                      <w:color w:val="auto"/>
                      <w:kern w:val="0"/>
                      <w:sz w:val="21"/>
                      <w:szCs w:val="21"/>
                      <w:highlight w:val="none"/>
                    </w:rPr>
                    <w:fldChar w:fldCharType="end"/>
                  </w:r>
                </w:p>
              </w:tc>
              <w:tc>
                <w:tcPr>
                  <w:tcW w:w="650" w:type="pct"/>
                  <w:shd w:val="clear" w:color="auto" w:fill="auto"/>
                  <w:noWrap/>
                  <w:vAlign w:val="center"/>
                </w:tcPr>
                <w:p w14:paraId="5EC801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sum(C3:C4) \* MERGEFORMAT </w:instrText>
                  </w:r>
                  <w:r>
                    <w:rPr>
                      <w:color w:val="auto"/>
                      <w:kern w:val="0"/>
                      <w:sz w:val="21"/>
                      <w:szCs w:val="21"/>
                      <w:highlight w:val="none"/>
                    </w:rPr>
                    <w:fldChar w:fldCharType="separate"/>
                  </w:r>
                  <w:r>
                    <w:rPr>
                      <w:color w:val="auto"/>
                      <w:kern w:val="0"/>
                      <w:sz w:val="21"/>
                      <w:szCs w:val="21"/>
                      <w:highlight w:val="none"/>
                    </w:rPr>
                    <w:t>9.39</w:t>
                  </w:r>
                  <w:r>
                    <w:rPr>
                      <w:color w:val="auto"/>
                      <w:kern w:val="0"/>
                      <w:sz w:val="21"/>
                      <w:szCs w:val="21"/>
                      <w:highlight w:val="none"/>
                    </w:rPr>
                    <w:fldChar w:fldCharType="end"/>
                  </w:r>
                </w:p>
              </w:tc>
              <w:tc>
                <w:tcPr>
                  <w:tcW w:w="650" w:type="pct"/>
                  <w:shd w:val="clear" w:color="auto" w:fill="auto"/>
                  <w:noWrap/>
                  <w:vAlign w:val="center"/>
                </w:tcPr>
                <w:p w14:paraId="5122BF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sum(D3:D4) \* MERGEFORMAT </w:instrText>
                  </w:r>
                  <w:r>
                    <w:rPr>
                      <w:color w:val="auto"/>
                      <w:kern w:val="0"/>
                      <w:sz w:val="21"/>
                      <w:szCs w:val="21"/>
                      <w:highlight w:val="none"/>
                    </w:rPr>
                    <w:fldChar w:fldCharType="separate"/>
                  </w:r>
                  <w:r>
                    <w:rPr>
                      <w:color w:val="auto"/>
                      <w:kern w:val="0"/>
                      <w:sz w:val="21"/>
                      <w:szCs w:val="21"/>
                      <w:highlight w:val="none"/>
                    </w:rPr>
                    <w:t>13.68</w:t>
                  </w:r>
                  <w:r>
                    <w:rPr>
                      <w:color w:val="auto"/>
                      <w:kern w:val="0"/>
                      <w:sz w:val="21"/>
                      <w:szCs w:val="21"/>
                      <w:highlight w:val="none"/>
                    </w:rPr>
                    <w:fldChar w:fldCharType="end"/>
                  </w:r>
                </w:p>
              </w:tc>
              <w:tc>
                <w:tcPr>
                  <w:tcW w:w="653" w:type="pct"/>
                  <w:shd w:val="clear" w:color="auto" w:fill="auto"/>
                  <w:noWrap/>
                  <w:vAlign w:val="center"/>
                </w:tcPr>
                <w:p w14:paraId="68774F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sum(E3:E4) \* MERGEFORMAT </w:instrText>
                  </w:r>
                  <w:r>
                    <w:rPr>
                      <w:color w:val="auto"/>
                      <w:kern w:val="0"/>
                      <w:sz w:val="21"/>
                      <w:szCs w:val="21"/>
                      <w:highlight w:val="none"/>
                    </w:rPr>
                    <w:fldChar w:fldCharType="separate"/>
                  </w:r>
                  <w:r>
                    <w:rPr>
                      <w:color w:val="auto"/>
                      <w:kern w:val="0"/>
                      <w:sz w:val="21"/>
                      <w:szCs w:val="21"/>
                      <w:highlight w:val="none"/>
                    </w:rPr>
                    <w:t>1.25</w:t>
                  </w:r>
                  <w:r>
                    <w:rPr>
                      <w:color w:val="auto"/>
                      <w:kern w:val="0"/>
                      <w:sz w:val="21"/>
                      <w:szCs w:val="21"/>
                      <w:highlight w:val="none"/>
                    </w:rPr>
                    <w:fldChar w:fldCharType="end"/>
                  </w:r>
                </w:p>
              </w:tc>
              <w:tc>
                <w:tcPr>
                  <w:tcW w:w="650" w:type="pct"/>
                  <w:shd w:val="clear" w:color="auto" w:fill="auto"/>
                  <w:noWrap/>
                  <w:vAlign w:val="center"/>
                </w:tcPr>
                <w:p w14:paraId="1483B5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sum(F3:F4) \* MERGEFORMAT </w:instrText>
                  </w:r>
                  <w:r>
                    <w:rPr>
                      <w:color w:val="auto"/>
                      <w:kern w:val="0"/>
                      <w:sz w:val="21"/>
                      <w:szCs w:val="21"/>
                      <w:highlight w:val="none"/>
                    </w:rPr>
                    <w:fldChar w:fldCharType="separate"/>
                  </w:r>
                  <w:r>
                    <w:rPr>
                      <w:color w:val="auto"/>
                      <w:kern w:val="0"/>
                      <w:sz w:val="21"/>
                      <w:szCs w:val="21"/>
                      <w:highlight w:val="none"/>
                    </w:rPr>
                    <w:t>21.02</w:t>
                  </w:r>
                  <w:r>
                    <w:rPr>
                      <w:color w:val="auto"/>
                      <w:kern w:val="0"/>
                      <w:sz w:val="21"/>
                      <w:szCs w:val="21"/>
                      <w:highlight w:val="none"/>
                    </w:rPr>
                    <w:fldChar w:fldCharType="end"/>
                  </w:r>
                </w:p>
              </w:tc>
              <w:tc>
                <w:tcPr>
                  <w:tcW w:w="557" w:type="pct"/>
                  <w:shd w:val="clear" w:color="auto" w:fill="auto"/>
                  <w:noWrap/>
                  <w:vAlign w:val="center"/>
                </w:tcPr>
                <w:p w14:paraId="23C62E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0.32</w:t>
                  </w:r>
                </w:p>
              </w:tc>
              <w:tc>
                <w:tcPr>
                  <w:tcW w:w="650" w:type="pct"/>
                  <w:shd w:val="clear" w:color="auto" w:fill="auto"/>
                  <w:noWrap/>
                  <w:vAlign w:val="center"/>
                </w:tcPr>
                <w:p w14:paraId="797012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2.98</w:t>
                  </w:r>
                </w:p>
              </w:tc>
            </w:tr>
          </w:tbl>
          <w:p w14:paraId="07437250">
            <w:pPr>
              <w:ind w:left="0" w:leftChars="0" w:firstLine="0" w:firstLineChars="0"/>
              <w:rPr>
                <w:rFonts w:hint="default"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2.3.4.2 东柳河清河镇段及杨家镇段</w:t>
            </w:r>
          </w:p>
          <w:p w14:paraId="3E2E7AFE">
            <w:pPr>
              <w:adjustRightInd w:val="0"/>
              <w:snapToGrid w:val="0"/>
              <w:spacing w:line="360" w:lineRule="auto"/>
              <w:ind w:firstLine="480" w:firstLineChars="200"/>
              <w:rPr>
                <w:rFonts w:hint="default" w:ascii="Times New Roman" w:hAnsi="Times New Roman" w:eastAsia="宋体"/>
                <w:color w:val="auto"/>
                <w:sz w:val="24"/>
                <w:highlight w:val="none"/>
                <w:lang w:val="en-US" w:eastAsia="zh-CN"/>
              </w:rPr>
            </w:pPr>
            <w:r>
              <w:rPr>
                <w:rFonts w:hint="eastAsia" w:ascii="Times New Roman" w:hAnsi="Times New Roman" w:eastAsia="宋体"/>
                <w:color w:val="auto"/>
                <w:sz w:val="24"/>
                <w:highlight w:val="none"/>
                <w:lang w:val="en-US" w:eastAsia="zh-CN"/>
              </w:rPr>
              <w:t>根据调查，</w:t>
            </w:r>
            <w:r>
              <w:rPr>
                <w:rFonts w:ascii="Times New Roman" w:hAnsi="Times New Roman" w:eastAsia="宋体"/>
                <w:color w:val="auto"/>
                <w:sz w:val="24"/>
                <w:highlight w:val="none"/>
              </w:rPr>
              <w:t>本</w:t>
            </w:r>
            <w:r>
              <w:rPr>
                <w:rFonts w:hint="eastAsia" w:ascii="Times New Roman" w:hAnsi="Times New Roman" w:eastAsia="宋体"/>
                <w:color w:val="auto"/>
                <w:sz w:val="24"/>
                <w:highlight w:val="none"/>
              </w:rPr>
              <w:t>项目</w:t>
            </w:r>
            <w:r>
              <w:rPr>
                <w:rFonts w:ascii="Times New Roman" w:hAnsi="Times New Roman" w:eastAsia="宋体"/>
                <w:color w:val="auto"/>
                <w:sz w:val="24"/>
                <w:highlight w:val="none"/>
              </w:rPr>
              <w:t>土石方</w:t>
            </w:r>
            <w:r>
              <w:rPr>
                <w:rFonts w:ascii="Times New Roman" w:hAnsi="Times New Roman" w:eastAsia="宋体"/>
                <w:color w:val="auto"/>
                <w:sz w:val="24"/>
                <w:szCs w:val="24"/>
                <w:highlight w:val="none"/>
              </w:rPr>
              <w:t>开挖</w:t>
            </w:r>
            <w:r>
              <w:rPr>
                <w:rFonts w:hint="eastAsia" w:ascii="Times New Roman" w:hAnsi="Times New Roman" w:eastAsia="宋体"/>
                <w:color w:val="auto"/>
                <w:sz w:val="24"/>
                <w:szCs w:val="24"/>
                <w:highlight w:val="none"/>
                <w:lang w:val="en-US" w:eastAsia="zh-CN"/>
              </w:rPr>
              <w:t>量约</w:t>
            </w:r>
            <w:r>
              <w:rPr>
                <w:rFonts w:hint="eastAsia"/>
                <w:color w:val="auto"/>
                <w:sz w:val="24"/>
                <w:szCs w:val="24"/>
                <w:highlight w:val="none"/>
                <w:lang w:val="en-US" w:eastAsia="zh-CN"/>
              </w:rPr>
              <w:t>16.11041万</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（自然方），</w:t>
            </w:r>
            <w:r>
              <w:rPr>
                <w:rFonts w:hint="eastAsia"/>
                <w:color w:val="auto"/>
                <w:sz w:val="24"/>
                <w:szCs w:val="24"/>
                <w:highlight w:val="none"/>
                <w:lang w:val="en-US" w:eastAsia="zh-CN"/>
              </w:rPr>
              <w:t>其</w:t>
            </w:r>
            <w:r>
              <w:rPr>
                <w:rFonts w:ascii="Times New Roman" w:hAnsi="Times New Roman" w:eastAsia="宋体"/>
                <w:color w:val="auto"/>
                <w:sz w:val="24"/>
                <w:szCs w:val="24"/>
                <w:highlight w:val="none"/>
              </w:rPr>
              <w:t>中土</w:t>
            </w:r>
            <w:r>
              <w:rPr>
                <w:rFonts w:hint="eastAsia" w:ascii="Times New Roman" w:hAnsi="Times New Roman" w:eastAsia="宋体"/>
                <w:color w:val="auto"/>
                <w:sz w:val="24"/>
                <w:szCs w:val="24"/>
                <w:highlight w:val="none"/>
                <w:lang w:val="en-US" w:eastAsia="zh-CN"/>
              </w:rPr>
              <w:t>石</w:t>
            </w:r>
            <w:r>
              <w:rPr>
                <w:rFonts w:ascii="Times New Roman" w:hAnsi="Times New Roman" w:eastAsia="宋体"/>
                <w:color w:val="auto"/>
                <w:sz w:val="24"/>
                <w:szCs w:val="24"/>
                <w:highlight w:val="none"/>
              </w:rPr>
              <w:t>方</w:t>
            </w:r>
            <w:r>
              <w:rPr>
                <w:rFonts w:hint="eastAsia" w:ascii="Times New Roman" w:hAnsi="Times New Roman" w:eastAsia="宋体"/>
                <w:color w:val="auto"/>
                <w:sz w:val="24"/>
                <w:szCs w:val="24"/>
                <w:highlight w:val="none"/>
                <w:lang w:val="en-US" w:eastAsia="zh-CN"/>
              </w:rPr>
              <w:t>回填量约9.925934</w:t>
            </w:r>
            <w:r>
              <w:rPr>
                <w:rFonts w:ascii="Times New Roman" w:hAnsi="Times New Roman" w:eastAsia="宋体"/>
                <w:color w:val="auto"/>
                <w:sz w:val="24"/>
                <w:szCs w:val="24"/>
                <w:highlight w:val="none"/>
              </w:rPr>
              <w:t>万m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（自然方）</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经土石方平衡后，剩余弃渣量</w:t>
            </w:r>
            <w:r>
              <w:rPr>
                <w:rFonts w:hint="default" w:ascii="Times New Roman" w:hAnsi="Times New Roman" w:eastAsia="宋体" w:cs="Times New Roman"/>
                <w:i w:val="0"/>
                <w:iCs w:val="0"/>
                <w:snapToGrid w:val="0"/>
                <w:color w:val="auto"/>
                <w:kern w:val="0"/>
                <w:sz w:val="24"/>
                <w:szCs w:val="24"/>
                <w:highlight w:val="none"/>
                <w:u w:val="none"/>
                <w:lang w:val="en-US" w:eastAsia="zh-CN" w:bidi="ar"/>
              </w:rPr>
              <w:t>5</w:t>
            </w:r>
            <w:r>
              <w:rPr>
                <w:rFonts w:hint="eastAsia" w:eastAsia="宋体" w:cs="Times New Roman"/>
                <w:i w:val="0"/>
                <w:iCs w:val="0"/>
                <w:snapToGrid w:val="0"/>
                <w:color w:val="auto"/>
                <w:kern w:val="0"/>
                <w:sz w:val="24"/>
                <w:szCs w:val="24"/>
                <w:highlight w:val="none"/>
                <w:u w:val="none"/>
                <w:lang w:val="en-US" w:eastAsia="zh-CN" w:bidi="ar"/>
              </w:rPr>
              <w:t>.</w:t>
            </w:r>
            <w:r>
              <w:rPr>
                <w:rFonts w:hint="default" w:ascii="Times New Roman" w:hAnsi="Times New Roman" w:eastAsia="宋体" w:cs="Times New Roman"/>
                <w:i w:val="0"/>
                <w:iCs w:val="0"/>
                <w:snapToGrid w:val="0"/>
                <w:color w:val="auto"/>
                <w:kern w:val="0"/>
                <w:sz w:val="24"/>
                <w:szCs w:val="24"/>
                <w:highlight w:val="none"/>
                <w:u w:val="none"/>
                <w:lang w:val="en-US" w:eastAsia="zh-CN" w:bidi="ar"/>
              </w:rPr>
              <w:t>695384</w:t>
            </w:r>
            <w:r>
              <w:rPr>
                <w:rFonts w:ascii="Times New Roman" w:hAnsi="Times New Roman" w:eastAsia="宋体"/>
                <w:color w:val="auto"/>
                <w:sz w:val="24"/>
                <w:szCs w:val="24"/>
                <w:highlight w:val="none"/>
              </w:rPr>
              <w:t>万m</w:t>
            </w:r>
            <w:r>
              <w:rPr>
                <w:rFonts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highlight w:val="none"/>
              </w:rPr>
              <w:t>（自然方）。弃渣</w:t>
            </w:r>
            <w:r>
              <w:rPr>
                <w:rFonts w:ascii="Times New Roman" w:hAnsi="Times New Roman" w:eastAsia="宋体"/>
                <w:color w:val="auto"/>
                <w:sz w:val="24"/>
                <w:highlight w:val="none"/>
              </w:rPr>
              <w:t>全部用于</w:t>
            </w:r>
            <w:r>
              <w:rPr>
                <w:rFonts w:hint="eastAsia" w:ascii="Times New Roman" w:hAnsi="Times New Roman" w:eastAsia="宋体"/>
                <w:color w:val="auto"/>
                <w:sz w:val="24"/>
                <w:highlight w:val="none"/>
                <w:lang w:val="en-US" w:eastAsia="zh-CN"/>
              </w:rPr>
              <w:t>河道沿岸低洼区域利用</w:t>
            </w:r>
            <w:r>
              <w:rPr>
                <w:rFonts w:hint="eastAsia" w:ascii="Times New Roman" w:hAnsi="Times New Roman" w:eastAsia="宋体"/>
                <w:color w:val="auto"/>
                <w:sz w:val="24"/>
                <w:highlight w:val="none"/>
              </w:rPr>
              <w:t>。</w:t>
            </w:r>
            <w:r>
              <w:rPr>
                <w:rFonts w:hint="eastAsia" w:ascii="Times New Roman" w:hAnsi="Times New Roman" w:eastAsia="宋体"/>
                <w:color w:val="auto"/>
                <w:sz w:val="24"/>
                <w:highlight w:val="none"/>
                <w:lang w:val="en-US" w:eastAsia="zh-CN"/>
              </w:rPr>
              <w:t>河道疏浚量约</w:t>
            </w:r>
            <w:r>
              <w:rPr>
                <w:rFonts w:hint="eastAsia"/>
                <w:color w:val="auto"/>
                <w:sz w:val="24"/>
                <w:highlight w:val="none"/>
                <w:lang w:val="en-US" w:eastAsia="zh-CN"/>
              </w:rPr>
              <w:t>37032</w:t>
            </w:r>
            <w:r>
              <w:rPr>
                <w:rFonts w:ascii="Times New Roman" w:hAnsi="Times New Roman" w:eastAsia="宋体"/>
                <w:color w:val="auto"/>
                <w:sz w:val="24"/>
                <w:highlight w:val="none"/>
              </w:rPr>
              <w:t>m</w:t>
            </w:r>
            <w:r>
              <w:rPr>
                <w:rFonts w:ascii="Times New Roman" w:hAnsi="Times New Roman" w:eastAsia="宋体"/>
                <w:color w:val="auto"/>
                <w:sz w:val="24"/>
                <w:highlight w:val="none"/>
                <w:vertAlign w:val="superscript"/>
              </w:rPr>
              <w:t>3</w:t>
            </w:r>
            <w:r>
              <w:rPr>
                <w:rFonts w:ascii="Times New Roman" w:hAnsi="Times New Roman" w:eastAsia="宋体"/>
                <w:color w:val="auto"/>
                <w:sz w:val="24"/>
                <w:highlight w:val="none"/>
              </w:rPr>
              <w:t>（</w:t>
            </w:r>
            <w:r>
              <w:rPr>
                <w:rFonts w:hint="eastAsia"/>
                <w:color w:val="auto"/>
                <w:sz w:val="24"/>
                <w:highlight w:val="none"/>
                <w:lang w:val="en-US" w:eastAsia="zh-CN"/>
              </w:rPr>
              <w:t>自然方</w:t>
            </w:r>
            <w:r>
              <w:rPr>
                <w:rFonts w:ascii="Times New Roman" w:hAnsi="Times New Roman" w:eastAsia="宋体"/>
                <w:color w:val="auto"/>
                <w:sz w:val="24"/>
                <w:highlight w:val="none"/>
              </w:rPr>
              <w:t>）</w:t>
            </w:r>
            <w:r>
              <w:rPr>
                <w:rFonts w:hint="eastAsia"/>
                <w:color w:val="auto"/>
                <w:sz w:val="24"/>
                <w:highlight w:val="none"/>
                <w:lang w:eastAsia="zh-CN"/>
              </w:rPr>
              <w:t>，</w:t>
            </w:r>
            <w:r>
              <w:rPr>
                <w:rFonts w:hint="eastAsia"/>
                <w:color w:val="auto"/>
                <w:sz w:val="24"/>
                <w:highlight w:val="none"/>
                <w:lang w:val="en-US" w:eastAsia="zh-CN"/>
              </w:rPr>
              <w:t>其中含砂石量多的疏浚砂石用于沿线低洼地区回填；含泥量高的淤泥，回用作护坡土回用。土石方平衡详见下表。</w:t>
            </w:r>
          </w:p>
          <w:p w14:paraId="0BEAF08B">
            <w:pPr>
              <w:adjustRightInd w:val="0"/>
              <w:snapToGrid w:val="0"/>
              <w:jc w:val="center"/>
              <w:rPr>
                <w:rFonts w:hint="eastAsia" w:ascii="Times New Roman" w:hAnsi="Times New Roman" w:eastAsia="宋体"/>
                <w:b/>
                <w:color w:val="auto"/>
                <w:sz w:val="24"/>
                <w:highlight w:val="none"/>
              </w:rPr>
            </w:pPr>
            <w:r>
              <w:rPr>
                <w:rFonts w:hint="eastAsia" w:ascii="Times New Roman" w:hAnsi="Times New Roman" w:eastAsia="宋体"/>
                <w:b/>
                <w:color w:val="auto"/>
                <w:sz w:val="24"/>
                <w:highlight w:val="none"/>
              </w:rPr>
              <w:t>表2</w:t>
            </w:r>
            <w:r>
              <w:rPr>
                <w:rFonts w:ascii="Times New Roman" w:hAnsi="Times New Roman" w:eastAsia="宋体"/>
                <w:b/>
                <w:color w:val="auto"/>
                <w:sz w:val="24"/>
                <w:highlight w:val="none"/>
              </w:rPr>
              <w:t>.3-</w:t>
            </w:r>
            <w:r>
              <w:rPr>
                <w:rFonts w:hint="eastAsia"/>
                <w:b/>
                <w:color w:val="auto"/>
                <w:sz w:val="24"/>
                <w:highlight w:val="none"/>
                <w:lang w:val="en-US" w:eastAsia="zh-CN"/>
              </w:rPr>
              <w:t>8</w:t>
            </w:r>
            <w:r>
              <w:rPr>
                <w:rFonts w:ascii="Times New Roman" w:hAnsi="Times New Roman" w:eastAsia="宋体"/>
                <w:b/>
                <w:color w:val="auto"/>
                <w:sz w:val="24"/>
                <w:highlight w:val="none"/>
              </w:rPr>
              <w:t xml:space="preserve">  </w:t>
            </w:r>
            <w:r>
              <w:rPr>
                <w:rFonts w:hint="eastAsia" w:ascii="Times New Roman" w:hAnsi="Times New Roman" w:eastAsia="宋体"/>
                <w:b/>
                <w:color w:val="auto"/>
                <w:sz w:val="24"/>
                <w:highlight w:val="none"/>
                <w:lang w:val="en-US" w:eastAsia="zh-CN"/>
              </w:rPr>
              <w:t>项目</w:t>
            </w:r>
            <w:r>
              <w:rPr>
                <w:rFonts w:hint="eastAsia" w:ascii="Times New Roman" w:hAnsi="Times New Roman" w:cs="Times New Roman"/>
                <w:b/>
                <w:bCs/>
                <w:color w:val="auto"/>
                <w:highlight w:val="none"/>
                <w:lang w:val="en-US" w:eastAsia="zh-CN"/>
              </w:rPr>
              <w:t>东柳河清河镇段及杨家镇段</w:t>
            </w:r>
            <w:r>
              <w:rPr>
                <w:rFonts w:hint="eastAsia" w:ascii="Times New Roman" w:hAnsi="Times New Roman" w:eastAsia="宋体"/>
                <w:b/>
                <w:color w:val="auto"/>
                <w:sz w:val="24"/>
                <w:highlight w:val="none"/>
              </w:rPr>
              <w:t>土石方</w:t>
            </w:r>
            <w:r>
              <w:rPr>
                <w:rFonts w:hint="eastAsia" w:ascii="Times New Roman" w:hAnsi="Times New Roman" w:eastAsia="宋体"/>
                <w:b/>
                <w:color w:val="auto"/>
                <w:sz w:val="24"/>
                <w:highlight w:val="none"/>
                <w:lang w:val="en-US" w:eastAsia="zh-CN"/>
              </w:rPr>
              <w:t>平衡</w:t>
            </w:r>
            <w:r>
              <w:rPr>
                <w:rFonts w:hint="eastAsia" w:ascii="Times New Roman" w:hAnsi="Times New Roman" w:eastAsia="宋体"/>
                <w:b/>
                <w:color w:val="auto"/>
                <w:sz w:val="24"/>
                <w:highlight w:val="none"/>
              </w:rPr>
              <w:t xml:space="preserve"> </w:t>
            </w:r>
            <w:r>
              <w:rPr>
                <w:rFonts w:ascii="Times New Roman" w:hAnsi="Times New Roman" w:eastAsia="宋体"/>
                <w:b/>
                <w:color w:val="auto"/>
                <w:sz w:val="24"/>
                <w:highlight w:val="none"/>
              </w:rPr>
              <w:t xml:space="preserve"> </w:t>
            </w:r>
            <w:r>
              <w:rPr>
                <w:rFonts w:hint="eastAsia" w:ascii="Times New Roman" w:hAnsi="Times New Roman" w:eastAsia="宋体"/>
                <w:b/>
                <w:color w:val="auto"/>
                <w:sz w:val="24"/>
                <w:highlight w:val="none"/>
              </w:rPr>
              <w:t>单位：m</w:t>
            </w:r>
            <w:r>
              <w:rPr>
                <w:rFonts w:ascii="Times New Roman" w:hAnsi="Times New Roman" w:eastAsia="宋体"/>
                <w:b/>
                <w:color w:val="auto"/>
                <w:sz w:val="24"/>
                <w:highlight w:val="none"/>
                <w:vertAlign w:val="superscript"/>
              </w:rPr>
              <w:t>3</w:t>
            </w:r>
          </w:p>
          <w:tbl>
            <w:tblPr>
              <w:tblStyle w:val="11"/>
              <w:tblW w:w="4986"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9"/>
              <w:gridCol w:w="1371"/>
              <w:gridCol w:w="1907"/>
              <w:gridCol w:w="1912"/>
              <w:gridCol w:w="1911"/>
            </w:tblGrid>
            <w:tr w14:paraId="10750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063" w:type="pct"/>
                  <w:tcBorders>
                    <w:tl2br w:val="nil"/>
                    <w:tr2bl w:val="nil"/>
                  </w:tcBorders>
                  <w:noWrap w:val="0"/>
                  <w:tcMar>
                    <w:top w:w="15" w:type="dxa"/>
                    <w:left w:w="15" w:type="dxa"/>
                    <w:right w:w="15" w:type="dxa"/>
                  </w:tcMar>
                  <w:vAlign w:val="center"/>
                </w:tcPr>
                <w:p w14:paraId="37B35D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color w:val="auto"/>
                      <w:sz w:val="21"/>
                      <w:szCs w:val="21"/>
                      <w:highlight w:val="none"/>
                      <w:lang w:eastAsia="zh-CN"/>
                    </w:rPr>
                  </w:pPr>
                  <w:r>
                    <w:rPr>
                      <w:rFonts w:hint="eastAsia" w:ascii="Times New Roman" w:hAnsi="Times New Roman" w:eastAsia="宋体" w:cs="宋体"/>
                      <w:b/>
                      <w:color w:val="auto"/>
                      <w:kern w:val="0"/>
                      <w:sz w:val="21"/>
                      <w:szCs w:val="21"/>
                      <w:highlight w:val="none"/>
                      <w:lang w:bidi="ar"/>
                    </w:rPr>
                    <w:t>工程</w:t>
                  </w:r>
                  <w:r>
                    <w:rPr>
                      <w:rFonts w:hint="eastAsia" w:cs="宋体"/>
                      <w:b/>
                      <w:color w:val="auto"/>
                      <w:kern w:val="0"/>
                      <w:sz w:val="21"/>
                      <w:szCs w:val="21"/>
                      <w:highlight w:val="none"/>
                      <w:lang w:val="en-US" w:eastAsia="zh-CN" w:bidi="ar"/>
                    </w:rPr>
                    <w:t>位置</w:t>
                  </w:r>
                </w:p>
              </w:tc>
              <w:tc>
                <w:tcPr>
                  <w:tcW w:w="759" w:type="pct"/>
                  <w:tcBorders>
                    <w:tl2br w:val="nil"/>
                    <w:tr2bl w:val="nil"/>
                  </w:tcBorders>
                  <w:noWrap w:val="0"/>
                  <w:tcMar>
                    <w:top w:w="15" w:type="dxa"/>
                    <w:left w:w="15" w:type="dxa"/>
                    <w:right w:w="15" w:type="dxa"/>
                  </w:tcMar>
                  <w:vAlign w:val="center"/>
                </w:tcPr>
                <w:p w14:paraId="66ED9F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color w:val="auto"/>
                      <w:sz w:val="21"/>
                      <w:szCs w:val="21"/>
                      <w:highlight w:val="none"/>
                    </w:rPr>
                  </w:pPr>
                  <w:r>
                    <w:rPr>
                      <w:rFonts w:hint="eastAsia" w:ascii="Times New Roman" w:hAnsi="Times New Roman" w:eastAsia="宋体" w:cs="宋体"/>
                      <w:b/>
                      <w:color w:val="auto"/>
                      <w:kern w:val="0"/>
                      <w:sz w:val="21"/>
                      <w:szCs w:val="21"/>
                      <w:highlight w:val="none"/>
                      <w:lang w:bidi="ar"/>
                    </w:rPr>
                    <w:t>分类</w:t>
                  </w:r>
                </w:p>
              </w:tc>
              <w:tc>
                <w:tcPr>
                  <w:tcW w:w="1057" w:type="pct"/>
                  <w:tcBorders>
                    <w:tl2br w:val="nil"/>
                    <w:tr2bl w:val="nil"/>
                  </w:tcBorders>
                  <w:noWrap w:val="0"/>
                  <w:tcMar>
                    <w:top w:w="15" w:type="dxa"/>
                    <w:left w:w="15" w:type="dxa"/>
                    <w:right w:w="15" w:type="dxa"/>
                  </w:tcMar>
                  <w:vAlign w:val="center"/>
                </w:tcPr>
                <w:p w14:paraId="1DD19D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color w:val="auto"/>
                      <w:sz w:val="21"/>
                      <w:szCs w:val="21"/>
                      <w:highlight w:val="none"/>
                    </w:rPr>
                  </w:pPr>
                  <w:r>
                    <w:rPr>
                      <w:rFonts w:hint="eastAsia" w:ascii="Times New Roman" w:hAnsi="Times New Roman" w:eastAsia="宋体" w:cs="宋体"/>
                      <w:b/>
                      <w:color w:val="auto"/>
                      <w:kern w:val="0"/>
                      <w:sz w:val="21"/>
                      <w:szCs w:val="21"/>
                      <w:highlight w:val="none"/>
                      <w:lang w:bidi="ar"/>
                    </w:rPr>
                    <w:t>挖方（自然方）</w:t>
                  </w:r>
                </w:p>
              </w:tc>
              <w:tc>
                <w:tcPr>
                  <w:tcW w:w="1059" w:type="pct"/>
                  <w:tcBorders>
                    <w:tl2br w:val="nil"/>
                    <w:tr2bl w:val="nil"/>
                  </w:tcBorders>
                  <w:noWrap w:val="0"/>
                  <w:tcMar>
                    <w:top w:w="15" w:type="dxa"/>
                    <w:left w:w="15" w:type="dxa"/>
                    <w:right w:w="15" w:type="dxa"/>
                  </w:tcMar>
                  <w:vAlign w:val="center"/>
                </w:tcPr>
                <w:p w14:paraId="44C5AB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color w:val="auto"/>
                      <w:sz w:val="21"/>
                      <w:szCs w:val="21"/>
                      <w:highlight w:val="none"/>
                    </w:rPr>
                  </w:pPr>
                  <w:r>
                    <w:rPr>
                      <w:rFonts w:hint="eastAsia" w:ascii="Times New Roman" w:hAnsi="Times New Roman" w:eastAsia="宋体" w:cs="宋体"/>
                      <w:b/>
                      <w:color w:val="auto"/>
                      <w:kern w:val="0"/>
                      <w:sz w:val="21"/>
                      <w:szCs w:val="21"/>
                      <w:highlight w:val="none"/>
                      <w:lang w:bidi="ar"/>
                    </w:rPr>
                    <w:t>土方回填（</w:t>
                  </w:r>
                  <w:r>
                    <w:rPr>
                      <w:rFonts w:hint="eastAsia" w:ascii="Times New Roman" w:hAnsi="Times New Roman" w:eastAsia="宋体" w:cs="宋体"/>
                      <w:b/>
                      <w:color w:val="auto"/>
                      <w:kern w:val="0"/>
                      <w:sz w:val="21"/>
                      <w:szCs w:val="21"/>
                      <w:highlight w:val="none"/>
                      <w:lang w:val="en-US" w:eastAsia="zh-CN" w:bidi="ar"/>
                    </w:rPr>
                    <w:t>自然方</w:t>
                  </w:r>
                  <w:r>
                    <w:rPr>
                      <w:rFonts w:hint="eastAsia" w:ascii="Times New Roman" w:hAnsi="Times New Roman" w:eastAsia="宋体" w:cs="宋体"/>
                      <w:b/>
                      <w:color w:val="auto"/>
                      <w:kern w:val="0"/>
                      <w:sz w:val="21"/>
                      <w:szCs w:val="21"/>
                      <w:highlight w:val="none"/>
                      <w:lang w:bidi="ar"/>
                    </w:rPr>
                    <w:t>）</w:t>
                  </w:r>
                </w:p>
              </w:tc>
              <w:tc>
                <w:tcPr>
                  <w:tcW w:w="1059" w:type="pct"/>
                  <w:tcBorders>
                    <w:tl2br w:val="nil"/>
                    <w:tr2bl w:val="nil"/>
                  </w:tcBorders>
                  <w:noWrap w:val="0"/>
                  <w:tcMar>
                    <w:top w:w="15" w:type="dxa"/>
                    <w:left w:w="15" w:type="dxa"/>
                    <w:right w:w="15" w:type="dxa"/>
                  </w:tcMar>
                  <w:vAlign w:val="center"/>
                </w:tcPr>
                <w:p w14:paraId="3B4C9F3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b/>
                      <w:color w:val="auto"/>
                      <w:sz w:val="21"/>
                      <w:szCs w:val="21"/>
                      <w:highlight w:val="none"/>
                    </w:rPr>
                  </w:pPr>
                  <w:r>
                    <w:rPr>
                      <w:rFonts w:hint="eastAsia" w:ascii="Times New Roman" w:hAnsi="Times New Roman" w:eastAsia="宋体" w:cs="宋体"/>
                      <w:b/>
                      <w:color w:val="auto"/>
                      <w:kern w:val="0"/>
                      <w:sz w:val="21"/>
                      <w:szCs w:val="21"/>
                      <w:highlight w:val="none"/>
                      <w:lang w:bidi="ar"/>
                    </w:rPr>
                    <w:t>弃渣（</w:t>
                  </w:r>
                  <w:r>
                    <w:rPr>
                      <w:rFonts w:hint="eastAsia" w:ascii="Times New Roman" w:hAnsi="Times New Roman" w:eastAsia="宋体" w:cs="宋体"/>
                      <w:b/>
                      <w:color w:val="auto"/>
                      <w:kern w:val="0"/>
                      <w:sz w:val="21"/>
                      <w:szCs w:val="21"/>
                      <w:highlight w:val="none"/>
                      <w:lang w:val="en-US" w:eastAsia="zh-CN" w:bidi="ar"/>
                    </w:rPr>
                    <w:t>自然方</w:t>
                  </w:r>
                  <w:r>
                    <w:rPr>
                      <w:rFonts w:hint="eastAsia" w:ascii="Times New Roman" w:hAnsi="Times New Roman" w:eastAsia="宋体" w:cs="宋体"/>
                      <w:b/>
                      <w:color w:val="auto"/>
                      <w:kern w:val="0"/>
                      <w:sz w:val="21"/>
                      <w:szCs w:val="21"/>
                      <w:highlight w:val="none"/>
                      <w:lang w:bidi="ar"/>
                    </w:rPr>
                    <w:t>）</w:t>
                  </w:r>
                </w:p>
              </w:tc>
            </w:tr>
            <w:tr w14:paraId="31F77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063" w:type="pct"/>
                  <w:vMerge w:val="restart"/>
                  <w:tcBorders>
                    <w:tl2br w:val="nil"/>
                    <w:tr2bl w:val="nil"/>
                  </w:tcBorders>
                  <w:noWrap/>
                  <w:tcMar>
                    <w:top w:w="15" w:type="dxa"/>
                    <w:left w:w="15" w:type="dxa"/>
                    <w:right w:w="15" w:type="dxa"/>
                  </w:tcMar>
                  <w:vAlign w:val="center"/>
                </w:tcPr>
                <w:p w14:paraId="092450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kern w:val="0"/>
                      <w:sz w:val="21"/>
                      <w:szCs w:val="21"/>
                      <w:highlight w:val="none"/>
                      <w:lang w:val="en-US" w:eastAsia="zh-CN" w:bidi="ar"/>
                    </w:rPr>
                    <w:t>清河镇防洪工程</w:t>
                  </w:r>
                </w:p>
              </w:tc>
              <w:tc>
                <w:tcPr>
                  <w:tcW w:w="759" w:type="pct"/>
                  <w:tcBorders>
                    <w:tl2br w:val="nil"/>
                    <w:tr2bl w:val="nil"/>
                  </w:tcBorders>
                  <w:noWrap w:val="0"/>
                  <w:tcMar>
                    <w:top w:w="15" w:type="dxa"/>
                    <w:left w:w="15" w:type="dxa"/>
                    <w:right w:w="15" w:type="dxa"/>
                  </w:tcMar>
                  <w:vAlign w:val="center"/>
                </w:tcPr>
                <w:p w14:paraId="660F36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河道疏浚</w:t>
                  </w:r>
                </w:p>
              </w:tc>
              <w:tc>
                <w:tcPr>
                  <w:tcW w:w="1907" w:type="dxa"/>
                  <w:tcBorders>
                    <w:tl2br w:val="nil"/>
                    <w:tr2bl w:val="nil"/>
                  </w:tcBorders>
                  <w:noWrap/>
                  <w:tcMar>
                    <w:top w:w="15" w:type="dxa"/>
                    <w:left w:w="15" w:type="dxa"/>
                    <w:right w:w="15" w:type="dxa"/>
                  </w:tcMar>
                  <w:vAlign w:val="center"/>
                </w:tcPr>
                <w:p w14:paraId="51B572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16532</w:t>
                  </w:r>
                </w:p>
              </w:tc>
              <w:tc>
                <w:tcPr>
                  <w:tcW w:w="1912" w:type="dxa"/>
                  <w:tcBorders>
                    <w:tl2br w:val="nil"/>
                    <w:tr2bl w:val="nil"/>
                  </w:tcBorders>
                  <w:noWrap/>
                  <w:tcMar>
                    <w:top w:w="15" w:type="dxa"/>
                    <w:left w:w="15" w:type="dxa"/>
                    <w:right w:w="15" w:type="dxa"/>
                  </w:tcMar>
                  <w:vAlign w:val="center"/>
                </w:tcPr>
                <w:p w14:paraId="34CE8A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c>
                <w:tcPr>
                  <w:tcW w:w="1911" w:type="dxa"/>
                  <w:tcBorders>
                    <w:tl2br w:val="nil"/>
                    <w:tr2bl w:val="nil"/>
                  </w:tcBorders>
                  <w:shd w:val="clear" w:color="auto" w:fill="auto"/>
                  <w:noWrap/>
                  <w:tcMar>
                    <w:top w:w="15" w:type="dxa"/>
                    <w:left w:w="15" w:type="dxa"/>
                    <w:right w:w="15" w:type="dxa"/>
                  </w:tcMar>
                  <w:vAlign w:val="center"/>
                </w:tcPr>
                <w:p w14:paraId="2841E9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16532</w:t>
                  </w:r>
                </w:p>
              </w:tc>
            </w:tr>
            <w:tr w14:paraId="1D308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063" w:type="pct"/>
                  <w:vMerge w:val="continue"/>
                  <w:tcBorders>
                    <w:tl2br w:val="nil"/>
                    <w:tr2bl w:val="nil"/>
                  </w:tcBorders>
                  <w:noWrap/>
                  <w:tcMar>
                    <w:top w:w="15" w:type="dxa"/>
                    <w:left w:w="15" w:type="dxa"/>
                    <w:right w:w="15" w:type="dxa"/>
                  </w:tcMar>
                  <w:vAlign w:val="center"/>
                </w:tcPr>
                <w:p w14:paraId="46025B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color w:val="auto"/>
                      <w:kern w:val="0"/>
                      <w:sz w:val="21"/>
                      <w:szCs w:val="21"/>
                      <w:highlight w:val="none"/>
                      <w:lang w:val="en-US" w:eastAsia="zh-CN" w:bidi="ar"/>
                    </w:rPr>
                  </w:pPr>
                </w:p>
              </w:tc>
              <w:tc>
                <w:tcPr>
                  <w:tcW w:w="759" w:type="pct"/>
                  <w:tcBorders>
                    <w:tl2br w:val="nil"/>
                    <w:tr2bl w:val="nil"/>
                  </w:tcBorders>
                  <w:noWrap w:val="0"/>
                  <w:tcMar>
                    <w:top w:w="15" w:type="dxa"/>
                    <w:left w:w="15" w:type="dxa"/>
                    <w:right w:w="15" w:type="dxa"/>
                  </w:tcMar>
                  <w:vAlign w:val="center"/>
                </w:tcPr>
                <w:p w14:paraId="71C4B7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bidi="ar"/>
                    </w:rPr>
                    <w:t>土方开挖</w:t>
                  </w:r>
                </w:p>
              </w:tc>
              <w:tc>
                <w:tcPr>
                  <w:tcW w:w="1907" w:type="dxa"/>
                  <w:tcBorders>
                    <w:tl2br w:val="nil"/>
                    <w:tr2bl w:val="nil"/>
                  </w:tcBorders>
                  <w:noWrap/>
                  <w:tcMar>
                    <w:top w:w="15" w:type="dxa"/>
                    <w:left w:w="15" w:type="dxa"/>
                    <w:right w:w="15" w:type="dxa"/>
                  </w:tcMar>
                  <w:vAlign w:val="center"/>
                </w:tcPr>
                <w:p w14:paraId="74851C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bidi="ar"/>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56918.99</w:t>
                  </w:r>
                </w:p>
              </w:tc>
              <w:tc>
                <w:tcPr>
                  <w:tcW w:w="1912" w:type="dxa"/>
                  <w:vMerge w:val="restart"/>
                  <w:tcBorders>
                    <w:tl2br w:val="nil"/>
                    <w:tr2bl w:val="nil"/>
                  </w:tcBorders>
                  <w:noWrap/>
                  <w:tcMar>
                    <w:top w:w="15" w:type="dxa"/>
                    <w:left w:w="15" w:type="dxa"/>
                    <w:right w:w="15" w:type="dxa"/>
                  </w:tcMar>
                  <w:vAlign w:val="center"/>
                </w:tcPr>
                <w:p w14:paraId="1F1C7D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bidi="ar"/>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41404.04</w:t>
                  </w:r>
                </w:p>
              </w:tc>
              <w:tc>
                <w:tcPr>
                  <w:tcW w:w="1911" w:type="dxa"/>
                  <w:vMerge w:val="restart"/>
                  <w:tcBorders>
                    <w:tl2br w:val="nil"/>
                    <w:tr2bl w:val="nil"/>
                  </w:tcBorders>
                  <w:noWrap/>
                  <w:tcMar>
                    <w:top w:w="15" w:type="dxa"/>
                    <w:left w:w="15" w:type="dxa"/>
                    <w:right w:w="15" w:type="dxa"/>
                  </w:tcMar>
                  <w:vAlign w:val="center"/>
                </w:tcPr>
                <w:p w14:paraId="0F09C6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bidi="ar"/>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15514.95</w:t>
                  </w:r>
                </w:p>
              </w:tc>
            </w:tr>
            <w:tr w14:paraId="2B9CF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063" w:type="pct"/>
                  <w:vMerge w:val="continue"/>
                  <w:tcBorders>
                    <w:tl2br w:val="nil"/>
                    <w:tr2bl w:val="nil"/>
                  </w:tcBorders>
                  <w:noWrap/>
                  <w:tcMar>
                    <w:top w:w="15" w:type="dxa"/>
                    <w:left w:w="15" w:type="dxa"/>
                    <w:right w:w="15" w:type="dxa"/>
                  </w:tcMar>
                  <w:vAlign w:val="center"/>
                </w:tcPr>
                <w:p w14:paraId="528B1D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color w:val="auto"/>
                      <w:kern w:val="0"/>
                      <w:sz w:val="21"/>
                      <w:szCs w:val="21"/>
                      <w:highlight w:val="none"/>
                      <w:lang w:bidi="ar"/>
                    </w:rPr>
                  </w:pPr>
                </w:p>
              </w:tc>
              <w:tc>
                <w:tcPr>
                  <w:tcW w:w="759" w:type="pct"/>
                  <w:tcBorders>
                    <w:tl2br w:val="nil"/>
                    <w:tr2bl w:val="nil"/>
                  </w:tcBorders>
                  <w:noWrap w:val="0"/>
                  <w:tcMar>
                    <w:top w:w="15" w:type="dxa"/>
                    <w:left w:w="15" w:type="dxa"/>
                    <w:right w:w="15" w:type="dxa"/>
                  </w:tcMar>
                  <w:vAlign w:val="center"/>
                </w:tcPr>
                <w:p w14:paraId="73FD51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kern w:val="0"/>
                      <w:sz w:val="21"/>
                      <w:szCs w:val="21"/>
                      <w:highlight w:val="none"/>
                      <w:lang w:bidi="ar"/>
                    </w:rPr>
                    <w:t>石方开挖</w:t>
                  </w:r>
                </w:p>
              </w:tc>
              <w:tc>
                <w:tcPr>
                  <w:tcW w:w="1907" w:type="dxa"/>
                  <w:tcBorders>
                    <w:tl2br w:val="nil"/>
                    <w:tr2bl w:val="nil"/>
                  </w:tcBorders>
                  <w:noWrap/>
                  <w:tcMar>
                    <w:top w:w="15" w:type="dxa"/>
                    <w:left w:w="15" w:type="dxa"/>
                    <w:right w:w="15" w:type="dxa"/>
                  </w:tcMar>
                  <w:vAlign w:val="center"/>
                </w:tcPr>
                <w:p w14:paraId="4EF6BF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2297.44</w:t>
                  </w:r>
                </w:p>
              </w:tc>
              <w:tc>
                <w:tcPr>
                  <w:tcW w:w="1912" w:type="dxa"/>
                  <w:vMerge w:val="continue"/>
                  <w:tcBorders>
                    <w:tl2br w:val="nil"/>
                    <w:tr2bl w:val="nil"/>
                  </w:tcBorders>
                  <w:noWrap/>
                  <w:tcMar>
                    <w:top w:w="15" w:type="dxa"/>
                    <w:left w:w="15" w:type="dxa"/>
                    <w:right w:w="15" w:type="dxa"/>
                  </w:tcMar>
                  <w:vAlign w:val="center"/>
                </w:tcPr>
                <w:p w14:paraId="1D953E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sz w:val="21"/>
                      <w:szCs w:val="21"/>
                      <w:highlight w:val="none"/>
                    </w:rPr>
                  </w:pPr>
                </w:p>
              </w:tc>
              <w:tc>
                <w:tcPr>
                  <w:tcW w:w="1911" w:type="dxa"/>
                  <w:vMerge w:val="continue"/>
                  <w:tcBorders>
                    <w:tl2br w:val="nil"/>
                    <w:tr2bl w:val="nil"/>
                  </w:tcBorders>
                  <w:noWrap/>
                  <w:tcMar>
                    <w:top w:w="15" w:type="dxa"/>
                    <w:left w:w="15" w:type="dxa"/>
                    <w:right w:w="15" w:type="dxa"/>
                  </w:tcMar>
                  <w:vAlign w:val="center"/>
                </w:tcPr>
                <w:p w14:paraId="6F9A0AD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lang w:bidi="ar"/>
                    </w:rPr>
                  </w:pPr>
                </w:p>
              </w:tc>
            </w:tr>
            <w:tr w14:paraId="19819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063" w:type="pct"/>
                  <w:vMerge w:val="continue"/>
                  <w:tcBorders>
                    <w:tl2br w:val="nil"/>
                    <w:tr2bl w:val="nil"/>
                  </w:tcBorders>
                  <w:noWrap/>
                  <w:tcMar>
                    <w:top w:w="15" w:type="dxa"/>
                    <w:left w:w="15" w:type="dxa"/>
                    <w:right w:w="15" w:type="dxa"/>
                  </w:tcMar>
                  <w:vAlign w:val="center"/>
                </w:tcPr>
                <w:p w14:paraId="5F2553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color w:val="auto"/>
                      <w:kern w:val="0"/>
                      <w:sz w:val="21"/>
                      <w:szCs w:val="21"/>
                      <w:highlight w:val="none"/>
                      <w:lang w:bidi="ar"/>
                    </w:rPr>
                  </w:pPr>
                </w:p>
              </w:tc>
              <w:tc>
                <w:tcPr>
                  <w:tcW w:w="759" w:type="pct"/>
                  <w:tcBorders>
                    <w:tl2br w:val="nil"/>
                    <w:tr2bl w:val="nil"/>
                  </w:tcBorders>
                  <w:noWrap w:val="0"/>
                  <w:tcMar>
                    <w:top w:w="15" w:type="dxa"/>
                    <w:left w:w="15" w:type="dxa"/>
                    <w:right w:w="15" w:type="dxa"/>
                  </w:tcMar>
                  <w:vAlign w:val="center"/>
                </w:tcPr>
                <w:p w14:paraId="69120F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小计</w:t>
                  </w:r>
                </w:p>
              </w:tc>
              <w:tc>
                <w:tcPr>
                  <w:tcW w:w="1907" w:type="dxa"/>
                  <w:tcBorders>
                    <w:tl2br w:val="nil"/>
                    <w:tr2bl w:val="nil"/>
                  </w:tcBorders>
                  <w:noWrap/>
                  <w:tcMar>
                    <w:top w:w="15" w:type="dxa"/>
                    <w:left w:w="15" w:type="dxa"/>
                    <w:right w:w="15" w:type="dxa"/>
                  </w:tcMar>
                  <w:vAlign w:val="center"/>
                </w:tcPr>
                <w:p w14:paraId="3A03C8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auto"/>
                      <w:kern w:val="0"/>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75748.43</w:t>
                  </w:r>
                </w:p>
              </w:tc>
              <w:tc>
                <w:tcPr>
                  <w:tcW w:w="1912" w:type="dxa"/>
                  <w:tcBorders>
                    <w:tl2br w:val="nil"/>
                    <w:tr2bl w:val="nil"/>
                  </w:tcBorders>
                  <w:noWrap/>
                  <w:tcMar>
                    <w:top w:w="15" w:type="dxa"/>
                    <w:left w:w="15" w:type="dxa"/>
                    <w:right w:w="15" w:type="dxa"/>
                  </w:tcMar>
                  <w:vAlign w:val="center"/>
                </w:tcPr>
                <w:p w14:paraId="370152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41404.04</w:t>
                  </w:r>
                </w:p>
              </w:tc>
              <w:tc>
                <w:tcPr>
                  <w:tcW w:w="1911" w:type="dxa"/>
                  <w:tcBorders>
                    <w:tl2br w:val="nil"/>
                    <w:tr2bl w:val="nil"/>
                  </w:tcBorders>
                  <w:noWrap/>
                  <w:tcMar>
                    <w:top w:w="15" w:type="dxa"/>
                    <w:left w:w="15" w:type="dxa"/>
                    <w:right w:w="15" w:type="dxa"/>
                  </w:tcMar>
                  <w:vAlign w:val="center"/>
                </w:tcPr>
                <w:p w14:paraId="619B6D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bidi="ar"/>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32046.95</w:t>
                  </w:r>
                </w:p>
              </w:tc>
            </w:tr>
            <w:tr w14:paraId="29355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63" w:type="pct"/>
                  <w:vMerge w:val="restart"/>
                  <w:tcBorders>
                    <w:tl2br w:val="nil"/>
                    <w:tr2bl w:val="nil"/>
                  </w:tcBorders>
                  <w:noWrap/>
                  <w:tcMar>
                    <w:top w:w="15" w:type="dxa"/>
                    <w:left w:w="15" w:type="dxa"/>
                    <w:right w:w="15" w:type="dxa"/>
                  </w:tcMar>
                  <w:vAlign w:val="center"/>
                </w:tcPr>
                <w:p w14:paraId="2340F9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kern w:val="0"/>
                      <w:sz w:val="21"/>
                      <w:szCs w:val="21"/>
                      <w:highlight w:val="none"/>
                      <w:lang w:val="en-US" w:eastAsia="zh-CN" w:bidi="ar"/>
                    </w:rPr>
                    <w:t>杨家镇防洪工程</w:t>
                  </w:r>
                </w:p>
              </w:tc>
              <w:tc>
                <w:tcPr>
                  <w:tcW w:w="759" w:type="pct"/>
                  <w:tcBorders>
                    <w:tl2br w:val="nil"/>
                    <w:tr2bl w:val="nil"/>
                  </w:tcBorders>
                  <w:noWrap w:val="0"/>
                  <w:tcMar>
                    <w:top w:w="15" w:type="dxa"/>
                    <w:left w:w="15" w:type="dxa"/>
                    <w:right w:w="15" w:type="dxa"/>
                  </w:tcMar>
                  <w:vAlign w:val="center"/>
                </w:tcPr>
                <w:p w14:paraId="77AF7D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val="en-US" w:eastAsia="zh-CN"/>
                    </w:rPr>
                    <w:t>河道疏浚</w:t>
                  </w:r>
                </w:p>
              </w:tc>
              <w:tc>
                <w:tcPr>
                  <w:tcW w:w="1907" w:type="dxa"/>
                  <w:tcBorders>
                    <w:tl2br w:val="nil"/>
                    <w:tr2bl w:val="nil"/>
                  </w:tcBorders>
                  <w:noWrap/>
                  <w:tcMar>
                    <w:top w:w="15" w:type="dxa"/>
                    <w:left w:w="15" w:type="dxa"/>
                    <w:right w:w="15" w:type="dxa"/>
                  </w:tcMar>
                  <w:vAlign w:val="center"/>
                </w:tcPr>
                <w:p w14:paraId="02C935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20500</w:t>
                  </w:r>
                </w:p>
              </w:tc>
              <w:tc>
                <w:tcPr>
                  <w:tcW w:w="1912" w:type="dxa"/>
                  <w:tcBorders>
                    <w:tl2br w:val="nil"/>
                    <w:tr2bl w:val="nil"/>
                  </w:tcBorders>
                  <w:noWrap/>
                  <w:tcMar>
                    <w:top w:w="15" w:type="dxa"/>
                    <w:left w:w="15" w:type="dxa"/>
                    <w:right w:w="15" w:type="dxa"/>
                  </w:tcMar>
                  <w:vAlign w:val="center"/>
                </w:tcPr>
                <w:p w14:paraId="166783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w:t>
                  </w:r>
                </w:p>
              </w:tc>
              <w:tc>
                <w:tcPr>
                  <w:tcW w:w="1911" w:type="dxa"/>
                  <w:tcBorders>
                    <w:tl2br w:val="nil"/>
                    <w:tr2bl w:val="nil"/>
                  </w:tcBorders>
                  <w:shd w:val="clear" w:color="auto" w:fill="auto"/>
                  <w:noWrap/>
                  <w:tcMar>
                    <w:top w:w="15" w:type="dxa"/>
                    <w:left w:w="15" w:type="dxa"/>
                    <w:right w:w="15" w:type="dxa"/>
                  </w:tcMar>
                  <w:vAlign w:val="center"/>
                </w:tcPr>
                <w:p w14:paraId="1CF071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20500</w:t>
                  </w:r>
                </w:p>
              </w:tc>
            </w:tr>
            <w:tr w14:paraId="0739F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063" w:type="pct"/>
                  <w:vMerge w:val="continue"/>
                  <w:tcBorders>
                    <w:tl2br w:val="nil"/>
                    <w:tr2bl w:val="nil"/>
                  </w:tcBorders>
                  <w:noWrap/>
                  <w:tcMar>
                    <w:top w:w="15" w:type="dxa"/>
                    <w:left w:w="15" w:type="dxa"/>
                    <w:right w:w="15" w:type="dxa"/>
                  </w:tcMar>
                  <w:vAlign w:val="center"/>
                </w:tcPr>
                <w:p w14:paraId="3B1C75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color w:val="auto"/>
                      <w:kern w:val="0"/>
                      <w:sz w:val="21"/>
                      <w:szCs w:val="21"/>
                      <w:highlight w:val="none"/>
                      <w:lang w:val="en-US" w:eastAsia="zh-CN" w:bidi="ar"/>
                    </w:rPr>
                  </w:pPr>
                </w:p>
              </w:tc>
              <w:tc>
                <w:tcPr>
                  <w:tcW w:w="759" w:type="pct"/>
                  <w:tcBorders>
                    <w:tl2br w:val="nil"/>
                    <w:tr2bl w:val="nil"/>
                  </w:tcBorders>
                  <w:noWrap w:val="0"/>
                  <w:tcMar>
                    <w:top w:w="15" w:type="dxa"/>
                    <w:left w:w="15" w:type="dxa"/>
                    <w:right w:w="15" w:type="dxa"/>
                  </w:tcMar>
                  <w:vAlign w:val="center"/>
                </w:tcPr>
                <w:p w14:paraId="3F1D16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color w:val="auto"/>
                      <w:kern w:val="0"/>
                      <w:sz w:val="21"/>
                      <w:szCs w:val="21"/>
                      <w:highlight w:val="none"/>
                      <w:lang w:bidi="ar"/>
                    </w:rPr>
                  </w:pPr>
                  <w:r>
                    <w:rPr>
                      <w:rFonts w:hint="eastAsia" w:ascii="Times New Roman" w:hAnsi="Times New Roman" w:eastAsia="宋体" w:cs="宋体"/>
                      <w:color w:val="auto"/>
                      <w:kern w:val="0"/>
                      <w:sz w:val="21"/>
                      <w:szCs w:val="21"/>
                      <w:highlight w:val="none"/>
                      <w:lang w:bidi="ar"/>
                    </w:rPr>
                    <w:t>土方开挖</w:t>
                  </w:r>
                </w:p>
              </w:tc>
              <w:tc>
                <w:tcPr>
                  <w:tcW w:w="1907" w:type="dxa"/>
                  <w:tcBorders>
                    <w:tl2br w:val="nil"/>
                    <w:tr2bl w:val="nil"/>
                  </w:tcBorders>
                  <w:noWrap/>
                  <w:tcMar>
                    <w:top w:w="15" w:type="dxa"/>
                    <w:left w:w="15" w:type="dxa"/>
                    <w:right w:w="15" w:type="dxa"/>
                  </w:tcMar>
                  <w:vAlign w:val="center"/>
                </w:tcPr>
                <w:p w14:paraId="1C3E5D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bidi="ar"/>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62262.19</w:t>
                  </w:r>
                </w:p>
              </w:tc>
              <w:tc>
                <w:tcPr>
                  <w:tcW w:w="1912" w:type="dxa"/>
                  <w:vMerge w:val="restart"/>
                  <w:tcBorders>
                    <w:tl2br w:val="nil"/>
                    <w:tr2bl w:val="nil"/>
                  </w:tcBorders>
                  <w:noWrap/>
                  <w:tcMar>
                    <w:top w:w="15" w:type="dxa"/>
                    <w:left w:w="15" w:type="dxa"/>
                    <w:right w:w="15" w:type="dxa"/>
                  </w:tcMar>
                  <w:vAlign w:val="center"/>
                </w:tcPr>
                <w:p w14:paraId="68CC5F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bidi="ar"/>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57855.3</w:t>
                  </w:r>
                </w:p>
              </w:tc>
              <w:tc>
                <w:tcPr>
                  <w:tcW w:w="1911" w:type="dxa"/>
                  <w:vMerge w:val="restart"/>
                  <w:tcBorders>
                    <w:tl2br w:val="nil"/>
                    <w:tr2bl w:val="nil"/>
                  </w:tcBorders>
                  <w:noWrap/>
                  <w:tcMar>
                    <w:top w:w="15" w:type="dxa"/>
                    <w:left w:w="15" w:type="dxa"/>
                    <w:right w:w="15" w:type="dxa"/>
                  </w:tcMar>
                  <w:vAlign w:val="center"/>
                </w:tcPr>
                <w:p w14:paraId="613539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bidi="ar"/>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4406.89</w:t>
                  </w:r>
                </w:p>
              </w:tc>
            </w:tr>
            <w:tr w14:paraId="1FBFF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063" w:type="pct"/>
                  <w:vMerge w:val="continue"/>
                  <w:tcBorders>
                    <w:tl2br w:val="nil"/>
                    <w:tr2bl w:val="nil"/>
                  </w:tcBorders>
                  <w:noWrap/>
                  <w:tcMar>
                    <w:top w:w="15" w:type="dxa"/>
                    <w:left w:w="15" w:type="dxa"/>
                    <w:right w:w="15" w:type="dxa"/>
                  </w:tcMar>
                  <w:vAlign w:val="center"/>
                </w:tcPr>
                <w:p w14:paraId="3AAA81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color w:val="auto"/>
                      <w:kern w:val="0"/>
                      <w:sz w:val="21"/>
                      <w:szCs w:val="21"/>
                      <w:highlight w:val="none"/>
                      <w:lang w:bidi="ar"/>
                    </w:rPr>
                  </w:pPr>
                </w:p>
              </w:tc>
              <w:tc>
                <w:tcPr>
                  <w:tcW w:w="759" w:type="pct"/>
                  <w:tcBorders>
                    <w:tl2br w:val="nil"/>
                    <w:tr2bl w:val="nil"/>
                  </w:tcBorders>
                  <w:noWrap w:val="0"/>
                  <w:tcMar>
                    <w:top w:w="15" w:type="dxa"/>
                    <w:left w:w="15" w:type="dxa"/>
                    <w:right w:w="15" w:type="dxa"/>
                  </w:tcMar>
                  <w:vAlign w:val="center"/>
                </w:tcPr>
                <w:p w14:paraId="29797D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color w:val="auto"/>
                      <w:kern w:val="0"/>
                      <w:sz w:val="21"/>
                      <w:szCs w:val="21"/>
                      <w:highlight w:val="none"/>
                      <w:lang w:bidi="ar"/>
                    </w:rPr>
                  </w:pPr>
                  <w:r>
                    <w:rPr>
                      <w:rFonts w:hint="eastAsia" w:ascii="Times New Roman" w:hAnsi="Times New Roman" w:eastAsia="宋体" w:cs="宋体"/>
                      <w:color w:val="auto"/>
                      <w:kern w:val="0"/>
                      <w:sz w:val="21"/>
                      <w:szCs w:val="21"/>
                      <w:highlight w:val="none"/>
                      <w:lang w:bidi="ar"/>
                    </w:rPr>
                    <w:t>石方开挖</w:t>
                  </w:r>
                </w:p>
              </w:tc>
              <w:tc>
                <w:tcPr>
                  <w:tcW w:w="1907" w:type="dxa"/>
                  <w:tcBorders>
                    <w:tl2br w:val="nil"/>
                    <w:tr2bl w:val="nil"/>
                  </w:tcBorders>
                  <w:noWrap/>
                  <w:tcMar>
                    <w:top w:w="15" w:type="dxa"/>
                    <w:left w:w="15" w:type="dxa"/>
                    <w:right w:w="15" w:type="dxa"/>
                  </w:tcMar>
                  <w:vAlign w:val="center"/>
                </w:tcPr>
                <w:p w14:paraId="211649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bidi="ar"/>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2593.48</w:t>
                  </w:r>
                </w:p>
              </w:tc>
              <w:tc>
                <w:tcPr>
                  <w:tcW w:w="1912" w:type="dxa"/>
                  <w:vMerge w:val="continue"/>
                  <w:tcBorders>
                    <w:tl2br w:val="nil"/>
                    <w:tr2bl w:val="nil"/>
                  </w:tcBorders>
                  <w:noWrap/>
                  <w:tcMar>
                    <w:top w:w="15" w:type="dxa"/>
                    <w:left w:w="15" w:type="dxa"/>
                    <w:right w:w="15" w:type="dxa"/>
                  </w:tcMar>
                  <w:vAlign w:val="center"/>
                </w:tcPr>
                <w:p w14:paraId="227087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lang w:bidi="ar"/>
                    </w:rPr>
                  </w:pPr>
                </w:p>
              </w:tc>
              <w:tc>
                <w:tcPr>
                  <w:tcW w:w="1911" w:type="dxa"/>
                  <w:vMerge w:val="continue"/>
                  <w:tcBorders>
                    <w:tl2br w:val="nil"/>
                    <w:tr2bl w:val="nil"/>
                  </w:tcBorders>
                  <w:noWrap/>
                  <w:tcMar>
                    <w:top w:w="15" w:type="dxa"/>
                    <w:left w:w="15" w:type="dxa"/>
                    <w:right w:w="15" w:type="dxa"/>
                  </w:tcMar>
                  <w:vAlign w:val="center"/>
                </w:tcPr>
                <w:p w14:paraId="07AE4C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lang w:bidi="ar"/>
                    </w:rPr>
                  </w:pPr>
                </w:p>
              </w:tc>
            </w:tr>
            <w:tr w14:paraId="67796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063" w:type="pct"/>
                  <w:vMerge w:val="continue"/>
                  <w:tcBorders>
                    <w:tl2br w:val="nil"/>
                    <w:tr2bl w:val="nil"/>
                  </w:tcBorders>
                  <w:noWrap/>
                  <w:tcMar>
                    <w:top w:w="15" w:type="dxa"/>
                    <w:left w:w="15" w:type="dxa"/>
                    <w:right w:w="15" w:type="dxa"/>
                  </w:tcMar>
                  <w:vAlign w:val="center"/>
                </w:tcPr>
                <w:p w14:paraId="1737C4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color w:val="auto"/>
                      <w:kern w:val="0"/>
                      <w:sz w:val="21"/>
                      <w:szCs w:val="21"/>
                      <w:highlight w:val="none"/>
                      <w:lang w:bidi="ar"/>
                    </w:rPr>
                  </w:pPr>
                </w:p>
              </w:tc>
              <w:tc>
                <w:tcPr>
                  <w:tcW w:w="759" w:type="pct"/>
                  <w:tcBorders>
                    <w:tl2br w:val="nil"/>
                    <w:tr2bl w:val="nil"/>
                  </w:tcBorders>
                  <w:noWrap w:val="0"/>
                  <w:tcMar>
                    <w:top w:w="15" w:type="dxa"/>
                    <w:left w:w="15" w:type="dxa"/>
                    <w:right w:w="15" w:type="dxa"/>
                  </w:tcMar>
                  <w:vAlign w:val="center"/>
                </w:tcPr>
                <w:p w14:paraId="2370F8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color w:val="auto"/>
                      <w:kern w:val="0"/>
                      <w:sz w:val="21"/>
                      <w:szCs w:val="21"/>
                      <w:highlight w:val="none"/>
                      <w:lang w:val="en-US" w:eastAsia="zh-CN" w:bidi="ar"/>
                    </w:rPr>
                  </w:pPr>
                  <w:r>
                    <w:rPr>
                      <w:rFonts w:hint="eastAsia" w:ascii="Times New Roman" w:hAnsi="Times New Roman" w:eastAsia="宋体" w:cs="宋体"/>
                      <w:color w:val="auto"/>
                      <w:kern w:val="0"/>
                      <w:sz w:val="21"/>
                      <w:szCs w:val="21"/>
                      <w:highlight w:val="none"/>
                      <w:lang w:val="en-US" w:eastAsia="zh-CN" w:bidi="ar"/>
                    </w:rPr>
                    <w:t>小计</w:t>
                  </w:r>
                </w:p>
              </w:tc>
              <w:tc>
                <w:tcPr>
                  <w:tcW w:w="1907" w:type="dxa"/>
                  <w:tcBorders>
                    <w:tl2br w:val="nil"/>
                    <w:tr2bl w:val="nil"/>
                  </w:tcBorders>
                  <w:noWrap/>
                  <w:tcMar>
                    <w:top w:w="15" w:type="dxa"/>
                    <w:left w:w="15" w:type="dxa"/>
                    <w:right w:w="15" w:type="dxa"/>
                  </w:tcMar>
                  <w:vAlign w:val="center"/>
                </w:tcPr>
                <w:p w14:paraId="541BC1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bidi="ar"/>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85355.67</w:t>
                  </w:r>
                </w:p>
              </w:tc>
              <w:tc>
                <w:tcPr>
                  <w:tcW w:w="1912" w:type="dxa"/>
                  <w:tcBorders>
                    <w:tl2br w:val="nil"/>
                    <w:tr2bl w:val="nil"/>
                  </w:tcBorders>
                  <w:noWrap/>
                  <w:tcMar>
                    <w:top w:w="15" w:type="dxa"/>
                    <w:left w:w="15" w:type="dxa"/>
                    <w:right w:w="15" w:type="dxa"/>
                  </w:tcMar>
                  <w:vAlign w:val="center"/>
                </w:tcPr>
                <w:p w14:paraId="51BF54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bidi="ar"/>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57855.3</w:t>
                  </w:r>
                </w:p>
              </w:tc>
              <w:tc>
                <w:tcPr>
                  <w:tcW w:w="1911" w:type="dxa"/>
                  <w:tcBorders>
                    <w:tl2br w:val="nil"/>
                    <w:tr2bl w:val="nil"/>
                  </w:tcBorders>
                  <w:noWrap/>
                  <w:tcMar>
                    <w:top w:w="15" w:type="dxa"/>
                    <w:left w:w="15" w:type="dxa"/>
                    <w:right w:w="15" w:type="dxa"/>
                  </w:tcMar>
                  <w:vAlign w:val="center"/>
                </w:tcPr>
                <w:p w14:paraId="5821A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kern w:val="0"/>
                      <w:sz w:val="21"/>
                      <w:szCs w:val="21"/>
                      <w:highlight w:val="none"/>
                      <w:lang w:val="en-US" w:eastAsia="zh-CN" w:bidi="ar"/>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24906.89</w:t>
                  </w:r>
                </w:p>
              </w:tc>
            </w:tr>
            <w:tr w14:paraId="77214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 w:hRule="atLeast"/>
              </w:trPr>
              <w:tc>
                <w:tcPr>
                  <w:tcW w:w="1823" w:type="pct"/>
                  <w:gridSpan w:val="2"/>
                  <w:tcBorders>
                    <w:tl2br w:val="nil"/>
                    <w:tr2bl w:val="nil"/>
                  </w:tcBorders>
                  <w:noWrap/>
                  <w:tcMar>
                    <w:top w:w="15" w:type="dxa"/>
                    <w:left w:w="15" w:type="dxa"/>
                    <w:right w:w="15" w:type="dxa"/>
                  </w:tcMar>
                  <w:vAlign w:val="center"/>
                </w:tcPr>
                <w:p w14:paraId="7A4C11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s="宋体"/>
                      <w:color w:val="auto"/>
                      <w:kern w:val="0"/>
                      <w:sz w:val="21"/>
                      <w:szCs w:val="21"/>
                      <w:highlight w:val="none"/>
                      <w:lang w:bidi="ar"/>
                    </w:rPr>
                    <w:t>合计</w:t>
                  </w:r>
                </w:p>
              </w:tc>
              <w:tc>
                <w:tcPr>
                  <w:tcW w:w="1907" w:type="dxa"/>
                  <w:tcBorders>
                    <w:tl2br w:val="nil"/>
                    <w:tr2bl w:val="nil"/>
                  </w:tcBorders>
                  <w:noWrap/>
                  <w:tcMar>
                    <w:top w:w="15" w:type="dxa"/>
                    <w:left w:w="15" w:type="dxa"/>
                    <w:right w:w="15" w:type="dxa"/>
                  </w:tcMar>
                  <w:vAlign w:val="center"/>
                </w:tcPr>
                <w:p w14:paraId="54FAD1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161104.1</w:t>
                  </w:r>
                </w:p>
              </w:tc>
              <w:tc>
                <w:tcPr>
                  <w:tcW w:w="1912" w:type="dxa"/>
                  <w:tcBorders>
                    <w:tl2br w:val="nil"/>
                    <w:tr2bl w:val="nil"/>
                  </w:tcBorders>
                  <w:noWrap/>
                  <w:tcMar>
                    <w:top w:w="15" w:type="dxa"/>
                    <w:left w:w="15" w:type="dxa"/>
                    <w:right w:w="15" w:type="dxa"/>
                  </w:tcMar>
                  <w:vAlign w:val="center"/>
                </w:tcPr>
                <w:p w14:paraId="6A5E03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99259.34</w:t>
                  </w:r>
                </w:p>
              </w:tc>
              <w:tc>
                <w:tcPr>
                  <w:tcW w:w="1911" w:type="dxa"/>
                  <w:tcBorders>
                    <w:tl2br w:val="nil"/>
                    <w:tr2bl w:val="nil"/>
                  </w:tcBorders>
                  <w:noWrap/>
                  <w:tcMar>
                    <w:top w:w="15" w:type="dxa"/>
                    <w:left w:w="15" w:type="dxa"/>
                    <w:right w:w="15" w:type="dxa"/>
                  </w:tcMar>
                  <w:vAlign w:val="center"/>
                </w:tcPr>
                <w:p w14:paraId="561E84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56953.84</w:t>
                  </w:r>
                </w:p>
              </w:tc>
            </w:tr>
          </w:tbl>
          <w:p w14:paraId="298E9FFB">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2.3.5 项目施工设备清单</w:t>
            </w:r>
          </w:p>
          <w:p w14:paraId="0B5362FE">
            <w:pPr>
              <w:ind w:firstLine="480"/>
              <w:rPr>
                <w:rFonts w:hint="default" w:ascii="Times New Roman" w:hAnsi="Times New Roman" w:cs="Times New Roman"/>
                <w:color w:val="auto"/>
                <w:highlight w:val="none"/>
              </w:rPr>
            </w:pPr>
            <w:r>
              <w:rPr>
                <w:rFonts w:hint="eastAsia" w:cs="Times New Roman"/>
                <w:b w:val="0"/>
                <w:bCs w:val="0"/>
                <w:color w:val="auto"/>
                <w:sz w:val="24"/>
                <w:szCs w:val="24"/>
                <w:highlight w:val="none"/>
                <w:lang w:val="en-US" w:eastAsia="zh-CN"/>
              </w:rPr>
              <w:t>石河镇二郎段、福兴段与石河镇石河镇段、双拱场段共</w:t>
            </w:r>
            <w:r>
              <w:rPr>
                <w:rFonts w:hint="eastAsia" w:cs="Times New Roman"/>
                <w:color w:val="auto"/>
                <w:highlight w:val="none"/>
                <w:lang w:val="en-US" w:eastAsia="zh-CN"/>
              </w:rPr>
              <w:t>用1#施工场地内的施工设备。经向施工单位核实，两个</w:t>
            </w:r>
            <w:r>
              <w:rPr>
                <w:rFonts w:hint="default" w:ascii="Times New Roman" w:hAnsi="Times New Roman" w:cs="Times New Roman"/>
                <w:color w:val="auto"/>
                <w:highlight w:val="none"/>
              </w:rPr>
              <w:t>防洪治理工程</w:t>
            </w:r>
            <w:r>
              <w:rPr>
                <w:rFonts w:hint="eastAsia" w:cs="Times New Roman"/>
                <w:color w:val="auto"/>
                <w:highlight w:val="none"/>
                <w:lang w:val="en-US" w:eastAsia="zh-CN"/>
              </w:rPr>
              <w:t>不在同一时段内使用施工场地内的同一施工机械</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项目主要施工设备使用情况见表2.3-</w:t>
            </w:r>
            <w:r>
              <w:rPr>
                <w:rFonts w:hint="eastAsia" w:cs="Times New Roman"/>
                <w:color w:val="auto"/>
                <w:highlight w:val="none"/>
                <w:lang w:val="en-US" w:eastAsia="zh-CN"/>
              </w:rPr>
              <w:t>8</w:t>
            </w:r>
            <w:r>
              <w:rPr>
                <w:rFonts w:hint="default" w:ascii="Times New Roman" w:hAnsi="Times New Roman" w:cs="Times New Roman"/>
                <w:color w:val="auto"/>
                <w:highlight w:val="none"/>
              </w:rPr>
              <w:t>所示。</w:t>
            </w:r>
          </w:p>
          <w:p w14:paraId="70A002A2">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表2.3-</w:t>
            </w:r>
            <w:r>
              <w:rPr>
                <w:rFonts w:hint="eastAsia" w:cs="Times New Roman"/>
                <w:b/>
                <w:bCs/>
                <w:color w:val="auto"/>
                <w:highlight w:val="none"/>
                <w:lang w:val="en-US" w:eastAsia="zh-CN"/>
              </w:rPr>
              <w:t xml:space="preserve">8  </w:t>
            </w:r>
            <w:r>
              <w:rPr>
                <w:rFonts w:hint="default" w:ascii="Times New Roman" w:hAnsi="Times New Roman" w:cs="Times New Roman"/>
                <w:b/>
                <w:bCs/>
                <w:color w:val="auto"/>
                <w:highlight w:val="none"/>
              </w:rPr>
              <w:t>主要施工机械设备表</w:t>
            </w:r>
          </w:p>
          <w:tbl>
            <w:tblPr>
              <w:tblStyle w:val="11"/>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2359"/>
              <w:gridCol w:w="2427"/>
              <w:gridCol w:w="2203"/>
            </w:tblGrid>
            <w:tr w14:paraId="4B92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6D4490EE">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2359" w:type="dxa"/>
                  <w:noWrap w:val="0"/>
                  <w:vAlign w:val="center"/>
                </w:tcPr>
                <w:p w14:paraId="74AA3809">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主要机械名称</w:t>
                  </w:r>
                </w:p>
              </w:tc>
              <w:tc>
                <w:tcPr>
                  <w:tcW w:w="2427" w:type="dxa"/>
                  <w:noWrap w:val="0"/>
                  <w:vAlign w:val="center"/>
                </w:tcPr>
                <w:p w14:paraId="31008ED3">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规格</w:t>
                  </w:r>
                </w:p>
              </w:tc>
              <w:tc>
                <w:tcPr>
                  <w:tcW w:w="2203" w:type="dxa"/>
                  <w:noWrap w:val="0"/>
                  <w:vAlign w:val="center"/>
                </w:tcPr>
                <w:p w14:paraId="620CA3A4">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台数</w:t>
                  </w:r>
                </w:p>
              </w:tc>
            </w:tr>
            <w:tr w14:paraId="6798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56" w:type="dxa"/>
                  <w:gridSpan w:val="4"/>
                  <w:noWrap w:val="0"/>
                  <w:vAlign w:val="center"/>
                </w:tcPr>
                <w:p w14:paraId="0CD1CFBF">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一、石河镇二郎段、福兴段与石河镇石河镇段、双拱场段</w:t>
                  </w:r>
                </w:p>
              </w:tc>
            </w:tr>
            <w:tr w14:paraId="1B54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5AD538D1">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2359" w:type="dxa"/>
                  <w:noWrap w:val="0"/>
                  <w:vAlign w:val="center"/>
                </w:tcPr>
                <w:p w14:paraId="12D3B2B2">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单斗挖掘机</w:t>
                  </w:r>
                </w:p>
              </w:tc>
              <w:tc>
                <w:tcPr>
                  <w:tcW w:w="2427" w:type="dxa"/>
                  <w:noWrap w:val="0"/>
                  <w:vAlign w:val="center"/>
                </w:tcPr>
                <w:p w14:paraId="5EE8DBB7">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1.6m</w:t>
                  </w:r>
                  <w:r>
                    <w:rPr>
                      <w:rFonts w:hint="default" w:ascii="Times New Roman" w:hAnsi="Times New Roman" w:cs="Times New Roman"/>
                      <w:color w:val="auto"/>
                      <w:sz w:val="21"/>
                      <w:szCs w:val="21"/>
                      <w:highlight w:val="none"/>
                      <w:vertAlign w:val="superscript"/>
                    </w:rPr>
                    <w:t>3</w:t>
                  </w:r>
                </w:p>
              </w:tc>
              <w:tc>
                <w:tcPr>
                  <w:tcW w:w="2203" w:type="dxa"/>
                  <w:noWrap w:val="0"/>
                  <w:vAlign w:val="center"/>
                </w:tcPr>
                <w:p w14:paraId="3E350833">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p>
              </w:tc>
            </w:tr>
            <w:tr w14:paraId="58A1B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13EC695F">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2359" w:type="dxa"/>
                  <w:noWrap w:val="0"/>
                  <w:vAlign w:val="center"/>
                </w:tcPr>
                <w:p w14:paraId="2149C688">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挖掘机</w:t>
                  </w:r>
                </w:p>
              </w:tc>
              <w:tc>
                <w:tcPr>
                  <w:tcW w:w="2427" w:type="dxa"/>
                  <w:noWrap w:val="0"/>
                  <w:vAlign w:val="center"/>
                </w:tcPr>
                <w:p w14:paraId="1A3A6ECC">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1.0m</w:t>
                  </w:r>
                  <w:r>
                    <w:rPr>
                      <w:rFonts w:hint="default" w:ascii="Times New Roman" w:hAnsi="Times New Roman" w:cs="Times New Roman"/>
                      <w:color w:val="auto"/>
                      <w:sz w:val="21"/>
                      <w:szCs w:val="21"/>
                      <w:highlight w:val="none"/>
                      <w:vertAlign w:val="superscript"/>
                    </w:rPr>
                    <w:t>3</w:t>
                  </w:r>
                </w:p>
              </w:tc>
              <w:tc>
                <w:tcPr>
                  <w:tcW w:w="2203" w:type="dxa"/>
                  <w:noWrap w:val="0"/>
                  <w:vAlign w:val="center"/>
                </w:tcPr>
                <w:p w14:paraId="46373412">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p>
              </w:tc>
            </w:tr>
            <w:tr w14:paraId="60EE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2F99B870">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2359" w:type="dxa"/>
                  <w:noWrap w:val="0"/>
                  <w:vAlign w:val="center"/>
                </w:tcPr>
                <w:p w14:paraId="1C9D5B16">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挖掘机</w:t>
                  </w:r>
                </w:p>
              </w:tc>
              <w:tc>
                <w:tcPr>
                  <w:tcW w:w="2427" w:type="dxa"/>
                  <w:noWrap w:val="0"/>
                  <w:vAlign w:val="center"/>
                </w:tcPr>
                <w:p w14:paraId="4AEACE6C">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2.0m</w:t>
                  </w:r>
                  <w:r>
                    <w:rPr>
                      <w:rFonts w:hint="default" w:ascii="Times New Roman" w:hAnsi="Times New Roman" w:cs="Times New Roman"/>
                      <w:color w:val="auto"/>
                      <w:sz w:val="21"/>
                      <w:szCs w:val="21"/>
                      <w:highlight w:val="none"/>
                      <w:vertAlign w:val="superscript"/>
                    </w:rPr>
                    <w:t>3</w:t>
                  </w:r>
                </w:p>
              </w:tc>
              <w:tc>
                <w:tcPr>
                  <w:tcW w:w="2203" w:type="dxa"/>
                  <w:noWrap w:val="0"/>
                  <w:vAlign w:val="center"/>
                </w:tcPr>
                <w:p w14:paraId="4EFC1340">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p>
              </w:tc>
            </w:tr>
            <w:tr w14:paraId="6343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3F81635F">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2359" w:type="dxa"/>
                  <w:noWrap w:val="0"/>
                  <w:vAlign w:val="center"/>
                </w:tcPr>
                <w:p w14:paraId="60FDF9C4">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推土机</w:t>
                  </w:r>
                </w:p>
              </w:tc>
              <w:tc>
                <w:tcPr>
                  <w:tcW w:w="2427" w:type="dxa"/>
                  <w:noWrap w:val="0"/>
                  <w:vAlign w:val="center"/>
                </w:tcPr>
                <w:p w14:paraId="4F5C4627">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74kw</w:t>
                  </w:r>
                </w:p>
              </w:tc>
              <w:tc>
                <w:tcPr>
                  <w:tcW w:w="2203" w:type="dxa"/>
                  <w:noWrap w:val="0"/>
                  <w:vAlign w:val="center"/>
                </w:tcPr>
                <w:p w14:paraId="233C87CE">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p>
              </w:tc>
            </w:tr>
            <w:tr w14:paraId="61E12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727976E3">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2359" w:type="dxa"/>
                  <w:noWrap w:val="0"/>
                  <w:vAlign w:val="center"/>
                </w:tcPr>
                <w:p w14:paraId="1E42AB97">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蛙式打夯机</w:t>
                  </w:r>
                </w:p>
              </w:tc>
              <w:tc>
                <w:tcPr>
                  <w:tcW w:w="2427" w:type="dxa"/>
                  <w:noWrap w:val="0"/>
                  <w:vAlign w:val="center"/>
                </w:tcPr>
                <w:p w14:paraId="12D10252">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2.8kw</w:t>
                  </w:r>
                </w:p>
              </w:tc>
              <w:tc>
                <w:tcPr>
                  <w:tcW w:w="2203" w:type="dxa"/>
                  <w:noWrap w:val="0"/>
                  <w:vAlign w:val="center"/>
                </w:tcPr>
                <w:p w14:paraId="7C9345F3">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p>
              </w:tc>
            </w:tr>
            <w:tr w14:paraId="1EDE1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39945348">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2359" w:type="dxa"/>
                  <w:noWrap w:val="0"/>
                  <w:vAlign w:val="center"/>
                </w:tcPr>
                <w:p w14:paraId="781D1611">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水泵</w:t>
                  </w:r>
                </w:p>
              </w:tc>
              <w:tc>
                <w:tcPr>
                  <w:tcW w:w="2427" w:type="dxa"/>
                  <w:noWrap w:val="0"/>
                  <w:vAlign w:val="center"/>
                </w:tcPr>
                <w:p w14:paraId="205739F4">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2.2kw</w:t>
                  </w:r>
                </w:p>
              </w:tc>
              <w:tc>
                <w:tcPr>
                  <w:tcW w:w="2203" w:type="dxa"/>
                  <w:noWrap w:val="0"/>
                  <w:vAlign w:val="center"/>
                </w:tcPr>
                <w:p w14:paraId="15492913">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1</w:t>
                  </w:r>
                </w:p>
              </w:tc>
            </w:tr>
            <w:tr w14:paraId="17F8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414B003A">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2359" w:type="dxa"/>
                  <w:noWrap w:val="0"/>
                  <w:vAlign w:val="center"/>
                </w:tcPr>
                <w:p w14:paraId="14A8F125">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拖拉机履带式</w:t>
                  </w:r>
                </w:p>
              </w:tc>
              <w:tc>
                <w:tcPr>
                  <w:tcW w:w="2427" w:type="dxa"/>
                  <w:noWrap w:val="0"/>
                  <w:vAlign w:val="center"/>
                </w:tcPr>
                <w:p w14:paraId="2010EDC7">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74kw</w:t>
                  </w:r>
                </w:p>
              </w:tc>
              <w:tc>
                <w:tcPr>
                  <w:tcW w:w="2203" w:type="dxa"/>
                  <w:noWrap w:val="0"/>
                  <w:vAlign w:val="center"/>
                </w:tcPr>
                <w:p w14:paraId="2D91EE6D">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w:t>
                  </w:r>
                </w:p>
              </w:tc>
            </w:tr>
            <w:tr w14:paraId="2E3E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694F2DF8">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2359" w:type="dxa"/>
                  <w:noWrap w:val="0"/>
                  <w:vAlign w:val="center"/>
                </w:tcPr>
                <w:p w14:paraId="06E6D4A4">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振动碾</w:t>
                  </w:r>
                </w:p>
              </w:tc>
              <w:tc>
                <w:tcPr>
                  <w:tcW w:w="2427" w:type="dxa"/>
                  <w:noWrap w:val="0"/>
                  <w:vAlign w:val="center"/>
                </w:tcPr>
                <w:p w14:paraId="46BCE3A6">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t</w:t>
                  </w:r>
                </w:p>
              </w:tc>
              <w:tc>
                <w:tcPr>
                  <w:tcW w:w="2203" w:type="dxa"/>
                  <w:noWrap w:val="0"/>
                  <w:vAlign w:val="center"/>
                </w:tcPr>
                <w:p w14:paraId="2B0B49EF">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p>
              </w:tc>
            </w:tr>
            <w:tr w14:paraId="1F1B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31243B23">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2359" w:type="dxa"/>
                  <w:noWrap w:val="0"/>
                  <w:vAlign w:val="center"/>
                </w:tcPr>
                <w:p w14:paraId="6CCE2F41">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混凝土拌和机</w:t>
                  </w:r>
                </w:p>
              </w:tc>
              <w:tc>
                <w:tcPr>
                  <w:tcW w:w="2427" w:type="dxa"/>
                  <w:noWrap w:val="0"/>
                  <w:vAlign w:val="center"/>
                </w:tcPr>
                <w:p w14:paraId="60019865">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0.4m</w:t>
                  </w:r>
                  <w:r>
                    <w:rPr>
                      <w:rFonts w:hint="default" w:ascii="Times New Roman" w:hAnsi="Times New Roman" w:cs="Times New Roman"/>
                      <w:color w:val="auto"/>
                      <w:sz w:val="21"/>
                      <w:szCs w:val="21"/>
                      <w:highlight w:val="none"/>
                      <w:vertAlign w:val="superscript"/>
                    </w:rPr>
                    <w:t>3</w:t>
                  </w:r>
                </w:p>
              </w:tc>
              <w:tc>
                <w:tcPr>
                  <w:tcW w:w="2203" w:type="dxa"/>
                  <w:noWrap w:val="0"/>
                  <w:vAlign w:val="center"/>
                </w:tcPr>
                <w:p w14:paraId="723AC27F">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p>
              </w:tc>
            </w:tr>
            <w:tr w14:paraId="14A3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10B37194">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359" w:type="dxa"/>
                  <w:noWrap w:val="0"/>
                  <w:vAlign w:val="center"/>
                </w:tcPr>
                <w:p w14:paraId="572E37DC">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混凝土输送泵</w:t>
                  </w:r>
                </w:p>
              </w:tc>
              <w:tc>
                <w:tcPr>
                  <w:tcW w:w="2427" w:type="dxa"/>
                  <w:noWrap w:val="0"/>
                  <w:vAlign w:val="center"/>
                </w:tcPr>
                <w:p w14:paraId="65941112">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p>
              </w:tc>
              <w:tc>
                <w:tcPr>
                  <w:tcW w:w="2203" w:type="dxa"/>
                  <w:noWrap w:val="0"/>
                  <w:vAlign w:val="center"/>
                </w:tcPr>
                <w:p w14:paraId="780E94BF">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p>
              </w:tc>
            </w:tr>
            <w:tr w14:paraId="1F16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580CA9EA">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2359" w:type="dxa"/>
                  <w:noWrap w:val="0"/>
                  <w:vAlign w:val="center"/>
                </w:tcPr>
                <w:p w14:paraId="29B01D35">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插入式振捣器</w:t>
                  </w:r>
                </w:p>
              </w:tc>
              <w:tc>
                <w:tcPr>
                  <w:tcW w:w="2427" w:type="dxa"/>
                  <w:noWrap w:val="0"/>
                  <w:vAlign w:val="center"/>
                </w:tcPr>
                <w:p w14:paraId="5EF4002D">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1.1kw</w:t>
                  </w:r>
                </w:p>
              </w:tc>
              <w:tc>
                <w:tcPr>
                  <w:tcW w:w="2203" w:type="dxa"/>
                  <w:noWrap w:val="0"/>
                  <w:vAlign w:val="center"/>
                </w:tcPr>
                <w:p w14:paraId="1A76D59F">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w:t>
                  </w:r>
                </w:p>
              </w:tc>
            </w:tr>
            <w:tr w14:paraId="1CA0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3D2DEED3">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2359" w:type="dxa"/>
                  <w:noWrap w:val="0"/>
                  <w:vAlign w:val="center"/>
                </w:tcPr>
                <w:p w14:paraId="576F45C3">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风(砂)水枪</w:t>
                  </w:r>
                </w:p>
              </w:tc>
              <w:tc>
                <w:tcPr>
                  <w:tcW w:w="2427" w:type="dxa"/>
                  <w:noWrap w:val="0"/>
                  <w:vAlign w:val="center"/>
                </w:tcPr>
                <w:p w14:paraId="3D558CD3">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/min</w:t>
                  </w:r>
                </w:p>
              </w:tc>
              <w:tc>
                <w:tcPr>
                  <w:tcW w:w="2203" w:type="dxa"/>
                  <w:noWrap w:val="0"/>
                  <w:vAlign w:val="center"/>
                </w:tcPr>
                <w:p w14:paraId="2BBCFF1E">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p>
              </w:tc>
            </w:tr>
            <w:tr w14:paraId="4936F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63C51BB3">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2359" w:type="dxa"/>
                  <w:noWrap w:val="0"/>
                  <w:vAlign w:val="center"/>
                </w:tcPr>
                <w:p w14:paraId="0A232857">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载重汽车</w:t>
                  </w:r>
                </w:p>
              </w:tc>
              <w:tc>
                <w:tcPr>
                  <w:tcW w:w="2427" w:type="dxa"/>
                  <w:noWrap w:val="0"/>
                  <w:vAlign w:val="center"/>
                </w:tcPr>
                <w:p w14:paraId="22A5ABD7">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5t</w:t>
                  </w:r>
                </w:p>
              </w:tc>
              <w:tc>
                <w:tcPr>
                  <w:tcW w:w="2203" w:type="dxa"/>
                  <w:noWrap w:val="0"/>
                  <w:vAlign w:val="center"/>
                </w:tcPr>
                <w:p w14:paraId="2E083B80">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w:t>
                  </w:r>
                </w:p>
              </w:tc>
            </w:tr>
            <w:tr w14:paraId="1C40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1D0CDFCA">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w:t>
                  </w:r>
                </w:p>
              </w:tc>
              <w:tc>
                <w:tcPr>
                  <w:tcW w:w="2359" w:type="dxa"/>
                  <w:noWrap w:val="0"/>
                  <w:vAlign w:val="center"/>
                </w:tcPr>
                <w:p w14:paraId="7402958D">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载重汽车</w:t>
                  </w:r>
                </w:p>
              </w:tc>
              <w:tc>
                <w:tcPr>
                  <w:tcW w:w="2427" w:type="dxa"/>
                  <w:noWrap w:val="0"/>
                  <w:vAlign w:val="center"/>
                </w:tcPr>
                <w:p w14:paraId="70968AA1">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10t</w:t>
                  </w:r>
                </w:p>
              </w:tc>
              <w:tc>
                <w:tcPr>
                  <w:tcW w:w="2203" w:type="dxa"/>
                  <w:noWrap w:val="0"/>
                  <w:vAlign w:val="center"/>
                </w:tcPr>
                <w:p w14:paraId="60116E9B">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p>
              </w:tc>
            </w:tr>
            <w:tr w14:paraId="30A2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67" w:type="dxa"/>
                  <w:noWrap w:val="0"/>
                  <w:vAlign w:val="center"/>
                </w:tcPr>
                <w:p w14:paraId="0EA5AE64">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2359" w:type="dxa"/>
                  <w:noWrap w:val="0"/>
                  <w:vAlign w:val="center"/>
                </w:tcPr>
                <w:p w14:paraId="4582B239">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自卸汽车</w:t>
                  </w:r>
                </w:p>
              </w:tc>
              <w:tc>
                <w:tcPr>
                  <w:tcW w:w="2427" w:type="dxa"/>
                  <w:noWrap w:val="0"/>
                  <w:vAlign w:val="center"/>
                </w:tcPr>
                <w:p w14:paraId="62037D76">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t</w:t>
                  </w:r>
                </w:p>
              </w:tc>
              <w:tc>
                <w:tcPr>
                  <w:tcW w:w="2203" w:type="dxa"/>
                  <w:noWrap w:val="0"/>
                  <w:vAlign w:val="center"/>
                </w:tcPr>
                <w:p w14:paraId="6A3DD5EA">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p>
              </w:tc>
            </w:tr>
            <w:tr w14:paraId="316C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322486AF">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w:t>
                  </w:r>
                </w:p>
              </w:tc>
              <w:tc>
                <w:tcPr>
                  <w:tcW w:w="2359" w:type="dxa"/>
                  <w:noWrap w:val="0"/>
                  <w:vAlign w:val="center"/>
                </w:tcPr>
                <w:p w14:paraId="1BE313D1">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胶轮车</w:t>
                  </w:r>
                </w:p>
              </w:tc>
              <w:tc>
                <w:tcPr>
                  <w:tcW w:w="2427" w:type="dxa"/>
                  <w:noWrap w:val="0"/>
                  <w:vAlign w:val="center"/>
                </w:tcPr>
                <w:p w14:paraId="45F5BB31">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203" w:type="dxa"/>
                  <w:noWrap w:val="0"/>
                  <w:vAlign w:val="center"/>
                </w:tcPr>
                <w:p w14:paraId="0C7A54AA">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w:t>
                  </w:r>
                </w:p>
              </w:tc>
            </w:tr>
            <w:tr w14:paraId="6DBA4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2702266F">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w:t>
                  </w:r>
                </w:p>
              </w:tc>
              <w:tc>
                <w:tcPr>
                  <w:tcW w:w="2359" w:type="dxa"/>
                  <w:noWrap w:val="0"/>
                  <w:vAlign w:val="center"/>
                </w:tcPr>
                <w:p w14:paraId="4A3CB508">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汽车起重机</w:t>
                  </w:r>
                </w:p>
              </w:tc>
              <w:tc>
                <w:tcPr>
                  <w:tcW w:w="2427" w:type="dxa"/>
                  <w:noWrap w:val="0"/>
                  <w:vAlign w:val="center"/>
                </w:tcPr>
                <w:p w14:paraId="5F07A63E">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5t</w:t>
                  </w:r>
                </w:p>
              </w:tc>
              <w:tc>
                <w:tcPr>
                  <w:tcW w:w="2203" w:type="dxa"/>
                  <w:noWrap w:val="0"/>
                  <w:vAlign w:val="center"/>
                </w:tcPr>
                <w:p w14:paraId="24D24311">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p>
              </w:tc>
            </w:tr>
            <w:tr w14:paraId="77AC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067" w:type="dxa"/>
                  <w:noWrap w:val="0"/>
                  <w:vAlign w:val="center"/>
                </w:tcPr>
                <w:p w14:paraId="14CC25CD">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w:t>
                  </w:r>
                </w:p>
              </w:tc>
              <w:tc>
                <w:tcPr>
                  <w:tcW w:w="2359" w:type="dxa"/>
                  <w:noWrap w:val="0"/>
                  <w:vAlign w:val="center"/>
                </w:tcPr>
                <w:p w14:paraId="6D816AB6">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电动葫芦</w:t>
                  </w:r>
                </w:p>
              </w:tc>
              <w:tc>
                <w:tcPr>
                  <w:tcW w:w="2427" w:type="dxa"/>
                  <w:noWrap w:val="0"/>
                  <w:vAlign w:val="center"/>
                </w:tcPr>
                <w:p w14:paraId="049D03F8">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3t</w:t>
                  </w:r>
                </w:p>
              </w:tc>
              <w:tc>
                <w:tcPr>
                  <w:tcW w:w="2203" w:type="dxa"/>
                  <w:noWrap w:val="0"/>
                  <w:vAlign w:val="center"/>
                </w:tcPr>
                <w:p w14:paraId="439FC190">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p>
              </w:tc>
            </w:tr>
            <w:tr w14:paraId="46C29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0958D011">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w:t>
                  </w:r>
                </w:p>
              </w:tc>
              <w:tc>
                <w:tcPr>
                  <w:tcW w:w="2359" w:type="dxa"/>
                  <w:noWrap w:val="0"/>
                  <w:vAlign w:val="center"/>
                </w:tcPr>
                <w:p w14:paraId="38A9A1F4">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电焊机</w:t>
                  </w:r>
                </w:p>
              </w:tc>
              <w:tc>
                <w:tcPr>
                  <w:tcW w:w="2427" w:type="dxa"/>
                  <w:noWrap w:val="0"/>
                  <w:vAlign w:val="center"/>
                </w:tcPr>
                <w:p w14:paraId="6621C444">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交流 25kVA</w:t>
                  </w:r>
                </w:p>
              </w:tc>
              <w:tc>
                <w:tcPr>
                  <w:tcW w:w="2203" w:type="dxa"/>
                  <w:noWrap w:val="0"/>
                  <w:vAlign w:val="center"/>
                </w:tcPr>
                <w:p w14:paraId="01ACCE5D">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w:t>
                  </w:r>
                </w:p>
              </w:tc>
            </w:tr>
            <w:tr w14:paraId="1900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3776F403">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2359" w:type="dxa"/>
                  <w:noWrap w:val="0"/>
                  <w:vAlign w:val="center"/>
                </w:tcPr>
                <w:p w14:paraId="169EAB8F">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对焊机</w:t>
                  </w:r>
                </w:p>
              </w:tc>
              <w:tc>
                <w:tcPr>
                  <w:tcW w:w="2427" w:type="dxa"/>
                  <w:noWrap w:val="0"/>
                  <w:vAlign w:val="center"/>
                </w:tcPr>
                <w:p w14:paraId="569F70F4">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电弧型 150</w:t>
                  </w:r>
                </w:p>
              </w:tc>
              <w:tc>
                <w:tcPr>
                  <w:tcW w:w="2203" w:type="dxa"/>
                  <w:noWrap w:val="0"/>
                  <w:vAlign w:val="center"/>
                </w:tcPr>
                <w:p w14:paraId="6B161F48">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p>
              </w:tc>
            </w:tr>
            <w:tr w14:paraId="7B55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5E3907A0">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w:t>
                  </w:r>
                </w:p>
              </w:tc>
              <w:tc>
                <w:tcPr>
                  <w:tcW w:w="2359" w:type="dxa"/>
                  <w:noWrap w:val="0"/>
                  <w:vAlign w:val="center"/>
                </w:tcPr>
                <w:p w14:paraId="2B5F8C67">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钢筋弯曲机</w:t>
                  </w:r>
                </w:p>
              </w:tc>
              <w:tc>
                <w:tcPr>
                  <w:tcW w:w="2427" w:type="dxa"/>
                  <w:noWrap w:val="0"/>
                  <w:vAlign w:val="center"/>
                </w:tcPr>
                <w:p w14:paraId="57B513DA">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Φ6-40</w:t>
                  </w:r>
                </w:p>
              </w:tc>
              <w:tc>
                <w:tcPr>
                  <w:tcW w:w="2203" w:type="dxa"/>
                  <w:noWrap w:val="0"/>
                  <w:vAlign w:val="center"/>
                </w:tcPr>
                <w:p w14:paraId="37AE4EBD">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p>
              </w:tc>
            </w:tr>
            <w:tr w14:paraId="6AFB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7" w:type="dxa"/>
                  <w:noWrap w:val="0"/>
                  <w:vAlign w:val="center"/>
                </w:tcPr>
                <w:p w14:paraId="2E1DE53B">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w:t>
                  </w:r>
                </w:p>
              </w:tc>
              <w:tc>
                <w:tcPr>
                  <w:tcW w:w="2359" w:type="dxa"/>
                  <w:noWrap w:val="0"/>
                  <w:vAlign w:val="center"/>
                </w:tcPr>
                <w:p w14:paraId="03E4EBAC">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钢筋切断机</w:t>
                  </w:r>
                </w:p>
              </w:tc>
              <w:tc>
                <w:tcPr>
                  <w:tcW w:w="2427" w:type="dxa"/>
                  <w:noWrap w:val="0"/>
                  <w:vAlign w:val="center"/>
                </w:tcPr>
                <w:p w14:paraId="27E2ED44">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20kW</w:t>
                  </w:r>
                </w:p>
              </w:tc>
              <w:tc>
                <w:tcPr>
                  <w:tcW w:w="2203" w:type="dxa"/>
                  <w:noWrap w:val="0"/>
                  <w:vAlign w:val="center"/>
                </w:tcPr>
                <w:p w14:paraId="0FCDF608">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p>
              </w:tc>
            </w:tr>
            <w:tr w14:paraId="6FE9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4B7227AF">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23</w:t>
                  </w:r>
                </w:p>
              </w:tc>
              <w:tc>
                <w:tcPr>
                  <w:tcW w:w="2359" w:type="dxa"/>
                  <w:noWrap w:val="0"/>
                  <w:vAlign w:val="center"/>
                </w:tcPr>
                <w:p w14:paraId="4C3B2DF5">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钢筋调直机</w:t>
                  </w:r>
                </w:p>
              </w:tc>
              <w:tc>
                <w:tcPr>
                  <w:tcW w:w="2427" w:type="dxa"/>
                  <w:noWrap w:val="0"/>
                  <w:vAlign w:val="center"/>
                </w:tcPr>
                <w:p w14:paraId="4301F166">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4~14kW</w:t>
                  </w:r>
                </w:p>
              </w:tc>
              <w:tc>
                <w:tcPr>
                  <w:tcW w:w="2203" w:type="dxa"/>
                  <w:noWrap w:val="0"/>
                  <w:vAlign w:val="center"/>
                </w:tcPr>
                <w:p w14:paraId="29DF4379">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w:t>
                  </w:r>
                </w:p>
              </w:tc>
            </w:tr>
            <w:tr w14:paraId="3A1B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0027A659">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w:t>
                  </w:r>
                </w:p>
              </w:tc>
              <w:tc>
                <w:tcPr>
                  <w:tcW w:w="2359" w:type="dxa"/>
                  <w:noWrap w:val="0"/>
                  <w:vAlign w:val="center"/>
                </w:tcPr>
                <w:p w14:paraId="1F3D32E0">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柴油发电机</w:t>
                  </w:r>
                </w:p>
              </w:tc>
              <w:tc>
                <w:tcPr>
                  <w:tcW w:w="2427" w:type="dxa"/>
                  <w:noWrap w:val="0"/>
                  <w:vAlign w:val="center"/>
                </w:tcPr>
                <w:p w14:paraId="7A55B348">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移动式</w:t>
                  </w:r>
                  <w:r>
                    <w:rPr>
                      <w:rFonts w:hint="default" w:ascii="Times New Roman" w:hAnsi="Times New Roman" w:eastAsia="TimesNewRomanPSMT" w:cs="Times New Roman"/>
                      <w:color w:val="auto"/>
                      <w:sz w:val="21"/>
                      <w:szCs w:val="21"/>
                      <w:highlight w:val="none"/>
                    </w:rPr>
                    <w:t>50K</w:t>
                  </w:r>
                  <w:r>
                    <w:rPr>
                      <w:rFonts w:hint="default" w:ascii="Times New Roman" w:hAnsi="Times New Roman" w:cs="Times New Roman"/>
                      <w:color w:val="auto"/>
                      <w:sz w:val="21"/>
                      <w:szCs w:val="21"/>
                      <w:highlight w:val="none"/>
                    </w:rPr>
                    <w:t>W</w:t>
                  </w:r>
                </w:p>
              </w:tc>
              <w:tc>
                <w:tcPr>
                  <w:tcW w:w="2203" w:type="dxa"/>
                  <w:noWrap w:val="0"/>
                  <w:vAlign w:val="center"/>
                </w:tcPr>
                <w:p w14:paraId="603AAFD6">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r>
            <w:tr w14:paraId="1D04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9056" w:type="dxa"/>
                  <w:gridSpan w:val="4"/>
                  <w:noWrap w:val="0"/>
                  <w:vAlign w:val="center"/>
                </w:tcPr>
                <w:p w14:paraId="75491360">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二、东柳河清河镇及杨家镇段</w:t>
                  </w:r>
                </w:p>
              </w:tc>
            </w:tr>
            <w:tr w14:paraId="3A3C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624634CE">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2359" w:type="dxa"/>
                  <w:shd w:val="clear" w:color="auto" w:fill="auto"/>
                  <w:noWrap w:val="0"/>
                  <w:vAlign w:val="center"/>
                </w:tcPr>
                <w:p w14:paraId="62CC57FD">
                  <w:pPr>
                    <w:keepNext w:val="0"/>
                    <w:keepLines w:val="0"/>
                    <w:pageBreakBefore w:val="0"/>
                    <w:widowControl/>
                    <w:wordWrap/>
                    <w:topLinePunct w:val="0"/>
                    <w:autoSpaceDE/>
                    <w:autoSpaceDN/>
                    <w:bidi w:val="0"/>
                    <w:adjustRightInd/>
                    <w:snapToGrid/>
                    <w:spacing w:line="240" w:lineRule="exact"/>
                    <w:ind w:firstLine="420" w:firstLineChars="20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olor w:val="auto"/>
                      <w:sz w:val="21"/>
                      <w:szCs w:val="21"/>
                      <w:highlight w:val="none"/>
                    </w:rPr>
                    <w:t>挖掘机</w:t>
                  </w:r>
                </w:p>
              </w:tc>
              <w:tc>
                <w:tcPr>
                  <w:tcW w:w="2427" w:type="dxa"/>
                  <w:shd w:val="clear" w:color="auto" w:fill="auto"/>
                  <w:noWrap w:val="0"/>
                  <w:vAlign w:val="center"/>
                </w:tcPr>
                <w:p w14:paraId="5D9BCEFE">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1.0m</w:t>
                  </w:r>
                  <w:r>
                    <w:rPr>
                      <w:color w:val="auto"/>
                      <w:sz w:val="21"/>
                      <w:szCs w:val="21"/>
                      <w:highlight w:val="none"/>
                      <w:vertAlign w:val="superscript"/>
                    </w:rPr>
                    <w:t>3</w:t>
                  </w:r>
                </w:p>
              </w:tc>
              <w:tc>
                <w:tcPr>
                  <w:tcW w:w="2203" w:type="dxa"/>
                  <w:shd w:val="clear" w:color="auto" w:fill="auto"/>
                  <w:noWrap w:val="0"/>
                  <w:vAlign w:val="center"/>
                </w:tcPr>
                <w:p w14:paraId="5231BB1A">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eastAsia="宋体"/>
                      <w:color w:val="auto"/>
                      <w:sz w:val="21"/>
                      <w:szCs w:val="21"/>
                      <w:highlight w:val="none"/>
                      <w:lang w:val="en-US" w:eastAsia="zh-CN"/>
                    </w:rPr>
                    <w:t>4</w:t>
                  </w:r>
                </w:p>
              </w:tc>
            </w:tr>
            <w:tr w14:paraId="357C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5E1AB9FD">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26</w:t>
                  </w:r>
                </w:p>
              </w:tc>
              <w:tc>
                <w:tcPr>
                  <w:tcW w:w="2359" w:type="dxa"/>
                  <w:shd w:val="clear" w:color="auto" w:fill="auto"/>
                  <w:noWrap w:val="0"/>
                  <w:vAlign w:val="center"/>
                </w:tcPr>
                <w:p w14:paraId="7CA4BB8D">
                  <w:pPr>
                    <w:keepNext w:val="0"/>
                    <w:keepLines w:val="0"/>
                    <w:pageBreakBefore w:val="0"/>
                    <w:widowControl/>
                    <w:wordWrap/>
                    <w:topLinePunct w:val="0"/>
                    <w:autoSpaceDE/>
                    <w:autoSpaceDN/>
                    <w:bidi w:val="0"/>
                    <w:adjustRightInd/>
                    <w:snapToGrid/>
                    <w:spacing w:line="240" w:lineRule="exact"/>
                    <w:ind w:firstLine="420" w:firstLineChars="20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ascii="Times New Roman" w:hAnsi="Times New Roman" w:eastAsia="宋体"/>
                      <w:color w:val="auto"/>
                      <w:sz w:val="21"/>
                      <w:szCs w:val="21"/>
                      <w:highlight w:val="none"/>
                    </w:rPr>
                    <w:t>挖掘机</w:t>
                  </w:r>
                </w:p>
              </w:tc>
              <w:tc>
                <w:tcPr>
                  <w:tcW w:w="2427" w:type="dxa"/>
                  <w:shd w:val="clear" w:color="auto" w:fill="auto"/>
                  <w:noWrap w:val="0"/>
                  <w:vAlign w:val="center"/>
                </w:tcPr>
                <w:p w14:paraId="36F95D51">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2.03m</w:t>
                  </w:r>
                  <w:r>
                    <w:rPr>
                      <w:color w:val="auto"/>
                      <w:sz w:val="21"/>
                      <w:szCs w:val="21"/>
                      <w:highlight w:val="none"/>
                      <w:vertAlign w:val="superscript"/>
                    </w:rPr>
                    <w:t>3</w:t>
                  </w:r>
                </w:p>
              </w:tc>
              <w:tc>
                <w:tcPr>
                  <w:tcW w:w="2203" w:type="dxa"/>
                  <w:shd w:val="clear" w:color="auto" w:fill="auto"/>
                  <w:noWrap w:val="0"/>
                  <w:vAlign w:val="center"/>
                </w:tcPr>
                <w:p w14:paraId="4535B4AD">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eastAsia="宋体"/>
                      <w:color w:val="auto"/>
                      <w:sz w:val="21"/>
                      <w:szCs w:val="21"/>
                      <w:highlight w:val="none"/>
                      <w:lang w:val="en-US" w:eastAsia="zh-CN"/>
                    </w:rPr>
                    <w:t>8</w:t>
                  </w:r>
                </w:p>
              </w:tc>
            </w:tr>
            <w:tr w14:paraId="17FA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7BFE420E">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2359" w:type="dxa"/>
                  <w:shd w:val="clear" w:color="auto" w:fill="auto"/>
                  <w:noWrap w:val="0"/>
                  <w:vAlign w:val="center"/>
                </w:tcPr>
                <w:p w14:paraId="4C3A6E81">
                  <w:pPr>
                    <w:keepNext w:val="0"/>
                    <w:keepLines w:val="0"/>
                    <w:pageBreakBefore w:val="0"/>
                    <w:widowControl/>
                    <w:wordWrap/>
                    <w:topLinePunct w:val="0"/>
                    <w:autoSpaceDE/>
                    <w:autoSpaceDN/>
                    <w:bidi w:val="0"/>
                    <w:adjustRightInd/>
                    <w:snapToGrid/>
                    <w:spacing w:line="240" w:lineRule="exact"/>
                    <w:ind w:firstLine="420" w:firstLineChars="20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装载机</w:t>
                  </w:r>
                </w:p>
              </w:tc>
              <w:tc>
                <w:tcPr>
                  <w:tcW w:w="2427" w:type="dxa"/>
                  <w:shd w:val="clear" w:color="auto" w:fill="auto"/>
                  <w:noWrap w:val="0"/>
                  <w:vAlign w:val="center"/>
                </w:tcPr>
                <w:p w14:paraId="13465AA4">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2.0m</w:t>
                  </w:r>
                  <w:r>
                    <w:rPr>
                      <w:color w:val="auto"/>
                      <w:sz w:val="21"/>
                      <w:szCs w:val="21"/>
                      <w:highlight w:val="none"/>
                      <w:vertAlign w:val="superscript"/>
                    </w:rPr>
                    <w:t>3</w:t>
                  </w:r>
                </w:p>
              </w:tc>
              <w:tc>
                <w:tcPr>
                  <w:tcW w:w="2203" w:type="dxa"/>
                  <w:shd w:val="clear" w:color="auto" w:fill="auto"/>
                  <w:noWrap w:val="0"/>
                  <w:vAlign w:val="center"/>
                </w:tcPr>
                <w:p w14:paraId="7EF2E897">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eastAsia="宋体"/>
                      <w:color w:val="auto"/>
                      <w:sz w:val="21"/>
                      <w:szCs w:val="21"/>
                      <w:highlight w:val="none"/>
                      <w:lang w:val="en-US" w:eastAsia="zh-CN"/>
                    </w:rPr>
                    <w:t>8</w:t>
                  </w:r>
                </w:p>
              </w:tc>
            </w:tr>
            <w:tr w14:paraId="279F2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613394B0">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28</w:t>
                  </w:r>
                </w:p>
              </w:tc>
              <w:tc>
                <w:tcPr>
                  <w:tcW w:w="2359" w:type="dxa"/>
                  <w:shd w:val="clear" w:color="auto" w:fill="auto"/>
                  <w:noWrap w:val="0"/>
                  <w:vAlign w:val="center"/>
                </w:tcPr>
                <w:p w14:paraId="459A9006">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推土机</w:t>
                  </w:r>
                </w:p>
              </w:tc>
              <w:tc>
                <w:tcPr>
                  <w:tcW w:w="2427" w:type="dxa"/>
                  <w:shd w:val="clear" w:color="auto" w:fill="auto"/>
                  <w:noWrap w:val="0"/>
                  <w:vAlign w:val="center"/>
                </w:tcPr>
                <w:p w14:paraId="1DA2A9E2">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88kW</w:t>
                  </w:r>
                </w:p>
              </w:tc>
              <w:tc>
                <w:tcPr>
                  <w:tcW w:w="2203" w:type="dxa"/>
                  <w:shd w:val="clear" w:color="auto" w:fill="auto"/>
                  <w:noWrap w:val="0"/>
                  <w:vAlign w:val="center"/>
                </w:tcPr>
                <w:p w14:paraId="47D22CF7">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eastAsia="宋体"/>
                      <w:color w:val="auto"/>
                      <w:sz w:val="21"/>
                      <w:szCs w:val="21"/>
                      <w:highlight w:val="none"/>
                      <w:lang w:val="en-US" w:eastAsia="zh-CN"/>
                    </w:rPr>
                    <w:t>4</w:t>
                  </w:r>
                </w:p>
              </w:tc>
            </w:tr>
            <w:tr w14:paraId="1010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6D8BE307">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29</w:t>
                  </w:r>
                </w:p>
              </w:tc>
              <w:tc>
                <w:tcPr>
                  <w:tcW w:w="2359" w:type="dxa"/>
                  <w:shd w:val="clear" w:color="auto" w:fill="auto"/>
                  <w:noWrap w:val="0"/>
                  <w:vAlign w:val="center"/>
                </w:tcPr>
                <w:p w14:paraId="65E01A63">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振动碾</w:t>
                  </w:r>
                </w:p>
              </w:tc>
              <w:tc>
                <w:tcPr>
                  <w:tcW w:w="2427" w:type="dxa"/>
                  <w:shd w:val="clear" w:color="auto" w:fill="auto"/>
                  <w:noWrap w:val="0"/>
                  <w:vAlign w:val="center"/>
                </w:tcPr>
                <w:p w14:paraId="29E4BDCD">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13t</w:t>
                  </w:r>
                </w:p>
              </w:tc>
              <w:tc>
                <w:tcPr>
                  <w:tcW w:w="2203" w:type="dxa"/>
                  <w:shd w:val="clear" w:color="auto" w:fill="auto"/>
                  <w:noWrap w:val="0"/>
                  <w:vAlign w:val="center"/>
                </w:tcPr>
                <w:p w14:paraId="12A60544">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eastAsia="宋体"/>
                      <w:color w:val="auto"/>
                      <w:sz w:val="21"/>
                      <w:szCs w:val="21"/>
                      <w:highlight w:val="none"/>
                      <w:lang w:val="en-US" w:eastAsia="zh-CN"/>
                    </w:rPr>
                    <w:t>8</w:t>
                  </w:r>
                </w:p>
              </w:tc>
            </w:tr>
            <w:tr w14:paraId="6420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4E638B3E">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2359" w:type="dxa"/>
                  <w:shd w:val="clear" w:color="auto" w:fill="auto"/>
                  <w:noWrap w:val="0"/>
                  <w:vAlign w:val="center"/>
                </w:tcPr>
                <w:p w14:paraId="2EF9E6DB">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斜坡碾</w:t>
                  </w:r>
                </w:p>
              </w:tc>
              <w:tc>
                <w:tcPr>
                  <w:tcW w:w="2427" w:type="dxa"/>
                  <w:shd w:val="clear" w:color="auto" w:fill="auto"/>
                  <w:noWrap w:val="0"/>
                  <w:vAlign w:val="center"/>
                </w:tcPr>
                <w:p w14:paraId="3AECFFD9">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8t</w:t>
                  </w:r>
                </w:p>
              </w:tc>
              <w:tc>
                <w:tcPr>
                  <w:tcW w:w="2203" w:type="dxa"/>
                  <w:shd w:val="clear" w:color="auto" w:fill="auto"/>
                  <w:noWrap w:val="0"/>
                  <w:vAlign w:val="center"/>
                </w:tcPr>
                <w:p w14:paraId="00FD5742">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eastAsia="宋体"/>
                      <w:color w:val="auto"/>
                      <w:sz w:val="21"/>
                      <w:szCs w:val="21"/>
                      <w:highlight w:val="none"/>
                      <w:lang w:val="en-US" w:eastAsia="zh-CN"/>
                    </w:rPr>
                    <w:t>8</w:t>
                  </w:r>
                </w:p>
              </w:tc>
            </w:tr>
            <w:tr w14:paraId="2F8A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49C5A930">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31</w:t>
                  </w:r>
                </w:p>
              </w:tc>
              <w:tc>
                <w:tcPr>
                  <w:tcW w:w="2359" w:type="dxa"/>
                  <w:shd w:val="clear" w:color="auto" w:fill="auto"/>
                  <w:noWrap w:val="0"/>
                  <w:vAlign w:val="center"/>
                </w:tcPr>
                <w:p w14:paraId="4B4AF5DD">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蛙式打夯机</w:t>
                  </w:r>
                </w:p>
              </w:tc>
              <w:tc>
                <w:tcPr>
                  <w:tcW w:w="2427" w:type="dxa"/>
                  <w:shd w:val="clear" w:color="auto" w:fill="auto"/>
                  <w:noWrap w:val="0"/>
                  <w:vAlign w:val="center"/>
                </w:tcPr>
                <w:p w14:paraId="242859DE">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2.8kW</w:t>
                  </w:r>
                </w:p>
              </w:tc>
              <w:tc>
                <w:tcPr>
                  <w:tcW w:w="2203" w:type="dxa"/>
                  <w:shd w:val="clear" w:color="auto" w:fill="auto"/>
                  <w:noWrap w:val="0"/>
                  <w:vAlign w:val="center"/>
                </w:tcPr>
                <w:p w14:paraId="15AFCCF5">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eastAsia="宋体"/>
                      <w:color w:val="auto"/>
                      <w:sz w:val="21"/>
                      <w:szCs w:val="21"/>
                      <w:highlight w:val="none"/>
                      <w:lang w:val="en-US" w:eastAsia="zh-CN"/>
                    </w:rPr>
                    <w:t>12</w:t>
                  </w:r>
                </w:p>
              </w:tc>
            </w:tr>
            <w:tr w14:paraId="683D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02A6A4ED">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32</w:t>
                  </w:r>
                </w:p>
              </w:tc>
              <w:tc>
                <w:tcPr>
                  <w:tcW w:w="2359" w:type="dxa"/>
                  <w:shd w:val="clear" w:color="auto" w:fill="auto"/>
                  <w:noWrap w:val="0"/>
                  <w:vAlign w:val="center"/>
                </w:tcPr>
                <w:p w14:paraId="2969A68B">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自卸汽车</w:t>
                  </w:r>
                </w:p>
              </w:tc>
              <w:tc>
                <w:tcPr>
                  <w:tcW w:w="2427" w:type="dxa"/>
                  <w:shd w:val="clear" w:color="auto" w:fill="auto"/>
                  <w:noWrap w:val="0"/>
                  <w:vAlign w:val="center"/>
                </w:tcPr>
                <w:p w14:paraId="7E6D1123">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8t</w:t>
                  </w:r>
                </w:p>
              </w:tc>
              <w:tc>
                <w:tcPr>
                  <w:tcW w:w="2203" w:type="dxa"/>
                  <w:shd w:val="clear" w:color="auto" w:fill="auto"/>
                  <w:noWrap w:val="0"/>
                  <w:vAlign w:val="center"/>
                </w:tcPr>
                <w:p w14:paraId="14B74B0C">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eastAsia="宋体"/>
                      <w:color w:val="auto"/>
                      <w:sz w:val="21"/>
                      <w:szCs w:val="21"/>
                      <w:highlight w:val="none"/>
                      <w:lang w:val="en-US" w:eastAsia="zh-CN"/>
                    </w:rPr>
                    <w:t>12</w:t>
                  </w:r>
                </w:p>
              </w:tc>
            </w:tr>
            <w:tr w14:paraId="54E0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2A5D0030">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33</w:t>
                  </w:r>
                </w:p>
              </w:tc>
              <w:tc>
                <w:tcPr>
                  <w:tcW w:w="2359" w:type="dxa"/>
                  <w:shd w:val="clear" w:color="auto" w:fill="auto"/>
                  <w:noWrap w:val="0"/>
                  <w:vAlign w:val="center"/>
                </w:tcPr>
                <w:p w14:paraId="0F5C9E5F">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自卸汽车</w:t>
                  </w:r>
                </w:p>
              </w:tc>
              <w:tc>
                <w:tcPr>
                  <w:tcW w:w="2427" w:type="dxa"/>
                  <w:shd w:val="clear" w:color="auto" w:fill="auto"/>
                  <w:noWrap w:val="0"/>
                  <w:vAlign w:val="center"/>
                </w:tcPr>
                <w:p w14:paraId="0E76B933">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10t</w:t>
                  </w:r>
                </w:p>
              </w:tc>
              <w:tc>
                <w:tcPr>
                  <w:tcW w:w="2203" w:type="dxa"/>
                  <w:shd w:val="clear" w:color="auto" w:fill="auto"/>
                  <w:noWrap w:val="0"/>
                  <w:vAlign w:val="center"/>
                </w:tcPr>
                <w:p w14:paraId="287DD91A">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eastAsia="宋体"/>
                      <w:color w:val="auto"/>
                      <w:sz w:val="21"/>
                      <w:szCs w:val="21"/>
                      <w:highlight w:val="none"/>
                      <w:lang w:val="en-US" w:eastAsia="zh-CN"/>
                    </w:rPr>
                    <w:t>8</w:t>
                  </w:r>
                </w:p>
              </w:tc>
            </w:tr>
            <w:tr w14:paraId="503B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7446EDEB">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34</w:t>
                  </w:r>
                </w:p>
              </w:tc>
              <w:tc>
                <w:tcPr>
                  <w:tcW w:w="2359" w:type="dxa"/>
                  <w:shd w:val="clear" w:color="auto" w:fill="auto"/>
                  <w:noWrap w:val="0"/>
                  <w:vAlign w:val="center"/>
                </w:tcPr>
                <w:p w14:paraId="02ED0DFC">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卷扬机</w:t>
                  </w:r>
                </w:p>
              </w:tc>
              <w:tc>
                <w:tcPr>
                  <w:tcW w:w="2427" w:type="dxa"/>
                  <w:shd w:val="clear" w:color="auto" w:fill="auto"/>
                  <w:noWrap w:val="0"/>
                  <w:vAlign w:val="center"/>
                </w:tcPr>
                <w:p w14:paraId="1D6AF54F">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5t</w:t>
                  </w:r>
                </w:p>
              </w:tc>
              <w:tc>
                <w:tcPr>
                  <w:tcW w:w="2203" w:type="dxa"/>
                  <w:shd w:val="clear" w:color="auto" w:fill="auto"/>
                  <w:noWrap w:val="0"/>
                  <w:vAlign w:val="center"/>
                </w:tcPr>
                <w:p w14:paraId="1EBE62A1">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eastAsia="宋体"/>
                      <w:color w:val="auto"/>
                      <w:sz w:val="21"/>
                      <w:szCs w:val="21"/>
                      <w:highlight w:val="none"/>
                      <w:lang w:val="en-US" w:eastAsia="zh-CN"/>
                    </w:rPr>
                    <w:t>2</w:t>
                  </w:r>
                </w:p>
              </w:tc>
            </w:tr>
            <w:tr w14:paraId="37745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57A807CD">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2359" w:type="dxa"/>
                  <w:shd w:val="clear" w:color="auto" w:fill="auto"/>
                  <w:noWrap w:val="0"/>
                  <w:vAlign w:val="center"/>
                </w:tcPr>
                <w:p w14:paraId="442792E5">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胶轮斗车</w:t>
                  </w:r>
                </w:p>
              </w:tc>
              <w:tc>
                <w:tcPr>
                  <w:tcW w:w="2427" w:type="dxa"/>
                  <w:shd w:val="clear" w:color="auto" w:fill="auto"/>
                  <w:noWrap w:val="0"/>
                  <w:vAlign w:val="center"/>
                </w:tcPr>
                <w:p w14:paraId="3BCAD921">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p>
              </w:tc>
              <w:tc>
                <w:tcPr>
                  <w:tcW w:w="2203" w:type="dxa"/>
                  <w:shd w:val="clear" w:color="auto" w:fill="auto"/>
                  <w:noWrap w:val="0"/>
                  <w:vAlign w:val="center"/>
                </w:tcPr>
                <w:p w14:paraId="02FA9B41">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eastAsia="宋体"/>
                      <w:color w:val="auto"/>
                      <w:sz w:val="21"/>
                      <w:szCs w:val="21"/>
                      <w:highlight w:val="none"/>
                      <w:lang w:val="en-US" w:eastAsia="zh-CN"/>
                    </w:rPr>
                    <w:t>24</w:t>
                  </w:r>
                </w:p>
              </w:tc>
            </w:tr>
            <w:tr w14:paraId="609D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2C5DCBEB">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2359" w:type="dxa"/>
                  <w:shd w:val="clear" w:color="auto" w:fill="auto"/>
                  <w:noWrap w:val="0"/>
                  <w:vAlign w:val="center"/>
                </w:tcPr>
                <w:p w14:paraId="45390489">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砂浆拌和机</w:t>
                  </w:r>
                </w:p>
              </w:tc>
              <w:tc>
                <w:tcPr>
                  <w:tcW w:w="2427" w:type="dxa"/>
                  <w:shd w:val="clear" w:color="auto" w:fill="auto"/>
                  <w:noWrap w:val="0"/>
                  <w:vAlign w:val="center"/>
                </w:tcPr>
                <w:p w14:paraId="23742DE0">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0.25m</w:t>
                  </w:r>
                  <w:r>
                    <w:rPr>
                      <w:color w:val="auto"/>
                      <w:sz w:val="21"/>
                      <w:szCs w:val="21"/>
                      <w:highlight w:val="none"/>
                      <w:vertAlign w:val="superscript"/>
                    </w:rPr>
                    <w:t>3</w:t>
                  </w:r>
                </w:p>
              </w:tc>
              <w:tc>
                <w:tcPr>
                  <w:tcW w:w="2203" w:type="dxa"/>
                  <w:shd w:val="clear" w:color="auto" w:fill="auto"/>
                  <w:noWrap w:val="0"/>
                  <w:vAlign w:val="center"/>
                </w:tcPr>
                <w:p w14:paraId="388186C3">
                  <w:pPr>
                    <w:keepNext w:val="0"/>
                    <w:keepLines w:val="0"/>
                    <w:pageBreakBefore w:val="0"/>
                    <w:widowControl/>
                    <w:wordWrap/>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4</w:t>
                  </w:r>
                </w:p>
              </w:tc>
            </w:tr>
            <w:tr w14:paraId="2D9F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4219472B">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37</w:t>
                  </w:r>
                </w:p>
              </w:tc>
              <w:tc>
                <w:tcPr>
                  <w:tcW w:w="2359" w:type="dxa"/>
                  <w:shd w:val="clear" w:color="auto" w:fill="auto"/>
                  <w:noWrap w:val="0"/>
                  <w:vAlign w:val="center"/>
                </w:tcPr>
                <w:p w14:paraId="4760A15C">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振捣器</w:t>
                  </w:r>
                </w:p>
              </w:tc>
              <w:tc>
                <w:tcPr>
                  <w:tcW w:w="2427" w:type="dxa"/>
                  <w:shd w:val="clear" w:color="auto" w:fill="auto"/>
                  <w:noWrap w:val="0"/>
                  <w:vAlign w:val="center"/>
                </w:tcPr>
                <w:p w14:paraId="4A6A09CF">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2.2kW</w:t>
                  </w:r>
                </w:p>
              </w:tc>
              <w:tc>
                <w:tcPr>
                  <w:tcW w:w="2203" w:type="dxa"/>
                  <w:shd w:val="clear" w:color="auto" w:fill="auto"/>
                  <w:noWrap w:val="0"/>
                  <w:vAlign w:val="center"/>
                </w:tcPr>
                <w:p w14:paraId="0321A3A8">
                  <w:pPr>
                    <w:keepNext w:val="0"/>
                    <w:keepLines w:val="0"/>
                    <w:pageBreakBefore w:val="0"/>
                    <w:widowControl/>
                    <w:wordWrap/>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16</w:t>
                  </w:r>
                </w:p>
              </w:tc>
            </w:tr>
            <w:tr w14:paraId="69CD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71550A09">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38</w:t>
                  </w:r>
                </w:p>
              </w:tc>
              <w:tc>
                <w:tcPr>
                  <w:tcW w:w="2359" w:type="dxa"/>
                  <w:shd w:val="clear" w:color="auto" w:fill="auto"/>
                  <w:noWrap w:val="0"/>
                  <w:vAlign w:val="center"/>
                </w:tcPr>
                <w:p w14:paraId="59558540">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钢制泵船</w:t>
                  </w:r>
                </w:p>
              </w:tc>
              <w:tc>
                <w:tcPr>
                  <w:tcW w:w="2427" w:type="dxa"/>
                  <w:shd w:val="clear" w:color="auto" w:fill="auto"/>
                  <w:noWrap w:val="0"/>
                  <w:vAlign w:val="center"/>
                </w:tcPr>
                <w:p w14:paraId="3279911C">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p>
              </w:tc>
              <w:tc>
                <w:tcPr>
                  <w:tcW w:w="2203" w:type="dxa"/>
                  <w:shd w:val="clear" w:color="auto" w:fill="auto"/>
                  <w:noWrap w:val="0"/>
                  <w:vAlign w:val="center"/>
                </w:tcPr>
                <w:p w14:paraId="257B8D42">
                  <w:pPr>
                    <w:keepNext w:val="0"/>
                    <w:keepLines w:val="0"/>
                    <w:pageBreakBefore w:val="0"/>
                    <w:widowControl/>
                    <w:wordWrap/>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1</w:t>
                  </w:r>
                </w:p>
              </w:tc>
            </w:tr>
            <w:tr w14:paraId="70EF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7255F7F4">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39</w:t>
                  </w:r>
                </w:p>
              </w:tc>
              <w:tc>
                <w:tcPr>
                  <w:tcW w:w="2359" w:type="dxa"/>
                  <w:shd w:val="clear" w:color="auto" w:fill="auto"/>
                  <w:noWrap w:val="0"/>
                  <w:vAlign w:val="center"/>
                </w:tcPr>
                <w:p w14:paraId="0E22BCB7">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木船</w:t>
                  </w:r>
                </w:p>
              </w:tc>
              <w:tc>
                <w:tcPr>
                  <w:tcW w:w="2427" w:type="dxa"/>
                  <w:shd w:val="clear" w:color="auto" w:fill="auto"/>
                  <w:noWrap w:val="0"/>
                  <w:vAlign w:val="center"/>
                </w:tcPr>
                <w:p w14:paraId="60753400">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color w:val="auto"/>
                      <w:sz w:val="21"/>
                      <w:szCs w:val="21"/>
                      <w:highlight w:val="none"/>
                    </w:rPr>
                  </w:pPr>
                </w:p>
              </w:tc>
              <w:tc>
                <w:tcPr>
                  <w:tcW w:w="2203" w:type="dxa"/>
                  <w:shd w:val="clear" w:color="auto" w:fill="auto"/>
                  <w:noWrap w:val="0"/>
                  <w:vAlign w:val="center"/>
                </w:tcPr>
                <w:p w14:paraId="3C20E4C8">
                  <w:pPr>
                    <w:keepNext w:val="0"/>
                    <w:keepLines w:val="0"/>
                    <w:pageBreakBefore w:val="0"/>
                    <w:widowControl/>
                    <w:wordWrap/>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2</w:t>
                  </w:r>
                </w:p>
              </w:tc>
            </w:tr>
            <w:tr w14:paraId="1769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45947DEB">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2359" w:type="dxa"/>
                  <w:shd w:val="clear" w:color="auto" w:fill="auto"/>
                  <w:noWrap w:val="0"/>
                  <w:vAlign w:val="center"/>
                </w:tcPr>
                <w:p w14:paraId="17169C50">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sz w:val="21"/>
                      <w:szCs w:val="21"/>
                      <w:highlight w:val="none"/>
                      <w:lang w:val="en-US" w:eastAsia="zh-CN"/>
                    </w:rPr>
                    <w:t>钢筋切断机</w:t>
                  </w:r>
                </w:p>
              </w:tc>
              <w:tc>
                <w:tcPr>
                  <w:tcW w:w="2427" w:type="dxa"/>
                  <w:shd w:val="clear" w:color="auto" w:fill="auto"/>
                  <w:noWrap w:val="0"/>
                  <w:vAlign w:val="center"/>
                </w:tcPr>
                <w:p w14:paraId="1280DDA0">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color w:val="auto"/>
                      <w:sz w:val="21"/>
                      <w:szCs w:val="21"/>
                      <w:highlight w:val="none"/>
                    </w:rPr>
                  </w:pPr>
                </w:p>
              </w:tc>
              <w:tc>
                <w:tcPr>
                  <w:tcW w:w="2203" w:type="dxa"/>
                  <w:shd w:val="clear" w:color="auto" w:fill="auto"/>
                  <w:noWrap w:val="0"/>
                  <w:vAlign w:val="center"/>
                </w:tcPr>
                <w:p w14:paraId="29905C93">
                  <w:pPr>
                    <w:keepNext w:val="0"/>
                    <w:keepLines w:val="0"/>
                    <w:pageBreakBefore w:val="0"/>
                    <w:widowControl/>
                    <w:wordWrap/>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2</w:t>
                  </w:r>
                </w:p>
              </w:tc>
            </w:tr>
            <w:tr w14:paraId="0C1A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71541D8D">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41</w:t>
                  </w:r>
                </w:p>
              </w:tc>
              <w:tc>
                <w:tcPr>
                  <w:tcW w:w="2359" w:type="dxa"/>
                  <w:shd w:val="clear" w:color="auto" w:fill="auto"/>
                  <w:noWrap w:val="0"/>
                  <w:vAlign w:val="center"/>
                </w:tcPr>
                <w:p w14:paraId="030FFF1F">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sz w:val="21"/>
                      <w:szCs w:val="21"/>
                      <w:highlight w:val="none"/>
                      <w:lang w:val="en-US" w:eastAsia="zh-CN"/>
                    </w:rPr>
                    <w:t>钢筋调直机</w:t>
                  </w:r>
                </w:p>
              </w:tc>
              <w:tc>
                <w:tcPr>
                  <w:tcW w:w="2427" w:type="dxa"/>
                  <w:shd w:val="clear" w:color="auto" w:fill="auto"/>
                  <w:noWrap w:val="0"/>
                  <w:vAlign w:val="center"/>
                </w:tcPr>
                <w:p w14:paraId="2A55FC10">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color w:val="auto"/>
                      <w:sz w:val="21"/>
                      <w:szCs w:val="21"/>
                      <w:highlight w:val="none"/>
                    </w:rPr>
                  </w:pPr>
                </w:p>
              </w:tc>
              <w:tc>
                <w:tcPr>
                  <w:tcW w:w="2203" w:type="dxa"/>
                  <w:shd w:val="clear" w:color="auto" w:fill="auto"/>
                  <w:noWrap w:val="0"/>
                  <w:vAlign w:val="center"/>
                </w:tcPr>
                <w:p w14:paraId="796EDFAB">
                  <w:pPr>
                    <w:keepNext w:val="0"/>
                    <w:keepLines w:val="0"/>
                    <w:pageBreakBefore w:val="0"/>
                    <w:widowControl/>
                    <w:wordWrap/>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2</w:t>
                  </w:r>
                </w:p>
              </w:tc>
            </w:tr>
            <w:tr w14:paraId="3FEA8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49BCCAA2">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2359" w:type="dxa"/>
                  <w:shd w:val="clear" w:color="auto" w:fill="auto"/>
                  <w:noWrap w:val="0"/>
                  <w:vAlign w:val="center"/>
                </w:tcPr>
                <w:p w14:paraId="5D296779">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钢筋弯曲</w:t>
                  </w:r>
                </w:p>
              </w:tc>
              <w:tc>
                <w:tcPr>
                  <w:tcW w:w="2427" w:type="dxa"/>
                  <w:shd w:val="clear" w:color="auto" w:fill="auto"/>
                  <w:noWrap w:val="0"/>
                  <w:vAlign w:val="center"/>
                </w:tcPr>
                <w:p w14:paraId="4AEAB434">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color w:val="auto"/>
                      <w:sz w:val="21"/>
                      <w:szCs w:val="21"/>
                      <w:highlight w:val="none"/>
                    </w:rPr>
                  </w:pPr>
                </w:p>
              </w:tc>
              <w:tc>
                <w:tcPr>
                  <w:tcW w:w="2203" w:type="dxa"/>
                  <w:shd w:val="clear" w:color="auto" w:fill="auto"/>
                  <w:noWrap w:val="0"/>
                  <w:vAlign w:val="center"/>
                </w:tcPr>
                <w:p w14:paraId="7BED06EC">
                  <w:pPr>
                    <w:keepNext w:val="0"/>
                    <w:keepLines w:val="0"/>
                    <w:pageBreakBefore w:val="0"/>
                    <w:widowControl/>
                    <w:wordWrap/>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2</w:t>
                  </w:r>
                </w:p>
              </w:tc>
            </w:tr>
            <w:tr w14:paraId="37CF4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063BD661">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2359" w:type="dxa"/>
                  <w:shd w:val="clear" w:color="auto" w:fill="auto"/>
                  <w:noWrap w:val="0"/>
                  <w:vAlign w:val="center"/>
                </w:tcPr>
                <w:p w14:paraId="710470FA">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电焊机</w:t>
                  </w:r>
                </w:p>
              </w:tc>
              <w:tc>
                <w:tcPr>
                  <w:tcW w:w="2427" w:type="dxa"/>
                  <w:noWrap w:val="0"/>
                  <w:vAlign w:val="center"/>
                </w:tcPr>
                <w:p w14:paraId="6F54098F">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p>
              </w:tc>
              <w:tc>
                <w:tcPr>
                  <w:tcW w:w="2203" w:type="dxa"/>
                  <w:shd w:val="clear" w:color="auto" w:fill="auto"/>
                  <w:noWrap w:val="0"/>
                  <w:vAlign w:val="center"/>
                </w:tcPr>
                <w:p w14:paraId="3DA2AB8C">
                  <w:pPr>
                    <w:keepNext w:val="0"/>
                    <w:keepLines w:val="0"/>
                    <w:pageBreakBefore w:val="0"/>
                    <w:widowControl/>
                    <w:wordWrap/>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4</w:t>
                  </w:r>
                </w:p>
              </w:tc>
            </w:tr>
            <w:tr w14:paraId="5910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067" w:type="dxa"/>
                  <w:noWrap w:val="0"/>
                  <w:vAlign w:val="center"/>
                </w:tcPr>
                <w:p w14:paraId="1F092E8F">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44</w:t>
                  </w:r>
                </w:p>
              </w:tc>
              <w:tc>
                <w:tcPr>
                  <w:tcW w:w="2359" w:type="dxa"/>
                  <w:shd w:val="clear" w:color="auto" w:fill="auto"/>
                  <w:noWrap w:val="0"/>
                  <w:vAlign w:val="center"/>
                </w:tcPr>
                <w:p w14:paraId="55480B51">
                  <w:pPr>
                    <w:pStyle w:val="28"/>
                    <w:keepNext w:val="0"/>
                    <w:keepLines w:val="0"/>
                    <w:pageBreakBefore w:val="0"/>
                    <w:widowControl/>
                    <w:wordWrap/>
                    <w:topLinePunct w:val="0"/>
                    <w:autoSpaceDE/>
                    <w:autoSpaceDN/>
                    <w:bidi w:val="0"/>
                    <w:adjustRightInd/>
                    <w:snapToGrid/>
                    <w:spacing w:line="240" w:lineRule="exact"/>
                    <w:ind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排水泵</w:t>
                  </w:r>
                </w:p>
              </w:tc>
              <w:tc>
                <w:tcPr>
                  <w:tcW w:w="2427" w:type="dxa"/>
                  <w:noWrap w:val="0"/>
                  <w:vAlign w:val="center"/>
                </w:tcPr>
                <w:p w14:paraId="3EDBB131">
                  <w:pPr>
                    <w:pStyle w:val="27"/>
                    <w:keepNext w:val="0"/>
                    <w:keepLines w:val="0"/>
                    <w:pageBreakBefore w:val="0"/>
                    <w:widowControl/>
                    <w:kinsoku w:val="0"/>
                    <w:wordWrap/>
                    <w:overflowPunct w:val="0"/>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p>
              </w:tc>
              <w:tc>
                <w:tcPr>
                  <w:tcW w:w="2203" w:type="dxa"/>
                  <w:shd w:val="clear" w:color="auto" w:fill="auto"/>
                  <w:noWrap w:val="0"/>
                  <w:vAlign w:val="center"/>
                </w:tcPr>
                <w:p w14:paraId="17B23A93">
                  <w:pPr>
                    <w:keepNext w:val="0"/>
                    <w:keepLines w:val="0"/>
                    <w:pageBreakBefore w:val="0"/>
                    <w:widowControl/>
                    <w:wordWrap/>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olor w:val="auto"/>
                      <w:sz w:val="21"/>
                      <w:szCs w:val="21"/>
                      <w:highlight w:val="none"/>
                      <w:lang w:val="en-US" w:eastAsia="zh-CN"/>
                    </w:rPr>
                    <w:t>8</w:t>
                  </w:r>
                </w:p>
              </w:tc>
            </w:tr>
          </w:tbl>
          <w:p w14:paraId="330F23FC">
            <w:pPr>
              <w:pStyle w:val="21"/>
              <w:ind w:firstLine="0" w:firstLineChars="0"/>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2.3.6 项目施工材料耗量</w:t>
            </w:r>
          </w:p>
          <w:p w14:paraId="6E36F0A3">
            <w:pPr>
              <w:pStyle w:val="21"/>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本项目不设油品储存设施，所用油品现用现买。</w:t>
            </w:r>
            <w:r>
              <w:rPr>
                <w:rFonts w:hint="default" w:ascii="Times New Roman" w:hAnsi="Times New Roman" w:cs="Times New Roman"/>
                <w:color w:val="auto"/>
                <w:highlight w:val="none"/>
              </w:rPr>
              <w:t>本项目施工材料耗量详见下表。</w:t>
            </w:r>
          </w:p>
          <w:p w14:paraId="37A2525E">
            <w:pPr>
              <w:pStyle w:val="21"/>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表2.3-</w:t>
            </w:r>
            <w:r>
              <w:rPr>
                <w:rFonts w:hint="eastAsia" w:cs="Times New Roman"/>
                <w:b/>
                <w:bCs/>
                <w:color w:val="auto"/>
                <w:highlight w:val="none"/>
                <w:lang w:val="en-US" w:eastAsia="zh-CN"/>
              </w:rPr>
              <w:t>9</w:t>
            </w:r>
            <w:r>
              <w:rPr>
                <w:rFonts w:hint="default" w:ascii="Times New Roman" w:hAnsi="Times New Roman" w:cs="Times New Roman"/>
                <w:b/>
                <w:bCs/>
                <w:color w:val="auto"/>
                <w:highlight w:val="none"/>
              </w:rPr>
              <w:t xml:space="preserve"> 项目</w:t>
            </w:r>
            <w:r>
              <w:rPr>
                <w:rFonts w:hint="eastAsia" w:cs="Times New Roman"/>
                <w:b/>
                <w:bCs/>
                <w:color w:val="auto"/>
                <w:highlight w:val="none"/>
                <w:lang w:val="en-US" w:eastAsia="zh-CN"/>
              </w:rPr>
              <w:t>柳城河石河镇</w:t>
            </w:r>
            <w:r>
              <w:rPr>
                <w:rFonts w:hint="default" w:ascii="Times New Roman" w:hAnsi="Times New Roman" w:cs="Times New Roman"/>
                <w:b/>
                <w:bCs/>
                <w:color w:val="auto"/>
                <w:highlight w:val="none"/>
              </w:rPr>
              <w:t>施工材料统计表</w:t>
            </w:r>
          </w:p>
          <w:tbl>
            <w:tblPr>
              <w:tblStyle w:val="11"/>
              <w:tblW w:w="5000" w:type="pct"/>
              <w:jc w:val="center"/>
              <w:tblLayout w:type="fixed"/>
              <w:tblCellMar>
                <w:top w:w="0" w:type="dxa"/>
                <w:left w:w="108" w:type="dxa"/>
                <w:bottom w:w="0" w:type="dxa"/>
                <w:right w:w="108" w:type="dxa"/>
              </w:tblCellMar>
            </w:tblPr>
            <w:tblGrid>
              <w:gridCol w:w="2189"/>
              <w:gridCol w:w="2209"/>
              <w:gridCol w:w="2310"/>
              <w:gridCol w:w="2348"/>
            </w:tblGrid>
            <w:tr w14:paraId="55F5BF31">
              <w:tblPrEx>
                <w:tblCellMar>
                  <w:top w:w="0" w:type="dxa"/>
                  <w:left w:w="108" w:type="dxa"/>
                  <w:bottom w:w="0" w:type="dxa"/>
                  <w:right w:w="108" w:type="dxa"/>
                </w:tblCellMar>
              </w:tblPrEx>
              <w:trPr>
                <w:trHeight w:val="285" w:hRule="atLeast"/>
                <w:jc w:val="center"/>
              </w:trPr>
              <w:tc>
                <w:tcPr>
                  <w:tcW w:w="1208" w:type="pct"/>
                  <w:tcBorders>
                    <w:top w:val="single" w:color="000000" w:sz="4" w:space="0"/>
                    <w:left w:val="single" w:color="000000" w:sz="4" w:space="0"/>
                    <w:bottom w:val="single" w:color="000000" w:sz="4" w:space="0"/>
                    <w:right w:val="single" w:color="000000" w:sz="4" w:space="0"/>
                  </w:tcBorders>
                  <w:noWrap w:val="0"/>
                  <w:vAlign w:val="center"/>
                </w:tcPr>
                <w:p w14:paraId="2DE9C048">
                  <w:pPr>
                    <w:pStyle w:val="27"/>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219" w:type="pct"/>
                  <w:tcBorders>
                    <w:top w:val="single" w:color="000000" w:sz="4" w:space="0"/>
                    <w:left w:val="nil"/>
                    <w:bottom w:val="single" w:color="000000" w:sz="4" w:space="0"/>
                    <w:right w:val="single" w:color="000000" w:sz="4" w:space="0"/>
                  </w:tcBorders>
                  <w:noWrap w:val="0"/>
                  <w:vAlign w:val="center"/>
                </w:tcPr>
                <w:p w14:paraId="055161B2">
                  <w:pPr>
                    <w:pStyle w:val="27"/>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材料名称</w:t>
                  </w:r>
                </w:p>
              </w:tc>
              <w:tc>
                <w:tcPr>
                  <w:tcW w:w="1275" w:type="pct"/>
                  <w:tcBorders>
                    <w:top w:val="single" w:color="000000" w:sz="4" w:space="0"/>
                    <w:left w:val="nil"/>
                    <w:bottom w:val="single" w:color="000000" w:sz="4" w:space="0"/>
                    <w:right w:val="single" w:color="000000" w:sz="4" w:space="0"/>
                  </w:tcBorders>
                  <w:noWrap w:val="0"/>
                  <w:vAlign w:val="center"/>
                </w:tcPr>
                <w:p w14:paraId="5A58A4FC">
                  <w:pPr>
                    <w:pStyle w:val="27"/>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1296" w:type="pct"/>
                  <w:tcBorders>
                    <w:top w:val="single" w:color="000000" w:sz="4" w:space="0"/>
                    <w:left w:val="nil"/>
                    <w:bottom w:val="single" w:color="000000" w:sz="4" w:space="0"/>
                    <w:right w:val="single" w:color="000000" w:sz="4" w:space="0"/>
                  </w:tcBorders>
                  <w:noWrap w:val="0"/>
                  <w:vAlign w:val="center"/>
                </w:tcPr>
                <w:p w14:paraId="536EBEC2">
                  <w:pPr>
                    <w:pStyle w:val="27"/>
                    <w:kinsoku w:val="0"/>
                    <w:overflowPunct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数量</w:t>
                  </w:r>
                </w:p>
              </w:tc>
            </w:tr>
            <w:tr w14:paraId="5F66E17A">
              <w:tblPrEx>
                <w:tblCellMar>
                  <w:top w:w="0" w:type="dxa"/>
                  <w:left w:w="108" w:type="dxa"/>
                  <w:bottom w:w="0" w:type="dxa"/>
                  <w:right w:w="108" w:type="dxa"/>
                </w:tblCellMar>
              </w:tblPrEx>
              <w:trPr>
                <w:trHeight w:val="285"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noWrap w:val="0"/>
                  <w:vAlign w:val="center"/>
                </w:tcPr>
                <w:p w14:paraId="38DBE263">
                  <w:pPr>
                    <w:pStyle w:val="27"/>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b/>
                      <w:bCs/>
                      <w:color w:val="auto"/>
                      <w:sz w:val="21"/>
                      <w:szCs w:val="21"/>
                      <w:highlight w:val="none"/>
                      <w:lang w:val="en-US" w:eastAsia="zh-CN"/>
                    </w:rPr>
                    <w:t>一、石河镇二郎段、福兴段</w:t>
                  </w:r>
                </w:p>
              </w:tc>
            </w:tr>
            <w:tr w14:paraId="4AB94BFD">
              <w:tblPrEx>
                <w:tblCellMar>
                  <w:top w:w="0" w:type="dxa"/>
                  <w:left w:w="108" w:type="dxa"/>
                  <w:bottom w:w="0" w:type="dxa"/>
                  <w:right w:w="108" w:type="dxa"/>
                </w:tblCellMar>
              </w:tblPrEx>
              <w:trPr>
                <w:trHeight w:val="285" w:hRule="atLeast"/>
                <w:jc w:val="center"/>
              </w:trPr>
              <w:tc>
                <w:tcPr>
                  <w:tcW w:w="1208" w:type="pct"/>
                  <w:tcBorders>
                    <w:top w:val="nil"/>
                    <w:left w:val="single" w:color="000000" w:sz="4" w:space="0"/>
                    <w:bottom w:val="single" w:color="000000" w:sz="4" w:space="0"/>
                    <w:right w:val="single" w:color="000000" w:sz="4" w:space="0"/>
                  </w:tcBorders>
                  <w:noWrap w:val="0"/>
                  <w:vAlign w:val="center"/>
                </w:tcPr>
                <w:p w14:paraId="5D8BE8A7">
                  <w:pPr>
                    <w:pStyle w:val="27"/>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219" w:type="pct"/>
                  <w:tcBorders>
                    <w:top w:val="nil"/>
                    <w:left w:val="nil"/>
                    <w:bottom w:val="single" w:color="000000" w:sz="4" w:space="0"/>
                    <w:right w:val="single" w:color="000000" w:sz="4" w:space="0"/>
                  </w:tcBorders>
                  <w:shd w:val="clear" w:color="auto" w:fill="auto"/>
                  <w:noWrap w:val="0"/>
                  <w:vAlign w:val="center"/>
                </w:tcPr>
                <w:p w14:paraId="15D13F99">
                  <w:pPr>
                    <w:pStyle w:val="27"/>
                    <w:kinsoku w:val="0"/>
                    <w:overflowPunct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砼粗骨料</w:t>
                  </w:r>
                </w:p>
              </w:tc>
              <w:tc>
                <w:tcPr>
                  <w:tcW w:w="1275" w:type="pct"/>
                  <w:tcBorders>
                    <w:top w:val="nil"/>
                    <w:left w:val="nil"/>
                    <w:bottom w:val="single" w:color="000000" w:sz="4" w:space="0"/>
                    <w:right w:val="single" w:color="000000" w:sz="4" w:space="0"/>
                  </w:tcBorders>
                  <w:noWrap w:val="0"/>
                  <w:vAlign w:val="center"/>
                </w:tcPr>
                <w:p w14:paraId="3B945CF0">
                  <w:pPr>
                    <w:pStyle w:val="27"/>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万</w:t>
                  </w:r>
                  <w:r>
                    <w:rPr>
                      <w:rFonts w:hint="default" w:ascii="Times New Roman" w:hAnsi="Times New Roman" w:cs="Times New Roman"/>
                      <w:color w:val="auto"/>
                      <w:sz w:val="21"/>
                      <w:szCs w:val="21"/>
                      <w:highlight w:val="none"/>
                    </w:rPr>
                    <w:t>m³</w:t>
                  </w:r>
                </w:p>
              </w:tc>
              <w:tc>
                <w:tcPr>
                  <w:tcW w:w="1296" w:type="pct"/>
                  <w:tcBorders>
                    <w:top w:val="nil"/>
                    <w:left w:val="nil"/>
                    <w:bottom w:val="single" w:color="000000" w:sz="4" w:space="0"/>
                    <w:right w:val="single" w:color="000000" w:sz="4" w:space="0"/>
                  </w:tcBorders>
                  <w:noWrap w:val="0"/>
                  <w:vAlign w:val="center"/>
                </w:tcPr>
                <w:p w14:paraId="27866116">
                  <w:pPr>
                    <w:pStyle w:val="27"/>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2.74</w:t>
                  </w:r>
                </w:p>
              </w:tc>
            </w:tr>
            <w:tr w14:paraId="0A1DF1BF">
              <w:tblPrEx>
                <w:tblCellMar>
                  <w:top w:w="0" w:type="dxa"/>
                  <w:left w:w="108" w:type="dxa"/>
                  <w:bottom w:w="0" w:type="dxa"/>
                  <w:right w:w="108" w:type="dxa"/>
                </w:tblCellMar>
              </w:tblPrEx>
              <w:trPr>
                <w:trHeight w:val="285" w:hRule="atLeast"/>
                <w:jc w:val="center"/>
              </w:trPr>
              <w:tc>
                <w:tcPr>
                  <w:tcW w:w="1208" w:type="pct"/>
                  <w:tcBorders>
                    <w:top w:val="nil"/>
                    <w:left w:val="single" w:color="000000" w:sz="4" w:space="0"/>
                    <w:bottom w:val="single" w:color="000000" w:sz="4" w:space="0"/>
                    <w:right w:val="single" w:color="000000" w:sz="4" w:space="0"/>
                  </w:tcBorders>
                  <w:noWrap w:val="0"/>
                  <w:vAlign w:val="center"/>
                </w:tcPr>
                <w:p w14:paraId="30D9FB9E">
                  <w:pPr>
                    <w:pStyle w:val="27"/>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219" w:type="pct"/>
                  <w:tcBorders>
                    <w:top w:val="nil"/>
                    <w:left w:val="nil"/>
                    <w:bottom w:val="single" w:color="000000" w:sz="4" w:space="0"/>
                    <w:right w:val="single" w:color="000000" w:sz="4" w:space="0"/>
                  </w:tcBorders>
                  <w:shd w:val="clear" w:color="auto" w:fill="auto"/>
                  <w:noWrap w:val="0"/>
                  <w:vAlign w:val="center"/>
                </w:tcPr>
                <w:p w14:paraId="29042F81">
                  <w:pPr>
                    <w:pStyle w:val="27"/>
                    <w:kinsoku w:val="0"/>
                    <w:overflowPunct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填筑料</w:t>
                  </w:r>
                </w:p>
              </w:tc>
              <w:tc>
                <w:tcPr>
                  <w:tcW w:w="1275" w:type="pct"/>
                  <w:tcBorders>
                    <w:top w:val="nil"/>
                    <w:left w:val="nil"/>
                    <w:bottom w:val="single" w:color="000000" w:sz="4" w:space="0"/>
                    <w:right w:val="single" w:color="000000" w:sz="4" w:space="0"/>
                  </w:tcBorders>
                  <w:noWrap w:val="0"/>
                  <w:vAlign w:val="center"/>
                </w:tcPr>
                <w:p w14:paraId="02ABA786">
                  <w:pPr>
                    <w:pStyle w:val="27"/>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万</w:t>
                  </w:r>
                  <w:r>
                    <w:rPr>
                      <w:rFonts w:hint="default" w:ascii="Times New Roman" w:hAnsi="Times New Roman" w:cs="Times New Roman"/>
                      <w:color w:val="auto"/>
                      <w:sz w:val="21"/>
                      <w:szCs w:val="21"/>
                      <w:highlight w:val="none"/>
                    </w:rPr>
                    <w:t>m³</w:t>
                  </w:r>
                </w:p>
              </w:tc>
              <w:tc>
                <w:tcPr>
                  <w:tcW w:w="1296" w:type="pct"/>
                  <w:tcBorders>
                    <w:top w:val="nil"/>
                    <w:left w:val="nil"/>
                    <w:bottom w:val="single" w:color="000000" w:sz="4" w:space="0"/>
                    <w:right w:val="single" w:color="000000" w:sz="4" w:space="0"/>
                  </w:tcBorders>
                  <w:noWrap w:val="0"/>
                  <w:vAlign w:val="center"/>
                </w:tcPr>
                <w:p w14:paraId="4D56446C">
                  <w:pPr>
                    <w:pStyle w:val="27"/>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0.32</w:t>
                  </w:r>
                </w:p>
              </w:tc>
            </w:tr>
            <w:tr w14:paraId="2C70F442">
              <w:tblPrEx>
                <w:tblCellMar>
                  <w:top w:w="0" w:type="dxa"/>
                  <w:left w:w="108" w:type="dxa"/>
                  <w:bottom w:w="0" w:type="dxa"/>
                  <w:right w:w="108" w:type="dxa"/>
                </w:tblCellMar>
              </w:tblPrEx>
              <w:trPr>
                <w:trHeight w:val="226" w:hRule="atLeast"/>
                <w:jc w:val="center"/>
              </w:trPr>
              <w:tc>
                <w:tcPr>
                  <w:tcW w:w="1208" w:type="pct"/>
                  <w:tcBorders>
                    <w:top w:val="nil"/>
                    <w:left w:val="single" w:color="000000" w:sz="4" w:space="0"/>
                    <w:bottom w:val="single" w:color="000000" w:sz="4" w:space="0"/>
                    <w:right w:val="single" w:color="000000" w:sz="4" w:space="0"/>
                  </w:tcBorders>
                  <w:noWrap w:val="0"/>
                  <w:vAlign w:val="center"/>
                </w:tcPr>
                <w:p w14:paraId="59C03D49">
                  <w:pPr>
                    <w:pStyle w:val="27"/>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219" w:type="pct"/>
                  <w:tcBorders>
                    <w:top w:val="nil"/>
                    <w:left w:val="nil"/>
                    <w:bottom w:val="single" w:color="000000" w:sz="4" w:space="0"/>
                    <w:right w:val="single" w:color="000000" w:sz="4" w:space="0"/>
                  </w:tcBorders>
                  <w:shd w:val="clear" w:color="auto" w:fill="auto"/>
                  <w:noWrap w:val="0"/>
                  <w:vAlign w:val="center"/>
                </w:tcPr>
                <w:p w14:paraId="6B6C8BD2">
                  <w:pPr>
                    <w:pStyle w:val="27"/>
                    <w:kinsoku w:val="0"/>
                    <w:overflowPunct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细骨料</w:t>
                  </w:r>
                </w:p>
              </w:tc>
              <w:tc>
                <w:tcPr>
                  <w:tcW w:w="1275" w:type="pct"/>
                  <w:tcBorders>
                    <w:top w:val="nil"/>
                    <w:left w:val="nil"/>
                    <w:bottom w:val="single" w:color="000000" w:sz="4" w:space="0"/>
                    <w:right w:val="single" w:color="000000" w:sz="4" w:space="0"/>
                  </w:tcBorders>
                  <w:noWrap w:val="0"/>
                  <w:vAlign w:val="center"/>
                </w:tcPr>
                <w:p w14:paraId="39FB6CBE">
                  <w:pPr>
                    <w:pStyle w:val="27"/>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万</w:t>
                  </w:r>
                  <w:r>
                    <w:rPr>
                      <w:rFonts w:hint="default" w:ascii="Times New Roman" w:hAnsi="Times New Roman" w:cs="Times New Roman"/>
                      <w:color w:val="auto"/>
                      <w:sz w:val="21"/>
                      <w:szCs w:val="21"/>
                      <w:highlight w:val="none"/>
                    </w:rPr>
                    <w:t>m³</w:t>
                  </w:r>
                </w:p>
              </w:tc>
              <w:tc>
                <w:tcPr>
                  <w:tcW w:w="1296" w:type="pct"/>
                  <w:tcBorders>
                    <w:top w:val="nil"/>
                    <w:left w:val="nil"/>
                    <w:bottom w:val="single" w:color="000000" w:sz="4" w:space="0"/>
                    <w:right w:val="single" w:color="000000" w:sz="4" w:space="0"/>
                  </w:tcBorders>
                  <w:noWrap w:val="0"/>
                  <w:vAlign w:val="center"/>
                </w:tcPr>
                <w:p w14:paraId="15827244">
                  <w:pPr>
                    <w:pStyle w:val="27"/>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1.95</w:t>
                  </w:r>
                </w:p>
              </w:tc>
            </w:tr>
            <w:tr w14:paraId="522FCB16">
              <w:tblPrEx>
                <w:tblCellMar>
                  <w:top w:w="0" w:type="dxa"/>
                  <w:left w:w="108" w:type="dxa"/>
                  <w:bottom w:w="0" w:type="dxa"/>
                  <w:right w:w="108" w:type="dxa"/>
                </w:tblCellMar>
              </w:tblPrEx>
              <w:trPr>
                <w:trHeight w:val="285" w:hRule="atLeast"/>
                <w:jc w:val="center"/>
              </w:trPr>
              <w:tc>
                <w:tcPr>
                  <w:tcW w:w="1208" w:type="pct"/>
                  <w:tcBorders>
                    <w:top w:val="nil"/>
                    <w:left w:val="single" w:color="000000" w:sz="4" w:space="0"/>
                    <w:bottom w:val="single" w:color="000000" w:sz="4" w:space="0"/>
                    <w:right w:val="single" w:color="000000" w:sz="4" w:space="0"/>
                  </w:tcBorders>
                  <w:shd w:val="clear" w:color="auto" w:fill="auto"/>
                  <w:noWrap w:val="0"/>
                  <w:vAlign w:val="center"/>
                </w:tcPr>
                <w:p w14:paraId="32533E88">
                  <w:pPr>
                    <w:widowControl/>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snapToGrid w:val="0"/>
                      <w:color w:val="auto"/>
                      <w:sz w:val="21"/>
                      <w:szCs w:val="21"/>
                      <w:highlight w:val="none"/>
                      <w:lang w:val="en-US" w:eastAsia="zh-CN" w:bidi="ar-SA"/>
                    </w:rPr>
                    <w:t>4</w:t>
                  </w:r>
                </w:p>
              </w:tc>
              <w:tc>
                <w:tcPr>
                  <w:tcW w:w="1219" w:type="pct"/>
                  <w:tcBorders>
                    <w:top w:val="nil"/>
                    <w:left w:val="nil"/>
                    <w:bottom w:val="single" w:color="000000" w:sz="4" w:space="0"/>
                    <w:right w:val="single" w:color="000000" w:sz="4" w:space="0"/>
                  </w:tcBorders>
                  <w:noWrap w:val="0"/>
                  <w:vAlign w:val="center"/>
                </w:tcPr>
                <w:p w14:paraId="4B9FE0F1">
                  <w:pPr>
                    <w:pStyle w:val="27"/>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汽油</w:t>
                  </w:r>
                </w:p>
              </w:tc>
              <w:tc>
                <w:tcPr>
                  <w:tcW w:w="1275" w:type="pct"/>
                  <w:tcBorders>
                    <w:top w:val="nil"/>
                    <w:left w:val="nil"/>
                    <w:bottom w:val="single" w:color="000000" w:sz="4" w:space="0"/>
                    <w:right w:val="single" w:color="000000" w:sz="4" w:space="0"/>
                  </w:tcBorders>
                  <w:noWrap w:val="0"/>
                  <w:vAlign w:val="center"/>
                </w:tcPr>
                <w:p w14:paraId="5406A027">
                  <w:pPr>
                    <w:pStyle w:val="27"/>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w:t>
                  </w:r>
                </w:p>
              </w:tc>
              <w:tc>
                <w:tcPr>
                  <w:tcW w:w="1296" w:type="pct"/>
                  <w:tcBorders>
                    <w:top w:val="nil"/>
                    <w:left w:val="nil"/>
                    <w:bottom w:val="single" w:color="000000" w:sz="4" w:space="0"/>
                    <w:right w:val="single" w:color="000000" w:sz="4" w:space="0"/>
                  </w:tcBorders>
                  <w:noWrap w:val="0"/>
                  <w:vAlign w:val="center"/>
                </w:tcPr>
                <w:p w14:paraId="67BD2801">
                  <w:pPr>
                    <w:pStyle w:val="27"/>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44.60</w:t>
                  </w:r>
                </w:p>
              </w:tc>
            </w:tr>
            <w:tr w14:paraId="0CDD2537">
              <w:tblPrEx>
                <w:tblCellMar>
                  <w:top w:w="0" w:type="dxa"/>
                  <w:left w:w="108" w:type="dxa"/>
                  <w:bottom w:w="0" w:type="dxa"/>
                  <w:right w:w="108" w:type="dxa"/>
                </w:tblCellMar>
              </w:tblPrEx>
              <w:trPr>
                <w:trHeight w:val="260" w:hRule="atLeast"/>
                <w:jc w:val="center"/>
              </w:trPr>
              <w:tc>
                <w:tcPr>
                  <w:tcW w:w="1208" w:type="pct"/>
                  <w:tcBorders>
                    <w:top w:val="single" w:color="000000" w:sz="4" w:space="0"/>
                    <w:left w:val="single" w:color="000000" w:sz="4" w:space="0"/>
                    <w:bottom w:val="single" w:color="000000" w:sz="4" w:space="0"/>
                    <w:right w:val="single" w:color="000000" w:sz="4" w:space="0"/>
                  </w:tcBorders>
                  <w:noWrap w:val="0"/>
                  <w:vAlign w:val="center"/>
                </w:tcPr>
                <w:p w14:paraId="6FE71462">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1219" w:type="pct"/>
                  <w:tcBorders>
                    <w:top w:val="single" w:color="000000" w:sz="4" w:space="0"/>
                    <w:left w:val="single" w:color="000000" w:sz="4" w:space="0"/>
                    <w:bottom w:val="single" w:color="000000" w:sz="4" w:space="0"/>
                    <w:right w:val="single" w:color="000000" w:sz="4" w:space="0"/>
                  </w:tcBorders>
                  <w:noWrap w:val="0"/>
                  <w:vAlign w:val="center"/>
                </w:tcPr>
                <w:p w14:paraId="40FC06BB">
                  <w:pPr>
                    <w:pStyle w:val="27"/>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柴油</w:t>
                  </w:r>
                </w:p>
              </w:tc>
              <w:tc>
                <w:tcPr>
                  <w:tcW w:w="1275" w:type="pct"/>
                  <w:tcBorders>
                    <w:top w:val="single" w:color="000000" w:sz="4" w:space="0"/>
                    <w:left w:val="single" w:color="000000" w:sz="4" w:space="0"/>
                    <w:bottom w:val="single" w:color="000000" w:sz="4" w:space="0"/>
                    <w:right w:val="single" w:color="000000" w:sz="4" w:space="0"/>
                  </w:tcBorders>
                  <w:noWrap w:val="0"/>
                  <w:vAlign w:val="center"/>
                </w:tcPr>
                <w:p w14:paraId="1E96DAD0">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w:t>
                  </w:r>
                </w:p>
              </w:tc>
              <w:tc>
                <w:tcPr>
                  <w:tcW w:w="129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970F3D">
                  <w:pPr>
                    <w:pStyle w:val="27"/>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186.66</w:t>
                  </w:r>
                </w:p>
              </w:tc>
            </w:tr>
            <w:tr w14:paraId="7BFBA813">
              <w:tblPrEx>
                <w:tblCellMar>
                  <w:top w:w="0" w:type="dxa"/>
                  <w:left w:w="108" w:type="dxa"/>
                  <w:bottom w:w="0" w:type="dxa"/>
                  <w:right w:w="108" w:type="dxa"/>
                </w:tblCellMar>
              </w:tblPrEx>
              <w:trPr>
                <w:trHeight w:val="285" w:hRule="atLeast"/>
                <w:jc w:val="center"/>
              </w:trPr>
              <w:tc>
                <w:tcPr>
                  <w:tcW w:w="1208" w:type="pct"/>
                  <w:tcBorders>
                    <w:top w:val="single" w:color="000000" w:sz="4" w:space="0"/>
                    <w:left w:val="single" w:color="000000" w:sz="4" w:space="0"/>
                    <w:bottom w:val="single" w:color="000000" w:sz="4" w:space="0"/>
                    <w:right w:val="single" w:color="000000" w:sz="4" w:space="0"/>
                  </w:tcBorders>
                  <w:noWrap w:val="0"/>
                  <w:vAlign w:val="center"/>
                </w:tcPr>
                <w:p w14:paraId="1D2CAC88">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1219" w:type="pct"/>
                  <w:tcBorders>
                    <w:top w:val="single" w:color="000000" w:sz="4" w:space="0"/>
                    <w:left w:val="single" w:color="000000" w:sz="4" w:space="0"/>
                    <w:bottom w:val="single" w:color="000000" w:sz="4" w:space="0"/>
                    <w:right w:val="single" w:color="000000" w:sz="4" w:space="0"/>
                  </w:tcBorders>
                  <w:noWrap w:val="0"/>
                  <w:vAlign w:val="center"/>
                </w:tcPr>
                <w:p w14:paraId="1C6A6DCF">
                  <w:pPr>
                    <w:pStyle w:val="27"/>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水泥</w:t>
                  </w:r>
                </w:p>
              </w:tc>
              <w:tc>
                <w:tcPr>
                  <w:tcW w:w="1275" w:type="pct"/>
                  <w:tcBorders>
                    <w:top w:val="single" w:color="000000" w:sz="4" w:space="0"/>
                    <w:left w:val="single" w:color="000000" w:sz="4" w:space="0"/>
                    <w:bottom w:val="single" w:color="000000" w:sz="4" w:space="0"/>
                    <w:right w:val="single" w:color="000000" w:sz="4" w:space="0"/>
                  </w:tcBorders>
                  <w:noWrap w:val="0"/>
                  <w:vAlign w:val="center"/>
                </w:tcPr>
                <w:p w14:paraId="4122F4CE">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万</w:t>
                  </w:r>
                  <w:r>
                    <w:rPr>
                      <w:rFonts w:hint="default" w:ascii="Times New Roman" w:hAnsi="Times New Roman" w:cs="Times New Roman"/>
                      <w:color w:val="auto"/>
                      <w:sz w:val="21"/>
                      <w:szCs w:val="21"/>
                      <w:highlight w:val="none"/>
                    </w:rPr>
                    <w:t>t</w:t>
                  </w:r>
                </w:p>
              </w:tc>
              <w:tc>
                <w:tcPr>
                  <w:tcW w:w="1296" w:type="pct"/>
                  <w:tcBorders>
                    <w:top w:val="single" w:color="000000" w:sz="4" w:space="0"/>
                    <w:left w:val="single" w:color="000000" w:sz="4" w:space="0"/>
                    <w:bottom w:val="single" w:color="000000" w:sz="4" w:space="0"/>
                    <w:right w:val="single" w:color="000000" w:sz="4" w:space="0"/>
                  </w:tcBorders>
                  <w:noWrap w:val="0"/>
                  <w:vAlign w:val="center"/>
                </w:tcPr>
                <w:p w14:paraId="5F683608">
                  <w:pPr>
                    <w:pStyle w:val="27"/>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1.27</w:t>
                  </w:r>
                </w:p>
              </w:tc>
            </w:tr>
            <w:tr w14:paraId="442AC340">
              <w:tblPrEx>
                <w:tblCellMar>
                  <w:top w:w="0" w:type="dxa"/>
                  <w:left w:w="108" w:type="dxa"/>
                  <w:bottom w:w="0" w:type="dxa"/>
                  <w:right w:w="108" w:type="dxa"/>
                </w:tblCellMar>
              </w:tblPrEx>
              <w:trPr>
                <w:trHeight w:val="285" w:hRule="atLeast"/>
                <w:jc w:val="center"/>
              </w:trPr>
              <w:tc>
                <w:tcPr>
                  <w:tcW w:w="1208" w:type="pct"/>
                  <w:tcBorders>
                    <w:top w:val="single" w:color="000000" w:sz="4" w:space="0"/>
                    <w:left w:val="single" w:color="000000" w:sz="4" w:space="0"/>
                    <w:bottom w:val="single" w:color="000000" w:sz="4" w:space="0"/>
                    <w:right w:val="single" w:color="000000" w:sz="4" w:space="0"/>
                  </w:tcBorders>
                  <w:noWrap w:val="0"/>
                  <w:vAlign w:val="center"/>
                </w:tcPr>
                <w:p w14:paraId="7416C22F">
                  <w:pPr>
                    <w:widowControl/>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1219" w:type="pct"/>
                  <w:tcBorders>
                    <w:top w:val="single" w:color="000000" w:sz="4" w:space="0"/>
                    <w:left w:val="single" w:color="000000" w:sz="4" w:space="0"/>
                    <w:bottom w:val="single" w:color="000000" w:sz="4" w:space="0"/>
                    <w:right w:val="single" w:color="000000" w:sz="4" w:space="0"/>
                  </w:tcBorders>
                  <w:noWrap w:val="0"/>
                  <w:vAlign w:val="center"/>
                </w:tcPr>
                <w:p w14:paraId="546C730E">
                  <w:pPr>
                    <w:pStyle w:val="27"/>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钢筋</w:t>
                  </w:r>
                </w:p>
              </w:tc>
              <w:tc>
                <w:tcPr>
                  <w:tcW w:w="1275" w:type="pct"/>
                  <w:tcBorders>
                    <w:top w:val="single" w:color="000000" w:sz="4" w:space="0"/>
                    <w:left w:val="single" w:color="000000" w:sz="4" w:space="0"/>
                    <w:bottom w:val="single" w:color="000000" w:sz="4" w:space="0"/>
                    <w:right w:val="single" w:color="000000" w:sz="4" w:space="0"/>
                  </w:tcBorders>
                  <w:noWrap w:val="0"/>
                  <w:vAlign w:val="center"/>
                </w:tcPr>
                <w:p w14:paraId="453919D9">
                  <w:pPr>
                    <w:kinsoku w:val="0"/>
                    <w:overflowPunct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w:t>
                  </w:r>
                </w:p>
              </w:tc>
              <w:tc>
                <w:tcPr>
                  <w:tcW w:w="1296" w:type="pct"/>
                  <w:tcBorders>
                    <w:top w:val="single" w:color="000000" w:sz="4" w:space="0"/>
                    <w:left w:val="single" w:color="000000" w:sz="4" w:space="0"/>
                    <w:bottom w:val="single" w:color="000000" w:sz="4" w:space="0"/>
                    <w:right w:val="single" w:color="000000" w:sz="4" w:space="0"/>
                  </w:tcBorders>
                  <w:noWrap w:val="0"/>
                  <w:vAlign w:val="center"/>
                </w:tcPr>
                <w:p w14:paraId="6F3002EE">
                  <w:pPr>
                    <w:pStyle w:val="27"/>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156.4</w:t>
                  </w:r>
                </w:p>
              </w:tc>
            </w:tr>
            <w:tr w14:paraId="00E1461E">
              <w:tblPrEx>
                <w:tblCellMar>
                  <w:top w:w="0" w:type="dxa"/>
                  <w:left w:w="108" w:type="dxa"/>
                  <w:bottom w:w="0" w:type="dxa"/>
                  <w:right w:w="108" w:type="dxa"/>
                </w:tblCellMar>
              </w:tblPrEx>
              <w:trPr>
                <w:trHeight w:val="285"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C781C9">
                  <w:pPr>
                    <w:pStyle w:val="27"/>
                    <w:widowControl/>
                    <w:kinsoku w:val="0"/>
                    <w:overflowPunct w:val="0"/>
                    <w:autoSpaceDE/>
                    <w:autoSpaceDN/>
                    <w:adjustRightInd/>
                    <w:spacing w:line="240" w:lineRule="auto"/>
                    <w:ind w:firstLine="0" w:firstLineChars="0"/>
                    <w:jc w:val="center"/>
                    <w:rPr>
                      <w:rFonts w:hint="default" w:ascii="Times New Roman" w:hAnsi="Times New Roman" w:eastAsia="宋体" w:cs="Times New Roman"/>
                      <w:b/>
                      <w:bCs/>
                      <w:snapToGrid w:val="0"/>
                      <w:color w:val="auto"/>
                      <w:kern w:val="0"/>
                      <w:sz w:val="21"/>
                      <w:szCs w:val="21"/>
                      <w:highlight w:val="none"/>
                      <w:lang w:val="en-US" w:eastAsia="zh-CN" w:bidi="ar-SA"/>
                    </w:rPr>
                  </w:pPr>
                  <w:r>
                    <w:rPr>
                      <w:rFonts w:hint="eastAsia" w:cs="Times New Roman"/>
                      <w:b/>
                      <w:bCs/>
                      <w:color w:val="auto"/>
                      <w:sz w:val="21"/>
                      <w:szCs w:val="21"/>
                      <w:highlight w:val="none"/>
                      <w:lang w:val="en-US" w:eastAsia="zh-CN"/>
                    </w:rPr>
                    <w:t>二、石河镇石河镇段、双拱场段</w:t>
                  </w:r>
                </w:p>
              </w:tc>
            </w:tr>
            <w:tr w14:paraId="3863E555">
              <w:tblPrEx>
                <w:tblCellMar>
                  <w:top w:w="0" w:type="dxa"/>
                  <w:left w:w="108" w:type="dxa"/>
                  <w:bottom w:w="0" w:type="dxa"/>
                  <w:right w:w="108" w:type="dxa"/>
                </w:tblCellMar>
              </w:tblPrEx>
              <w:trPr>
                <w:trHeight w:val="285" w:hRule="atLeast"/>
                <w:jc w:val="center"/>
              </w:trPr>
              <w:tc>
                <w:tcPr>
                  <w:tcW w:w="12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2EF9B">
                  <w:pPr>
                    <w:pStyle w:val="27"/>
                    <w:kinsoku w:val="0"/>
                    <w:overflowPunct w:val="0"/>
                    <w:spacing w:line="240" w:lineRule="auto"/>
                    <w:ind w:firstLine="0" w:firstLineChars="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1219" w:type="pct"/>
                  <w:tcBorders>
                    <w:top w:val="single" w:color="000000" w:sz="4" w:space="0"/>
                    <w:left w:val="single" w:color="000000" w:sz="4" w:space="0"/>
                    <w:bottom w:val="single" w:color="000000" w:sz="4" w:space="0"/>
                    <w:right w:val="single" w:color="000000" w:sz="4" w:space="0"/>
                  </w:tcBorders>
                  <w:noWrap w:val="0"/>
                  <w:vAlign w:val="center"/>
                </w:tcPr>
                <w:p w14:paraId="11251592">
                  <w:pPr>
                    <w:pStyle w:val="27"/>
                    <w:kinsoku w:val="0"/>
                    <w:overflowPunct w:val="0"/>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eastAsia"/>
                      <w:b w:val="0"/>
                      <w:bCs w:val="0"/>
                      <w:color w:val="auto"/>
                      <w:sz w:val="21"/>
                      <w:szCs w:val="21"/>
                      <w:highlight w:val="none"/>
                    </w:rPr>
                    <w:t>水泥</w:t>
                  </w:r>
                </w:p>
              </w:tc>
              <w:tc>
                <w:tcPr>
                  <w:tcW w:w="1275" w:type="pct"/>
                  <w:tcBorders>
                    <w:top w:val="single" w:color="000000" w:sz="4" w:space="0"/>
                    <w:left w:val="single" w:color="000000" w:sz="4" w:space="0"/>
                    <w:bottom w:val="single" w:color="000000" w:sz="4" w:space="0"/>
                    <w:right w:val="single" w:color="000000" w:sz="4" w:space="0"/>
                  </w:tcBorders>
                  <w:noWrap w:val="0"/>
                  <w:vAlign w:val="center"/>
                </w:tcPr>
                <w:p w14:paraId="13012EDE">
                  <w:pPr>
                    <w:kinsoku w:val="0"/>
                    <w:overflowPunct w:val="0"/>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eastAsia"/>
                      <w:b w:val="0"/>
                      <w:bCs w:val="0"/>
                      <w:color w:val="auto"/>
                      <w:sz w:val="21"/>
                      <w:szCs w:val="21"/>
                      <w:highlight w:val="none"/>
                    </w:rPr>
                    <w:t>t</w:t>
                  </w:r>
                </w:p>
              </w:tc>
              <w:tc>
                <w:tcPr>
                  <w:tcW w:w="129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624433">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6808.8</w:t>
                  </w:r>
                </w:p>
              </w:tc>
            </w:tr>
            <w:tr w14:paraId="143A5D5F">
              <w:tblPrEx>
                <w:tblCellMar>
                  <w:top w:w="0" w:type="dxa"/>
                  <w:left w:w="108" w:type="dxa"/>
                  <w:bottom w:w="0" w:type="dxa"/>
                  <w:right w:w="108" w:type="dxa"/>
                </w:tblCellMar>
              </w:tblPrEx>
              <w:trPr>
                <w:trHeight w:val="285" w:hRule="atLeast"/>
                <w:jc w:val="center"/>
              </w:trPr>
              <w:tc>
                <w:tcPr>
                  <w:tcW w:w="12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B83BDB">
                  <w:pPr>
                    <w:pStyle w:val="27"/>
                    <w:kinsoku w:val="0"/>
                    <w:overflowPunct w:val="0"/>
                    <w:spacing w:line="240" w:lineRule="auto"/>
                    <w:ind w:firstLine="0" w:firstLineChars="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2</w:t>
                  </w:r>
                </w:p>
              </w:tc>
              <w:tc>
                <w:tcPr>
                  <w:tcW w:w="1219" w:type="pct"/>
                  <w:tcBorders>
                    <w:top w:val="single" w:color="000000" w:sz="4" w:space="0"/>
                    <w:left w:val="single" w:color="000000" w:sz="4" w:space="0"/>
                    <w:bottom w:val="single" w:color="000000" w:sz="4" w:space="0"/>
                    <w:right w:val="single" w:color="000000" w:sz="4" w:space="0"/>
                  </w:tcBorders>
                  <w:noWrap w:val="0"/>
                  <w:vAlign w:val="center"/>
                </w:tcPr>
                <w:p w14:paraId="3ADBE1E6">
                  <w:pPr>
                    <w:pStyle w:val="27"/>
                    <w:kinsoku w:val="0"/>
                    <w:overflowPunct w:val="0"/>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eastAsia"/>
                      <w:b w:val="0"/>
                      <w:bCs w:val="0"/>
                      <w:color w:val="auto"/>
                      <w:sz w:val="21"/>
                      <w:szCs w:val="21"/>
                      <w:highlight w:val="none"/>
                    </w:rPr>
                    <w:t>钢筋</w:t>
                  </w:r>
                </w:p>
              </w:tc>
              <w:tc>
                <w:tcPr>
                  <w:tcW w:w="1275" w:type="pct"/>
                  <w:tcBorders>
                    <w:top w:val="single" w:color="000000" w:sz="4" w:space="0"/>
                    <w:left w:val="single" w:color="000000" w:sz="4" w:space="0"/>
                    <w:bottom w:val="single" w:color="000000" w:sz="4" w:space="0"/>
                    <w:right w:val="single" w:color="000000" w:sz="4" w:space="0"/>
                  </w:tcBorders>
                  <w:noWrap w:val="0"/>
                  <w:vAlign w:val="center"/>
                </w:tcPr>
                <w:p w14:paraId="4F9C9BDE">
                  <w:pPr>
                    <w:kinsoku w:val="0"/>
                    <w:overflowPunct w:val="0"/>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eastAsia"/>
                      <w:b w:val="0"/>
                      <w:bCs w:val="0"/>
                      <w:color w:val="auto"/>
                      <w:sz w:val="21"/>
                      <w:szCs w:val="21"/>
                      <w:highlight w:val="none"/>
                    </w:rPr>
                    <w:t>t</w:t>
                  </w:r>
                </w:p>
              </w:tc>
              <w:tc>
                <w:tcPr>
                  <w:tcW w:w="129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A78B82">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176.7</w:t>
                  </w:r>
                </w:p>
              </w:tc>
            </w:tr>
            <w:tr w14:paraId="1BD1B732">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350D4A">
                  <w:pPr>
                    <w:pStyle w:val="27"/>
                    <w:kinsoku w:val="0"/>
                    <w:overflowPunct w:val="0"/>
                    <w:spacing w:line="240" w:lineRule="auto"/>
                    <w:ind w:firstLine="0" w:firstLineChars="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3</w:t>
                  </w:r>
                </w:p>
              </w:tc>
              <w:tc>
                <w:tcPr>
                  <w:tcW w:w="0" w:type="auto"/>
                  <w:tcBorders>
                    <w:top w:val="single" w:color="000000" w:sz="4" w:space="0"/>
                    <w:left w:val="single" w:color="000000" w:sz="4" w:space="0"/>
                    <w:bottom w:val="single" w:color="000000" w:sz="4" w:space="0"/>
                    <w:right w:val="single" w:color="000000" w:sz="4" w:space="0"/>
                  </w:tcBorders>
                </w:tcPr>
                <w:p w14:paraId="5B3727CF">
                  <w:pPr>
                    <w:pStyle w:val="27"/>
                    <w:kinsoku w:val="0"/>
                    <w:overflowPunct w:val="0"/>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eastAsia"/>
                      <w:b w:val="0"/>
                      <w:bCs w:val="0"/>
                      <w:color w:val="auto"/>
                      <w:sz w:val="21"/>
                      <w:szCs w:val="21"/>
                      <w:highlight w:val="none"/>
                    </w:rPr>
                    <w:t>木材</w:t>
                  </w:r>
                </w:p>
              </w:tc>
              <w:tc>
                <w:tcPr>
                  <w:tcW w:w="0" w:type="auto"/>
                  <w:tcBorders>
                    <w:top w:val="single" w:color="000000" w:sz="4" w:space="0"/>
                    <w:left w:val="single" w:color="000000" w:sz="4" w:space="0"/>
                    <w:bottom w:val="single" w:color="000000" w:sz="4" w:space="0"/>
                    <w:right w:val="single" w:color="000000" w:sz="4" w:space="0"/>
                  </w:tcBorders>
                </w:tcPr>
                <w:p w14:paraId="0EA28BE8">
                  <w:pPr>
                    <w:kinsoku w:val="0"/>
                    <w:overflowPunct w:val="0"/>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eastAsia"/>
                      <w:b w:val="0"/>
                      <w:bCs w:val="0"/>
                      <w:color w:val="auto"/>
                      <w:sz w:val="21"/>
                      <w:szCs w:val="21"/>
                      <w:highlight w:val="none"/>
                    </w:rPr>
                    <w:t>m</w:t>
                  </w:r>
                  <w:r>
                    <w:rPr>
                      <w:rFonts w:hint="eastAsia"/>
                      <w:b w:val="0"/>
                      <w:bCs w:val="0"/>
                      <w:color w:val="auto"/>
                      <w:sz w:val="21"/>
                      <w:szCs w:val="21"/>
                      <w:highlight w:val="none"/>
                      <w:vertAlign w:val="superscript"/>
                    </w:rPr>
                    <w:t>3</w:t>
                  </w:r>
                </w:p>
              </w:tc>
              <w:tc>
                <w:tcPr>
                  <w:tcW w:w="12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19EECA">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0.8</w:t>
                  </w:r>
                </w:p>
              </w:tc>
            </w:tr>
            <w:tr w14:paraId="137B4309">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E74BD5">
                  <w:pPr>
                    <w:widowControl/>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snapToGrid w:val="0"/>
                      <w:color w:val="auto"/>
                      <w:sz w:val="21"/>
                      <w:szCs w:val="21"/>
                      <w:highlight w:val="none"/>
                      <w:lang w:val="en-US" w:eastAsia="zh-CN" w:bidi="ar-SA"/>
                    </w:rPr>
                    <w:t>4</w:t>
                  </w:r>
                </w:p>
              </w:tc>
              <w:tc>
                <w:tcPr>
                  <w:tcW w:w="0" w:type="auto"/>
                  <w:tcBorders>
                    <w:top w:val="single" w:color="000000" w:sz="4" w:space="0"/>
                    <w:left w:val="single" w:color="000000" w:sz="4" w:space="0"/>
                    <w:bottom w:val="single" w:color="000000" w:sz="4" w:space="0"/>
                    <w:right w:val="single" w:color="000000" w:sz="4" w:space="0"/>
                  </w:tcBorders>
                </w:tcPr>
                <w:p w14:paraId="736B12B7">
                  <w:pPr>
                    <w:pStyle w:val="27"/>
                    <w:kinsoku w:val="0"/>
                    <w:overflowPunct w:val="0"/>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eastAsia"/>
                      <w:b w:val="0"/>
                      <w:bCs w:val="0"/>
                      <w:color w:val="auto"/>
                      <w:sz w:val="21"/>
                      <w:szCs w:val="21"/>
                      <w:highlight w:val="none"/>
                    </w:rPr>
                    <w:t>汽油</w:t>
                  </w:r>
                </w:p>
              </w:tc>
              <w:tc>
                <w:tcPr>
                  <w:tcW w:w="0" w:type="auto"/>
                  <w:tcBorders>
                    <w:top w:val="single" w:color="000000" w:sz="4" w:space="0"/>
                    <w:left w:val="single" w:color="000000" w:sz="4" w:space="0"/>
                    <w:bottom w:val="single" w:color="000000" w:sz="4" w:space="0"/>
                    <w:right w:val="single" w:color="000000" w:sz="4" w:space="0"/>
                  </w:tcBorders>
                </w:tcPr>
                <w:p w14:paraId="028032E1">
                  <w:pPr>
                    <w:kinsoku w:val="0"/>
                    <w:overflowPunct w:val="0"/>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eastAsia"/>
                      <w:b w:val="0"/>
                      <w:bCs w:val="0"/>
                      <w:color w:val="auto"/>
                      <w:sz w:val="21"/>
                      <w:szCs w:val="21"/>
                      <w:highlight w:val="none"/>
                    </w:rPr>
                    <w:t>t</w:t>
                  </w:r>
                </w:p>
              </w:tc>
              <w:tc>
                <w:tcPr>
                  <w:tcW w:w="12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AA8CED">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38.1</w:t>
                  </w:r>
                </w:p>
              </w:tc>
            </w:tr>
            <w:tr w14:paraId="029C0D00">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C3F5D4">
                  <w:pPr>
                    <w:widowControl/>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w:t>
                  </w:r>
                </w:p>
              </w:tc>
              <w:tc>
                <w:tcPr>
                  <w:tcW w:w="0" w:type="auto"/>
                  <w:tcBorders>
                    <w:top w:val="single" w:color="000000" w:sz="4" w:space="0"/>
                    <w:left w:val="single" w:color="000000" w:sz="4" w:space="0"/>
                    <w:bottom w:val="single" w:color="000000" w:sz="4" w:space="0"/>
                    <w:right w:val="single" w:color="000000" w:sz="4" w:space="0"/>
                  </w:tcBorders>
                </w:tcPr>
                <w:p w14:paraId="100C5745">
                  <w:pPr>
                    <w:pStyle w:val="27"/>
                    <w:kinsoku w:val="0"/>
                    <w:overflowPunct w:val="0"/>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eastAsia"/>
                      <w:b w:val="0"/>
                      <w:bCs w:val="0"/>
                      <w:color w:val="auto"/>
                      <w:sz w:val="21"/>
                      <w:szCs w:val="21"/>
                      <w:highlight w:val="none"/>
                    </w:rPr>
                    <w:t>柴油</w:t>
                  </w:r>
                </w:p>
              </w:tc>
              <w:tc>
                <w:tcPr>
                  <w:tcW w:w="0" w:type="auto"/>
                  <w:tcBorders>
                    <w:top w:val="single" w:color="000000" w:sz="4" w:space="0"/>
                    <w:left w:val="single" w:color="000000" w:sz="4" w:space="0"/>
                    <w:bottom w:val="single" w:color="000000" w:sz="4" w:space="0"/>
                    <w:right w:val="single" w:color="000000" w:sz="4" w:space="0"/>
                  </w:tcBorders>
                </w:tcPr>
                <w:p w14:paraId="4FF27DA9">
                  <w:pPr>
                    <w:kinsoku w:val="0"/>
                    <w:overflowPunct w:val="0"/>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eastAsia"/>
                      <w:b w:val="0"/>
                      <w:bCs w:val="0"/>
                      <w:color w:val="auto"/>
                      <w:sz w:val="21"/>
                      <w:szCs w:val="21"/>
                      <w:highlight w:val="none"/>
                    </w:rPr>
                    <w:t>t</w:t>
                  </w:r>
                </w:p>
              </w:tc>
              <w:tc>
                <w:tcPr>
                  <w:tcW w:w="12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BAB6C1">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243.4</w:t>
                  </w:r>
                </w:p>
              </w:tc>
            </w:tr>
            <w:tr w14:paraId="7D0E8CA4">
              <w:tblPrEx>
                <w:tblCellMar>
                  <w:top w:w="0" w:type="dxa"/>
                  <w:left w:w="108" w:type="dxa"/>
                  <w:bottom w:w="0" w:type="dxa"/>
                  <w:right w:w="108" w:type="dxa"/>
                </w:tblCellMar>
              </w:tblPrEx>
              <w:trPr>
                <w:trHeight w:val="28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A17FF0">
                  <w:pPr>
                    <w:widowControl/>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tcPr>
                <w:p w14:paraId="59BD273E">
                  <w:pPr>
                    <w:pStyle w:val="27"/>
                    <w:kinsoku w:val="0"/>
                    <w:overflowPunct w:val="0"/>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eastAsia"/>
                      <w:b w:val="0"/>
                      <w:bCs w:val="0"/>
                      <w:color w:val="auto"/>
                      <w:sz w:val="21"/>
                      <w:szCs w:val="21"/>
                      <w:highlight w:val="none"/>
                    </w:rPr>
                    <w:t>块石</w:t>
                  </w:r>
                </w:p>
              </w:tc>
              <w:tc>
                <w:tcPr>
                  <w:tcW w:w="0" w:type="auto"/>
                  <w:tcBorders>
                    <w:top w:val="single" w:color="000000" w:sz="4" w:space="0"/>
                    <w:left w:val="single" w:color="000000" w:sz="4" w:space="0"/>
                    <w:bottom w:val="single" w:color="000000" w:sz="4" w:space="0"/>
                    <w:right w:val="single" w:color="000000" w:sz="4" w:space="0"/>
                  </w:tcBorders>
                </w:tcPr>
                <w:p w14:paraId="5441A481">
                  <w:pPr>
                    <w:kinsoku w:val="0"/>
                    <w:overflowPunct w:val="0"/>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eastAsia"/>
                      <w:b w:val="0"/>
                      <w:bCs w:val="0"/>
                      <w:color w:val="auto"/>
                      <w:sz w:val="21"/>
                      <w:szCs w:val="21"/>
                      <w:highlight w:val="none"/>
                    </w:rPr>
                    <w:t>m</w:t>
                  </w:r>
                  <w:r>
                    <w:rPr>
                      <w:rFonts w:hint="eastAsia"/>
                      <w:b w:val="0"/>
                      <w:bCs w:val="0"/>
                      <w:color w:val="auto"/>
                      <w:sz w:val="21"/>
                      <w:szCs w:val="21"/>
                      <w:highlight w:val="none"/>
                      <w:vertAlign w:val="superscript"/>
                    </w:rPr>
                    <w:t>3</w:t>
                  </w:r>
                </w:p>
              </w:tc>
              <w:tc>
                <w:tcPr>
                  <w:tcW w:w="12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9B7CE">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9331.7</w:t>
                  </w:r>
                </w:p>
              </w:tc>
            </w:tr>
            <w:tr w14:paraId="7078D626">
              <w:tblPrEx>
                <w:tblCellMar>
                  <w:top w:w="0" w:type="dxa"/>
                  <w:left w:w="108" w:type="dxa"/>
                  <w:bottom w:w="0" w:type="dxa"/>
                  <w:right w:w="108" w:type="dxa"/>
                </w:tblCellMar>
              </w:tblPrEx>
              <w:trPr>
                <w:trHeight w:val="55" w:hRule="atLeast"/>
                <w:jc w:val="center"/>
              </w:trPr>
              <w:tc>
                <w:tcPr>
                  <w:tcW w:w="12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7CBA5">
                  <w:pPr>
                    <w:widowControl/>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7</w:t>
                  </w:r>
                </w:p>
              </w:tc>
              <w:tc>
                <w:tcPr>
                  <w:tcW w:w="1219" w:type="pct"/>
                  <w:tcBorders>
                    <w:top w:val="single" w:color="000000" w:sz="4" w:space="0"/>
                    <w:left w:val="single" w:color="000000" w:sz="4" w:space="0"/>
                    <w:bottom w:val="single" w:color="000000" w:sz="4" w:space="0"/>
                    <w:right w:val="single" w:color="000000" w:sz="4" w:space="0"/>
                  </w:tcBorders>
                </w:tcPr>
                <w:p w14:paraId="52E3EF94">
                  <w:pPr>
                    <w:pStyle w:val="27"/>
                    <w:kinsoku w:val="0"/>
                    <w:overflowPunct w:val="0"/>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eastAsia"/>
                      <w:b w:val="0"/>
                      <w:bCs w:val="0"/>
                      <w:color w:val="auto"/>
                      <w:sz w:val="21"/>
                      <w:szCs w:val="21"/>
                      <w:highlight w:val="none"/>
                    </w:rPr>
                    <w:t>碎石</w:t>
                  </w:r>
                </w:p>
              </w:tc>
              <w:tc>
                <w:tcPr>
                  <w:tcW w:w="1275" w:type="pct"/>
                  <w:tcBorders>
                    <w:top w:val="single" w:color="000000" w:sz="4" w:space="0"/>
                    <w:left w:val="single" w:color="000000" w:sz="4" w:space="0"/>
                    <w:bottom w:val="single" w:color="000000" w:sz="4" w:space="0"/>
                    <w:right w:val="single" w:color="000000" w:sz="4" w:space="0"/>
                  </w:tcBorders>
                </w:tcPr>
                <w:p w14:paraId="7132B9AF">
                  <w:pPr>
                    <w:kinsoku w:val="0"/>
                    <w:overflowPunct w:val="0"/>
                    <w:spacing w:line="240" w:lineRule="auto"/>
                    <w:ind w:firstLine="0" w:firstLineChars="0"/>
                    <w:jc w:val="center"/>
                    <w:rPr>
                      <w:rFonts w:hint="default" w:ascii="Times New Roman" w:hAnsi="Times New Roman" w:cs="Times New Roman"/>
                      <w:b w:val="0"/>
                      <w:bCs w:val="0"/>
                      <w:color w:val="auto"/>
                      <w:sz w:val="21"/>
                      <w:szCs w:val="21"/>
                      <w:highlight w:val="none"/>
                    </w:rPr>
                  </w:pPr>
                  <w:r>
                    <w:rPr>
                      <w:rFonts w:hint="eastAsia"/>
                      <w:b w:val="0"/>
                      <w:bCs w:val="0"/>
                      <w:color w:val="auto"/>
                      <w:sz w:val="21"/>
                      <w:szCs w:val="21"/>
                      <w:highlight w:val="none"/>
                    </w:rPr>
                    <w:t>m</w:t>
                  </w:r>
                  <w:r>
                    <w:rPr>
                      <w:rFonts w:hint="eastAsia"/>
                      <w:b w:val="0"/>
                      <w:bCs w:val="0"/>
                      <w:color w:val="auto"/>
                      <w:sz w:val="21"/>
                      <w:szCs w:val="21"/>
                      <w:highlight w:val="none"/>
                      <w:vertAlign w:val="superscript"/>
                    </w:rPr>
                    <w:t>3</w:t>
                  </w:r>
                </w:p>
              </w:tc>
              <w:tc>
                <w:tcPr>
                  <w:tcW w:w="12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187BEA">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15240.0</w:t>
                  </w:r>
                </w:p>
              </w:tc>
            </w:tr>
            <w:tr w14:paraId="28994FEF">
              <w:tblPrEx>
                <w:tblCellMar>
                  <w:top w:w="0" w:type="dxa"/>
                  <w:left w:w="108" w:type="dxa"/>
                  <w:bottom w:w="0" w:type="dxa"/>
                  <w:right w:w="108" w:type="dxa"/>
                </w:tblCellMar>
              </w:tblPrEx>
              <w:trPr>
                <w:trHeight w:val="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8C054">
                  <w:pPr>
                    <w:pStyle w:val="27"/>
                    <w:kinsoku w:val="0"/>
                    <w:overflowPunct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tcPr>
                <w:p w14:paraId="506BD9F8">
                  <w:pPr>
                    <w:pStyle w:val="27"/>
                    <w:kinsoku w:val="0"/>
                    <w:overflowPunct w:val="0"/>
                    <w:spacing w:line="240" w:lineRule="auto"/>
                    <w:ind w:firstLine="0" w:firstLineChars="0"/>
                    <w:jc w:val="center"/>
                    <w:rPr>
                      <w:rFonts w:hint="eastAsia" w:ascii="Times New Roman" w:hAnsi="Times New Roman" w:cs="Times New Roman"/>
                      <w:b w:val="0"/>
                      <w:bCs w:val="0"/>
                      <w:color w:val="auto"/>
                      <w:sz w:val="21"/>
                      <w:szCs w:val="21"/>
                      <w:highlight w:val="none"/>
                      <w:lang w:val="en-US" w:eastAsia="zh-CN"/>
                    </w:rPr>
                  </w:pPr>
                  <w:r>
                    <w:rPr>
                      <w:rFonts w:hint="eastAsia"/>
                      <w:b w:val="0"/>
                      <w:bCs w:val="0"/>
                      <w:color w:val="auto"/>
                      <w:sz w:val="21"/>
                      <w:szCs w:val="21"/>
                      <w:highlight w:val="none"/>
                    </w:rPr>
                    <w:t>砂</w:t>
                  </w:r>
                </w:p>
              </w:tc>
              <w:tc>
                <w:tcPr>
                  <w:tcW w:w="0" w:type="auto"/>
                  <w:tcBorders>
                    <w:top w:val="single" w:color="000000" w:sz="4" w:space="0"/>
                    <w:left w:val="single" w:color="000000" w:sz="4" w:space="0"/>
                    <w:bottom w:val="single" w:color="000000" w:sz="4" w:space="0"/>
                    <w:right w:val="single" w:color="000000" w:sz="4" w:space="0"/>
                  </w:tcBorders>
                </w:tcPr>
                <w:p w14:paraId="119E764F">
                  <w:pPr>
                    <w:pStyle w:val="27"/>
                    <w:kinsoku w:val="0"/>
                    <w:overflowPunct w:val="0"/>
                    <w:spacing w:line="240" w:lineRule="auto"/>
                    <w:ind w:firstLine="0" w:firstLineChars="0"/>
                    <w:jc w:val="center"/>
                    <w:rPr>
                      <w:rFonts w:hint="eastAsia" w:ascii="Times New Roman" w:hAnsi="Times New Roman" w:cs="Times New Roman"/>
                      <w:b w:val="0"/>
                      <w:bCs w:val="0"/>
                      <w:color w:val="auto"/>
                      <w:sz w:val="21"/>
                      <w:szCs w:val="21"/>
                      <w:highlight w:val="none"/>
                      <w:lang w:val="en-US" w:eastAsia="zh-CN"/>
                    </w:rPr>
                  </w:pPr>
                  <w:r>
                    <w:rPr>
                      <w:rFonts w:hint="eastAsia"/>
                      <w:b w:val="0"/>
                      <w:bCs w:val="0"/>
                      <w:color w:val="auto"/>
                      <w:sz w:val="21"/>
                      <w:szCs w:val="21"/>
                      <w:highlight w:val="none"/>
                    </w:rPr>
                    <w:t>m</w:t>
                  </w:r>
                  <w:r>
                    <w:rPr>
                      <w:rFonts w:hint="eastAsia"/>
                      <w:b w:val="0"/>
                      <w:bCs w:val="0"/>
                      <w:color w:val="auto"/>
                      <w:sz w:val="21"/>
                      <w:szCs w:val="21"/>
                      <w:highlight w:val="none"/>
                      <w:vertAlign w:val="superscript"/>
                    </w:rPr>
                    <w:t>3</w:t>
                  </w:r>
                </w:p>
              </w:tc>
              <w:tc>
                <w:tcPr>
                  <w:tcW w:w="129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63651F">
                  <w:pPr>
                    <w:spacing w:line="240" w:lineRule="exact"/>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9264.9</w:t>
                  </w:r>
                </w:p>
              </w:tc>
            </w:tr>
            <w:tr w14:paraId="6DF98C3A">
              <w:tblPrEx>
                <w:tblCellMar>
                  <w:top w:w="0" w:type="dxa"/>
                  <w:left w:w="108" w:type="dxa"/>
                  <w:bottom w:w="0" w:type="dxa"/>
                  <w:right w:w="108" w:type="dxa"/>
                </w:tblCellMar>
              </w:tblPrEx>
              <w:trPr>
                <w:trHeight w:val="55"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7BA146B">
                  <w:pPr>
                    <w:spacing w:line="240" w:lineRule="exact"/>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b/>
                      <w:bCs/>
                      <w:color w:val="auto"/>
                      <w:sz w:val="21"/>
                      <w:szCs w:val="21"/>
                      <w:highlight w:val="none"/>
                      <w:lang w:val="en-US" w:eastAsia="zh-CN"/>
                    </w:rPr>
                    <w:t>三、总能源消耗</w:t>
                  </w:r>
                </w:p>
              </w:tc>
            </w:tr>
            <w:tr w14:paraId="45A8B166">
              <w:tblPrEx>
                <w:tblCellMar>
                  <w:top w:w="0" w:type="dxa"/>
                  <w:left w:w="108" w:type="dxa"/>
                  <w:bottom w:w="0" w:type="dxa"/>
                  <w:right w:w="108" w:type="dxa"/>
                </w:tblCellMar>
              </w:tblPrEx>
              <w:trPr>
                <w:trHeight w:val="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515812">
                  <w:pPr>
                    <w:pStyle w:val="27"/>
                    <w:kinsoku w:val="0"/>
                    <w:overflowPunct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BD0FE6">
                  <w:pPr>
                    <w:kinsoku/>
                    <w:overflowPunct/>
                    <w:autoSpaceDE/>
                    <w:autoSpaceDN/>
                    <w:ind w:firstLine="0" w:firstLineChars="0"/>
                    <w:jc w:val="center"/>
                    <w:rPr>
                      <w:rFonts w:hint="eastAsia" w:ascii="Times New Roman" w:hAnsi="Times New Roman" w:eastAsia="宋体" w:cs="Times New Roman"/>
                      <w:b w:val="0"/>
                      <w:bCs w:val="0"/>
                      <w:snapToGrid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34FBD7">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DD09B">
                  <w:pPr>
                    <w:keepNext w:val="0"/>
                    <w:keepLines w:val="0"/>
                    <w:widowControl/>
                    <w:suppressLineNumbers w:val="0"/>
                    <w:spacing w:line="240" w:lineRule="auto"/>
                    <w:ind w:firstLine="0" w:firstLineChars="0"/>
                    <w:jc w:val="center"/>
                    <w:textAlignment w:val="auto"/>
                    <w:rPr>
                      <w:rFonts w:hint="eastAsia" w:ascii="Times New Roman" w:hAnsi="Times New Roman" w:eastAsia="宋体" w:cs="Times New Roman"/>
                      <w:i w:val="0"/>
                      <w:iCs w:val="0"/>
                      <w:snapToGrid w:val="0"/>
                      <w:color w:val="auto"/>
                      <w:kern w:val="0"/>
                      <w:sz w:val="21"/>
                      <w:szCs w:val="21"/>
                      <w:highlight w:val="none"/>
                      <w:u w:val="none"/>
                      <w:lang w:val="en-US" w:eastAsia="zh-CN" w:bidi="ar-SA"/>
                    </w:rPr>
                  </w:pPr>
                  <w:r>
                    <w:rPr>
                      <w:rFonts w:hint="default" w:ascii="Times New Roman" w:hAnsi="Times New Roman" w:eastAsia="宋体" w:cs="Times New Roman"/>
                      <w:color w:val="auto"/>
                      <w:sz w:val="21"/>
                      <w:szCs w:val="21"/>
                      <w:highlight w:val="none"/>
                      <w:lang w:val="en-US" w:eastAsia="zh-CN"/>
                    </w:rPr>
                    <w:t>12216</w:t>
                  </w:r>
                </w:p>
              </w:tc>
            </w:tr>
            <w:tr w14:paraId="5EA00479">
              <w:tblPrEx>
                <w:tblCellMar>
                  <w:top w:w="0" w:type="dxa"/>
                  <w:left w:w="108" w:type="dxa"/>
                  <w:bottom w:w="0" w:type="dxa"/>
                  <w:right w:w="108" w:type="dxa"/>
                </w:tblCellMar>
              </w:tblPrEx>
              <w:trPr>
                <w:trHeight w:val="5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667893">
                  <w:pPr>
                    <w:pStyle w:val="27"/>
                    <w:kinsoku w:val="0"/>
                    <w:overflowPunct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807AA6">
                  <w:pPr>
                    <w:kinsoku/>
                    <w:overflowPunct/>
                    <w:autoSpaceDE/>
                    <w:autoSpaceDN/>
                    <w:ind w:firstLine="0" w:firstLineChars="0"/>
                    <w:jc w:val="center"/>
                    <w:rPr>
                      <w:rFonts w:hint="eastAsia" w:ascii="Times New Roman" w:hAnsi="Times New Roman" w:eastAsia="宋体" w:cs="Times New Roman"/>
                      <w:b w:val="0"/>
                      <w:bCs w:val="0"/>
                      <w:snapToGrid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DC42F6">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kwh</w:t>
                  </w:r>
                </w:p>
              </w:tc>
              <w:tc>
                <w:tcPr>
                  <w:tcW w:w="1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CAC44">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万</w:t>
                  </w:r>
                </w:p>
              </w:tc>
            </w:tr>
          </w:tbl>
          <w:p w14:paraId="3AB26CD2">
            <w:pPr>
              <w:keepNext w:val="0"/>
              <w:keepLines w:val="0"/>
              <w:pageBreakBefore w:val="0"/>
              <w:widowControl w:val="0"/>
              <w:kinsoku/>
              <w:wordWrap/>
              <w:overflowPunct/>
              <w:topLinePunct w:val="0"/>
              <w:autoSpaceDE/>
              <w:autoSpaceDN/>
              <w:bidi w:val="0"/>
              <w:adjustRightInd w:val="0"/>
              <w:snapToGrid w:val="0"/>
              <w:spacing w:before="169" w:beforeLines="50" w:line="240" w:lineRule="auto"/>
              <w:jc w:val="center"/>
              <w:textAlignment w:val="auto"/>
              <w:rPr>
                <w:rFonts w:ascii="Times New Roman" w:hAnsi="Times New Roman" w:eastAsia="宋体"/>
                <w:b/>
                <w:color w:val="auto"/>
                <w:sz w:val="24"/>
                <w:highlight w:val="none"/>
              </w:rPr>
            </w:pPr>
            <w:r>
              <w:rPr>
                <w:rFonts w:hint="eastAsia" w:ascii="Times New Roman" w:hAnsi="Times New Roman" w:eastAsia="宋体"/>
                <w:b/>
                <w:color w:val="auto"/>
                <w:sz w:val="24"/>
                <w:highlight w:val="none"/>
              </w:rPr>
              <w:t>表2</w:t>
            </w:r>
            <w:r>
              <w:rPr>
                <w:rFonts w:ascii="Times New Roman" w:hAnsi="Times New Roman" w:eastAsia="宋体"/>
                <w:b/>
                <w:color w:val="auto"/>
                <w:sz w:val="24"/>
                <w:highlight w:val="none"/>
              </w:rPr>
              <w:t>.3-</w:t>
            </w:r>
            <w:r>
              <w:rPr>
                <w:rFonts w:hint="eastAsia"/>
                <w:b/>
                <w:color w:val="auto"/>
                <w:sz w:val="24"/>
                <w:highlight w:val="none"/>
                <w:lang w:val="en-US" w:eastAsia="zh-CN"/>
              </w:rPr>
              <w:t>10</w:t>
            </w:r>
            <w:r>
              <w:rPr>
                <w:rFonts w:ascii="Times New Roman" w:hAnsi="Times New Roman" w:eastAsia="宋体"/>
                <w:b/>
                <w:color w:val="auto"/>
                <w:sz w:val="24"/>
                <w:highlight w:val="none"/>
              </w:rPr>
              <w:t xml:space="preserve">  </w:t>
            </w:r>
            <w:r>
              <w:rPr>
                <w:rFonts w:hint="eastAsia" w:ascii="Times New Roman" w:hAnsi="Times New Roman" w:eastAsia="宋体"/>
                <w:b/>
                <w:color w:val="auto"/>
                <w:sz w:val="24"/>
                <w:highlight w:val="none"/>
              </w:rPr>
              <w:t>项目</w:t>
            </w:r>
            <w:r>
              <w:rPr>
                <w:rFonts w:hint="eastAsia"/>
                <w:b/>
                <w:color w:val="auto"/>
                <w:sz w:val="24"/>
                <w:highlight w:val="none"/>
                <w:lang w:val="en-US" w:eastAsia="zh-CN"/>
              </w:rPr>
              <w:t>清河镇及杨家镇段</w:t>
            </w:r>
            <w:r>
              <w:rPr>
                <w:rFonts w:hint="eastAsia" w:ascii="Times New Roman" w:hAnsi="Times New Roman" w:eastAsia="宋体"/>
                <w:b/>
                <w:color w:val="auto"/>
                <w:sz w:val="24"/>
                <w:highlight w:val="none"/>
              </w:rPr>
              <w:t>施工期主要原辅材料表</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1254"/>
              <w:gridCol w:w="1372"/>
              <w:gridCol w:w="1171"/>
              <w:gridCol w:w="1279"/>
              <w:gridCol w:w="2457"/>
            </w:tblGrid>
            <w:tr w14:paraId="630A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529" w:type="pct"/>
                  <w:gridSpan w:val="2"/>
                  <w:vMerge w:val="restart"/>
                  <w:noWrap w:val="0"/>
                  <w:vAlign w:val="center"/>
                </w:tcPr>
                <w:p w14:paraId="08296953">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原料名称</w:t>
                  </w:r>
                </w:p>
              </w:tc>
              <w:tc>
                <w:tcPr>
                  <w:tcW w:w="2112" w:type="pct"/>
                  <w:gridSpan w:val="3"/>
                  <w:noWrap w:val="0"/>
                  <w:vAlign w:val="center"/>
                </w:tcPr>
                <w:p w14:paraId="0986084B">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用量</w:t>
                  </w:r>
                </w:p>
              </w:tc>
              <w:tc>
                <w:tcPr>
                  <w:tcW w:w="1358" w:type="pct"/>
                  <w:noWrap w:val="0"/>
                  <w:vAlign w:val="center"/>
                </w:tcPr>
                <w:p w14:paraId="46EF8E94">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来源</w:t>
                  </w:r>
                </w:p>
              </w:tc>
            </w:tr>
            <w:tr w14:paraId="2EE6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529" w:type="pct"/>
                  <w:gridSpan w:val="2"/>
                  <w:vMerge w:val="continue"/>
                  <w:noWrap w:val="0"/>
                  <w:vAlign w:val="center"/>
                </w:tcPr>
                <w:p w14:paraId="3E72F3FE">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auto"/>
                      <w:sz w:val="21"/>
                      <w:szCs w:val="21"/>
                      <w:highlight w:val="none"/>
                    </w:rPr>
                  </w:pPr>
                </w:p>
              </w:tc>
              <w:tc>
                <w:tcPr>
                  <w:tcW w:w="758" w:type="pct"/>
                  <w:tcBorders>
                    <w:right w:val="single" w:color="auto" w:sz="4" w:space="0"/>
                  </w:tcBorders>
                  <w:noWrap w:val="0"/>
                  <w:vAlign w:val="center"/>
                </w:tcPr>
                <w:p w14:paraId="3AF46977">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清河镇</w:t>
                  </w:r>
                </w:p>
              </w:tc>
              <w:tc>
                <w:tcPr>
                  <w:tcW w:w="647" w:type="pct"/>
                  <w:tcBorders>
                    <w:left w:val="single" w:color="auto" w:sz="4" w:space="0"/>
                    <w:right w:val="single" w:color="auto" w:sz="4" w:space="0"/>
                  </w:tcBorders>
                  <w:noWrap w:val="0"/>
                  <w:vAlign w:val="center"/>
                </w:tcPr>
                <w:p w14:paraId="1DD8A00A">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杨家镇</w:t>
                  </w:r>
                </w:p>
              </w:tc>
              <w:tc>
                <w:tcPr>
                  <w:tcW w:w="706" w:type="pct"/>
                  <w:tcBorders>
                    <w:left w:val="single" w:color="auto" w:sz="4" w:space="0"/>
                  </w:tcBorders>
                  <w:noWrap w:val="0"/>
                  <w:vAlign w:val="center"/>
                </w:tcPr>
                <w:p w14:paraId="656D036F">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合计</w:t>
                  </w:r>
                </w:p>
              </w:tc>
              <w:tc>
                <w:tcPr>
                  <w:tcW w:w="1358" w:type="pct"/>
                  <w:noWrap w:val="0"/>
                  <w:vAlign w:val="center"/>
                </w:tcPr>
                <w:p w14:paraId="7E50351C">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b/>
                      <w:bCs/>
                      <w:color w:val="auto"/>
                      <w:sz w:val="21"/>
                      <w:szCs w:val="21"/>
                      <w:highlight w:val="none"/>
                    </w:rPr>
                  </w:pPr>
                </w:p>
              </w:tc>
            </w:tr>
            <w:tr w14:paraId="7503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36" w:type="pct"/>
                  <w:vMerge w:val="restart"/>
                  <w:noWrap w:val="0"/>
                  <w:vAlign w:val="center"/>
                </w:tcPr>
                <w:p w14:paraId="221CDA98">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主（辅）料</w:t>
                  </w:r>
                </w:p>
              </w:tc>
              <w:tc>
                <w:tcPr>
                  <w:tcW w:w="693" w:type="pct"/>
                  <w:noWrap w:val="0"/>
                  <w:vAlign w:val="center"/>
                </w:tcPr>
                <w:p w14:paraId="388CF33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块石</w:t>
                  </w:r>
                </w:p>
              </w:tc>
              <w:tc>
                <w:tcPr>
                  <w:tcW w:w="758" w:type="pct"/>
                  <w:tcBorders>
                    <w:right w:val="single" w:color="auto" w:sz="4" w:space="0"/>
                  </w:tcBorders>
                  <w:noWrap w:val="0"/>
                  <w:vAlign w:val="center"/>
                </w:tcPr>
                <w:p w14:paraId="3DE499C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12438.73m</w:t>
                  </w:r>
                  <w:r>
                    <w:rPr>
                      <w:rFonts w:hint="default" w:ascii="Times New Roman" w:hAnsi="Times New Roman" w:eastAsia="宋体" w:cs="Times New Roman"/>
                      <w:color w:val="auto"/>
                      <w:sz w:val="21"/>
                      <w:szCs w:val="21"/>
                      <w:highlight w:val="none"/>
                      <w:vertAlign w:val="superscript"/>
                      <w:lang w:val="en-US" w:eastAsia="zh-CN" w:bidi="ar"/>
                    </w:rPr>
                    <w:t>3</w:t>
                  </w:r>
                </w:p>
              </w:tc>
              <w:tc>
                <w:tcPr>
                  <w:tcW w:w="647" w:type="pct"/>
                  <w:tcBorders>
                    <w:left w:val="single" w:color="auto" w:sz="4" w:space="0"/>
                    <w:right w:val="single" w:color="auto" w:sz="4" w:space="0"/>
                  </w:tcBorders>
                  <w:noWrap w:val="0"/>
                  <w:vAlign w:val="center"/>
                </w:tcPr>
                <w:p w14:paraId="15DA203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11443.4m</w:t>
                  </w:r>
                  <w:r>
                    <w:rPr>
                      <w:rFonts w:hint="default" w:ascii="Times New Roman" w:hAnsi="Times New Roman" w:eastAsia="宋体" w:cs="Times New Roman"/>
                      <w:color w:val="auto"/>
                      <w:sz w:val="21"/>
                      <w:szCs w:val="21"/>
                      <w:highlight w:val="none"/>
                      <w:vertAlign w:val="superscript"/>
                      <w:lang w:val="en-US" w:eastAsia="zh-CN" w:bidi="ar"/>
                    </w:rPr>
                    <w:t>3</w:t>
                  </w:r>
                </w:p>
              </w:tc>
              <w:tc>
                <w:tcPr>
                  <w:tcW w:w="706" w:type="pct"/>
                  <w:tcBorders>
                    <w:left w:val="single" w:color="auto" w:sz="4" w:space="0"/>
                  </w:tcBorders>
                  <w:noWrap w:val="0"/>
                  <w:vAlign w:val="center"/>
                </w:tcPr>
                <w:p w14:paraId="4095C79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23882.13m</w:t>
                  </w:r>
                  <w:r>
                    <w:rPr>
                      <w:rFonts w:hint="default" w:ascii="Times New Roman" w:hAnsi="Times New Roman" w:eastAsia="宋体" w:cs="Times New Roman"/>
                      <w:color w:val="auto"/>
                      <w:sz w:val="21"/>
                      <w:szCs w:val="21"/>
                      <w:highlight w:val="none"/>
                      <w:vertAlign w:val="superscript"/>
                      <w:lang w:val="en-US" w:eastAsia="zh-CN" w:bidi="ar"/>
                    </w:rPr>
                    <w:t>3</w:t>
                  </w:r>
                </w:p>
              </w:tc>
              <w:tc>
                <w:tcPr>
                  <w:tcW w:w="1358" w:type="pct"/>
                  <w:noWrap w:val="0"/>
                  <w:vAlign w:val="center"/>
                </w:tcPr>
                <w:p w14:paraId="073D83F4">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r>
            <w:tr w14:paraId="3549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36" w:type="pct"/>
                  <w:vMerge w:val="continue"/>
                  <w:noWrap w:val="0"/>
                  <w:vAlign w:val="center"/>
                </w:tcPr>
                <w:p w14:paraId="489F7371">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93" w:type="pct"/>
                  <w:noWrap w:val="0"/>
                  <w:vAlign w:val="center"/>
                </w:tcPr>
                <w:p w14:paraId="01CEB48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碎石</w:t>
                  </w:r>
                </w:p>
              </w:tc>
              <w:tc>
                <w:tcPr>
                  <w:tcW w:w="758" w:type="pct"/>
                  <w:tcBorders>
                    <w:right w:val="single" w:color="auto" w:sz="4" w:space="0"/>
                  </w:tcBorders>
                  <w:noWrap w:val="0"/>
                  <w:vAlign w:val="center"/>
                </w:tcPr>
                <w:p w14:paraId="7561718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965.01m</w:t>
                  </w:r>
                  <w:r>
                    <w:rPr>
                      <w:rFonts w:hint="default" w:ascii="Times New Roman" w:hAnsi="Times New Roman" w:eastAsia="宋体" w:cs="Times New Roman"/>
                      <w:color w:val="auto"/>
                      <w:sz w:val="21"/>
                      <w:szCs w:val="21"/>
                      <w:highlight w:val="none"/>
                      <w:vertAlign w:val="superscript"/>
                      <w:lang w:val="en-US" w:eastAsia="zh-CN" w:bidi="ar"/>
                    </w:rPr>
                    <w:t>3</w:t>
                  </w:r>
                </w:p>
              </w:tc>
              <w:tc>
                <w:tcPr>
                  <w:tcW w:w="647" w:type="pct"/>
                  <w:tcBorders>
                    <w:left w:val="single" w:color="auto" w:sz="4" w:space="0"/>
                    <w:right w:val="single" w:color="auto" w:sz="4" w:space="0"/>
                  </w:tcBorders>
                  <w:noWrap w:val="0"/>
                  <w:vAlign w:val="center"/>
                </w:tcPr>
                <w:p w14:paraId="57E5D2A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1002.8m</w:t>
                  </w:r>
                  <w:r>
                    <w:rPr>
                      <w:rFonts w:hint="default" w:ascii="Times New Roman" w:hAnsi="Times New Roman" w:eastAsia="宋体" w:cs="Times New Roman"/>
                      <w:color w:val="auto"/>
                      <w:sz w:val="21"/>
                      <w:szCs w:val="21"/>
                      <w:highlight w:val="none"/>
                      <w:vertAlign w:val="superscript"/>
                      <w:lang w:val="en-US" w:eastAsia="zh-CN" w:bidi="ar"/>
                    </w:rPr>
                    <w:t>3</w:t>
                  </w:r>
                </w:p>
              </w:tc>
              <w:tc>
                <w:tcPr>
                  <w:tcW w:w="706" w:type="pct"/>
                  <w:tcBorders>
                    <w:left w:val="single" w:color="auto" w:sz="4" w:space="0"/>
                  </w:tcBorders>
                  <w:noWrap w:val="0"/>
                  <w:vAlign w:val="center"/>
                </w:tcPr>
                <w:p w14:paraId="32B77F4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1967.81m</w:t>
                  </w:r>
                  <w:r>
                    <w:rPr>
                      <w:rFonts w:hint="default" w:ascii="Times New Roman" w:hAnsi="Times New Roman" w:eastAsia="宋体" w:cs="Times New Roman"/>
                      <w:color w:val="auto"/>
                      <w:sz w:val="21"/>
                      <w:szCs w:val="21"/>
                      <w:highlight w:val="none"/>
                      <w:vertAlign w:val="superscript"/>
                      <w:lang w:val="en-US" w:eastAsia="zh-CN" w:bidi="ar"/>
                    </w:rPr>
                    <w:t>3</w:t>
                  </w:r>
                </w:p>
              </w:tc>
              <w:tc>
                <w:tcPr>
                  <w:tcW w:w="1358" w:type="pct"/>
                  <w:noWrap w:val="0"/>
                  <w:vAlign w:val="center"/>
                </w:tcPr>
                <w:p w14:paraId="60164A79">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r>
            <w:tr w14:paraId="46ED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36" w:type="pct"/>
                  <w:vMerge w:val="continue"/>
                  <w:noWrap w:val="0"/>
                  <w:vAlign w:val="center"/>
                </w:tcPr>
                <w:p w14:paraId="7845022D">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93" w:type="pct"/>
                  <w:noWrap w:val="0"/>
                  <w:vAlign w:val="center"/>
                </w:tcPr>
                <w:p w14:paraId="769BE31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eastAsia="zh-CN" w:bidi="ar"/>
                    </w:rPr>
                  </w:pPr>
                  <w:r>
                    <w:rPr>
                      <w:rFonts w:hint="default" w:ascii="Times New Roman" w:hAnsi="Times New Roman" w:eastAsia="宋体" w:cs="Times New Roman"/>
                      <w:color w:val="auto"/>
                      <w:sz w:val="21"/>
                      <w:szCs w:val="21"/>
                      <w:highlight w:val="none"/>
                      <w:lang w:val="en-US" w:eastAsia="zh-CN" w:bidi="ar"/>
                    </w:rPr>
                    <w:t>砂</w:t>
                  </w:r>
                </w:p>
              </w:tc>
              <w:tc>
                <w:tcPr>
                  <w:tcW w:w="758" w:type="pct"/>
                  <w:tcBorders>
                    <w:right w:val="single" w:color="auto" w:sz="4" w:space="0"/>
                  </w:tcBorders>
                  <w:noWrap w:val="0"/>
                  <w:vAlign w:val="center"/>
                </w:tcPr>
                <w:p w14:paraId="5AA8FC4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28.21m</w:t>
                  </w:r>
                  <w:r>
                    <w:rPr>
                      <w:rFonts w:hint="default" w:ascii="Times New Roman" w:hAnsi="Times New Roman" w:eastAsia="宋体" w:cs="Times New Roman"/>
                      <w:color w:val="auto"/>
                      <w:sz w:val="21"/>
                      <w:szCs w:val="21"/>
                      <w:highlight w:val="none"/>
                      <w:vertAlign w:val="superscript"/>
                      <w:lang w:val="en-US" w:eastAsia="zh-CN" w:bidi="ar"/>
                    </w:rPr>
                    <w:t>3</w:t>
                  </w:r>
                </w:p>
              </w:tc>
              <w:tc>
                <w:tcPr>
                  <w:tcW w:w="647" w:type="pct"/>
                  <w:tcBorders>
                    <w:left w:val="single" w:color="auto" w:sz="4" w:space="0"/>
                    <w:right w:val="single" w:color="auto" w:sz="4" w:space="0"/>
                  </w:tcBorders>
                  <w:noWrap w:val="0"/>
                  <w:vAlign w:val="center"/>
                </w:tcPr>
                <w:p w14:paraId="5ACE78B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503.4m</w:t>
                  </w:r>
                  <w:r>
                    <w:rPr>
                      <w:rFonts w:hint="default" w:ascii="Times New Roman" w:hAnsi="Times New Roman" w:eastAsia="宋体" w:cs="Times New Roman"/>
                      <w:color w:val="auto"/>
                      <w:sz w:val="21"/>
                      <w:szCs w:val="21"/>
                      <w:highlight w:val="none"/>
                      <w:vertAlign w:val="superscript"/>
                      <w:lang w:val="en-US" w:eastAsia="zh-CN" w:bidi="ar"/>
                    </w:rPr>
                    <w:t>3</w:t>
                  </w:r>
                </w:p>
              </w:tc>
              <w:tc>
                <w:tcPr>
                  <w:tcW w:w="706" w:type="pct"/>
                  <w:tcBorders>
                    <w:left w:val="single" w:color="auto" w:sz="4" w:space="0"/>
                  </w:tcBorders>
                  <w:noWrap w:val="0"/>
                  <w:vAlign w:val="center"/>
                </w:tcPr>
                <w:p w14:paraId="57C9808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531.61m</w:t>
                  </w:r>
                  <w:r>
                    <w:rPr>
                      <w:rFonts w:hint="default" w:ascii="Times New Roman" w:hAnsi="Times New Roman" w:eastAsia="宋体" w:cs="Times New Roman"/>
                      <w:color w:val="auto"/>
                      <w:sz w:val="21"/>
                      <w:szCs w:val="21"/>
                      <w:highlight w:val="none"/>
                      <w:vertAlign w:val="superscript"/>
                      <w:lang w:val="en-US" w:eastAsia="zh-CN" w:bidi="ar"/>
                    </w:rPr>
                    <w:t>3</w:t>
                  </w:r>
                </w:p>
              </w:tc>
              <w:tc>
                <w:tcPr>
                  <w:tcW w:w="1358" w:type="pct"/>
                  <w:noWrap w:val="0"/>
                  <w:vAlign w:val="center"/>
                </w:tcPr>
                <w:p w14:paraId="3D86DB5D">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r>
            <w:tr w14:paraId="4154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36" w:type="pct"/>
                  <w:vMerge w:val="continue"/>
                  <w:noWrap w:val="0"/>
                  <w:vAlign w:val="center"/>
                </w:tcPr>
                <w:p w14:paraId="5B2B5220">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93" w:type="pct"/>
                  <w:noWrap w:val="0"/>
                  <w:vAlign w:val="center"/>
                </w:tcPr>
                <w:p w14:paraId="0FB3544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钢筋</w:t>
                  </w:r>
                </w:p>
              </w:tc>
              <w:tc>
                <w:tcPr>
                  <w:tcW w:w="758" w:type="pct"/>
                  <w:tcBorders>
                    <w:right w:val="single" w:color="auto" w:sz="4" w:space="0"/>
                  </w:tcBorders>
                  <w:noWrap w:val="0"/>
                  <w:vAlign w:val="center"/>
                </w:tcPr>
                <w:p w14:paraId="413ACA5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5.87t</w:t>
                  </w:r>
                </w:p>
              </w:tc>
              <w:tc>
                <w:tcPr>
                  <w:tcW w:w="647" w:type="pct"/>
                  <w:tcBorders>
                    <w:left w:val="single" w:color="auto" w:sz="4" w:space="0"/>
                    <w:right w:val="single" w:color="auto" w:sz="4" w:space="0"/>
                  </w:tcBorders>
                  <w:noWrap w:val="0"/>
                  <w:vAlign w:val="center"/>
                </w:tcPr>
                <w:p w14:paraId="5E5C035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22.4t</w:t>
                  </w:r>
                </w:p>
              </w:tc>
              <w:tc>
                <w:tcPr>
                  <w:tcW w:w="706" w:type="pct"/>
                  <w:tcBorders>
                    <w:left w:val="single" w:color="auto" w:sz="4" w:space="0"/>
                  </w:tcBorders>
                  <w:noWrap w:val="0"/>
                  <w:vAlign w:val="center"/>
                </w:tcPr>
                <w:p w14:paraId="1A372C1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28.27t</w:t>
                  </w:r>
                </w:p>
              </w:tc>
              <w:tc>
                <w:tcPr>
                  <w:tcW w:w="1358" w:type="pct"/>
                  <w:noWrap w:val="0"/>
                  <w:vAlign w:val="center"/>
                </w:tcPr>
                <w:p w14:paraId="6223D202">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r>
            <w:tr w14:paraId="24DD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36" w:type="pct"/>
                  <w:vMerge w:val="continue"/>
                  <w:noWrap w:val="0"/>
                  <w:vAlign w:val="center"/>
                </w:tcPr>
                <w:p w14:paraId="526102F2">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93" w:type="pct"/>
                  <w:noWrap w:val="0"/>
                  <w:vAlign w:val="center"/>
                </w:tcPr>
                <w:p w14:paraId="4A51885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水泥</w:t>
                  </w:r>
                </w:p>
              </w:tc>
              <w:tc>
                <w:tcPr>
                  <w:tcW w:w="758" w:type="pct"/>
                  <w:tcBorders>
                    <w:right w:val="single" w:color="auto" w:sz="4" w:space="0"/>
                  </w:tcBorders>
                  <w:noWrap w:val="0"/>
                  <w:vAlign w:val="center"/>
                </w:tcPr>
                <w:p w14:paraId="17CA423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7.24t</w:t>
                  </w:r>
                </w:p>
              </w:tc>
              <w:tc>
                <w:tcPr>
                  <w:tcW w:w="647" w:type="pct"/>
                  <w:tcBorders>
                    <w:left w:val="single" w:color="auto" w:sz="4" w:space="0"/>
                    <w:right w:val="single" w:color="auto" w:sz="4" w:space="0"/>
                  </w:tcBorders>
                  <w:noWrap w:val="0"/>
                  <w:vAlign w:val="center"/>
                </w:tcPr>
                <w:p w14:paraId="15C744C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138.0t</w:t>
                  </w:r>
                </w:p>
              </w:tc>
              <w:tc>
                <w:tcPr>
                  <w:tcW w:w="706" w:type="pct"/>
                  <w:tcBorders>
                    <w:left w:val="single" w:color="auto" w:sz="4" w:space="0"/>
                  </w:tcBorders>
                  <w:noWrap w:val="0"/>
                  <w:vAlign w:val="center"/>
                </w:tcPr>
                <w:p w14:paraId="322CF76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145.24t</w:t>
                  </w:r>
                </w:p>
              </w:tc>
              <w:tc>
                <w:tcPr>
                  <w:tcW w:w="1358" w:type="pct"/>
                  <w:noWrap w:val="0"/>
                  <w:vAlign w:val="center"/>
                </w:tcPr>
                <w:p w14:paraId="105009A1">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r>
            <w:tr w14:paraId="7ECC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36" w:type="pct"/>
                  <w:vMerge w:val="continue"/>
                  <w:noWrap w:val="0"/>
                  <w:vAlign w:val="center"/>
                </w:tcPr>
                <w:p w14:paraId="4FBD2E50">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93" w:type="pct"/>
                  <w:noWrap w:val="0"/>
                  <w:vAlign w:val="center"/>
                </w:tcPr>
                <w:p w14:paraId="10EF122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木材</w:t>
                  </w:r>
                </w:p>
              </w:tc>
              <w:tc>
                <w:tcPr>
                  <w:tcW w:w="758" w:type="pct"/>
                  <w:tcBorders>
                    <w:right w:val="single" w:color="auto" w:sz="4" w:space="0"/>
                  </w:tcBorders>
                  <w:noWrap w:val="0"/>
                  <w:vAlign w:val="center"/>
                </w:tcPr>
                <w:p w14:paraId="7709576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4.32m</w:t>
                  </w:r>
                  <w:r>
                    <w:rPr>
                      <w:rFonts w:hint="default" w:ascii="Times New Roman" w:hAnsi="Times New Roman" w:eastAsia="宋体" w:cs="Times New Roman"/>
                      <w:color w:val="auto"/>
                      <w:sz w:val="21"/>
                      <w:szCs w:val="21"/>
                      <w:highlight w:val="none"/>
                      <w:vertAlign w:val="superscript"/>
                      <w:lang w:val="en-US" w:eastAsia="zh-CN" w:bidi="ar"/>
                    </w:rPr>
                    <w:t>3</w:t>
                  </w:r>
                </w:p>
              </w:tc>
              <w:tc>
                <w:tcPr>
                  <w:tcW w:w="647" w:type="pct"/>
                  <w:tcBorders>
                    <w:left w:val="single" w:color="auto" w:sz="4" w:space="0"/>
                    <w:right w:val="single" w:color="auto" w:sz="4" w:space="0"/>
                  </w:tcBorders>
                  <w:noWrap w:val="0"/>
                  <w:vAlign w:val="center"/>
                </w:tcPr>
                <w:p w14:paraId="346A1E7F">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1.4m</w:t>
                  </w:r>
                  <w:r>
                    <w:rPr>
                      <w:rFonts w:hint="default" w:ascii="Times New Roman" w:hAnsi="Times New Roman" w:eastAsia="宋体" w:cs="Times New Roman"/>
                      <w:color w:val="auto"/>
                      <w:sz w:val="21"/>
                      <w:szCs w:val="21"/>
                      <w:highlight w:val="none"/>
                      <w:vertAlign w:val="superscript"/>
                      <w:lang w:val="en-US" w:eastAsia="zh-CN" w:bidi="ar"/>
                    </w:rPr>
                    <w:t>3</w:t>
                  </w:r>
                </w:p>
              </w:tc>
              <w:tc>
                <w:tcPr>
                  <w:tcW w:w="706" w:type="pct"/>
                  <w:tcBorders>
                    <w:left w:val="single" w:color="auto" w:sz="4" w:space="0"/>
                  </w:tcBorders>
                  <w:noWrap w:val="0"/>
                  <w:vAlign w:val="center"/>
                </w:tcPr>
                <w:p w14:paraId="67E533A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5.72m</w:t>
                  </w:r>
                  <w:r>
                    <w:rPr>
                      <w:rFonts w:hint="default" w:ascii="Times New Roman" w:hAnsi="Times New Roman" w:eastAsia="宋体" w:cs="Times New Roman"/>
                      <w:color w:val="auto"/>
                      <w:sz w:val="21"/>
                      <w:szCs w:val="21"/>
                      <w:highlight w:val="none"/>
                      <w:vertAlign w:val="superscript"/>
                      <w:lang w:val="en-US" w:eastAsia="zh-CN" w:bidi="ar"/>
                    </w:rPr>
                    <w:t>3</w:t>
                  </w:r>
                </w:p>
              </w:tc>
              <w:tc>
                <w:tcPr>
                  <w:tcW w:w="1358" w:type="pct"/>
                  <w:noWrap w:val="0"/>
                  <w:vAlign w:val="center"/>
                </w:tcPr>
                <w:p w14:paraId="3904639C">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r>
            <w:tr w14:paraId="235D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836" w:type="pct"/>
                  <w:vMerge w:val="continue"/>
                  <w:noWrap w:val="0"/>
                  <w:vAlign w:val="center"/>
                </w:tcPr>
                <w:p w14:paraId="751C5029">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93" w:type="pct"/>
                  <w:noWrap w:val="0"/>
                  <w:vAlign w:val="center"/>
                </w:tcPr>
                <w:p w14:paraId="32AC35FF">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仿木栏杆</w:t>
                  </w:r>
                </w:p>
              </w:tc>
              <w:tc>
                <w:tcPr>
                  <w:tcW w:w="758" w:type="pct"/>
                  <w:tcBorders>
                    <w:right w:val="single" w:color="auto" w:sz="4" w:space="0"/>
                  </w:tcBorders>
                  <w:noWrap w:val="0"/>
                  <w:vAlign w:val="center"/>
                </w:tcPr>
                <w:p w14:paraId="6D9652F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3689.7m</w:t>
                  </w:r>
                </w:p>
              </w:tc>
              <w:tc>
                <w:tcPr>
                  <w:tcW w:w="647" w:type="pct"/>
                  <w:tcBorders>
                    <w:left w:val="single" w:color="auto" w:sz="4" w:space="0"/>
                    <w:right w:val="single" w:color="auto" w:sz="4" w:space="0"/>
                  </w:tcBorders>
                  <w:noWrap w:val="0"/>
                  <w:vAlign w:val="center"/>
                </w:tcPr>
                <w:p w14:paraId="06E41025">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864m</w:t>
                  </w:r>
                </w:p>
              </w:tc>
              <w:tc>
                <w:tcPr>
                  <w:tcW w:w="706" w:type="pct"/>
                  <w:tcBorders>
                    <w:left w:val="single" w:color="auto" w:sz="4" w:space="0"/>
                  </w:tcBorders>
                  <w:noWrap w:val="0"/>
                  <w:vAlign w:val="center"/>
                </w:tcPr>
                <w:p w14:paraId="4C4270D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4553.7m</w:t>
                  </w:r>
                </w:p>
              </w:tc>
              <w:tc>
                <w:tcPr>
                  <w:tcW w:w="1358" w:type="pct"/>
                  <w:noWrap w:val="0"/>
                  <w:vAlign w:val="center"/>
                </w:tcPr>
                <w:p w14:paraId="58713738">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r>
            <w:tr w14:paraId="3000D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36" w:type="pct"/>
                  <w:vMerge w:val="continue"/>
                  <w:noWrap w:val="0"/>
                  <w:vAlign w:val="center"/>
                </w:tcPr>
                <w:p w14:paraId="6EF66027">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93" w:type="pct"/>
                  <w:noWrap w:val="0"/>
                  <w:vAlign w:val="center"/>
                </w:tcPr>
                <w:p w14:paraId="4333FF2E">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排水管</w:t>
                  </w:r>
                </w:p>
              </w:tc>
              <w:tc>
                <w:tcPr>
                  <w:tcW w:w="758" w:type="pct"/>
                  <w:tcBorders>
                    <w:right w:val="single" w:color="auto" w:sz="4" w:space="0"/>
                  </w:tcBorders>
                  <w:noWrap w:val="0"/>
                  <w:vAlign w:val="center"/>
                </w:tcPr>
                <w:p w14:paraId="3A8D70D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148.81m</w:t>
                  </w:r>
                </w:p>
              </w:tc>
              <w:tc>
                <w:tcPr>
                  <w:tcW w:w="647" w:type="pct"/>
                  <w:tcBorders>
                    <w:left w:val="single" w:color="auto" w:sz="4" w:space="0"/>
                    <w:right w:val="single" w:color="auto" w:sz="4" w:space="0"/>
                  </w:tcBorders>
                  <w:noWrap w:val="0"/>
                  <w:vAlign w:val="center"/>
                </w:tcPr>
                <w:p w14:paraId="0A0F838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w:t>
                  </w:r>
                </w:p>
              </w:tc>
              <w:tc>
                <w:tcPr>
                  <w:tcW w:w="706" w:type="pct"/>
                  <w:tcBorders>
                    <w:left w:val="single" w:color="auto" w:sz="4" w:space="0"/>
                  </w:tcBorders>
                  <w:noWrap w:val="0"/>
                  <w:vAlign w:val="center"/>
                </w:tcPr>
                <w:p w14:paraId="023780A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148.81m</w:t>
                  </w:r>
                </w:p>
              </w:tc>
              <w:tc>
                <w:tcPr>
                  <w:tcW w:w="1358" w:type="pct"/>
                  <w:noWrap w:val="0"/>
                  <w:vAlign w:val="center"/>
                </w:tcPr>
                <w:p w14:paraId="00286197">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r>
            <w:tr w14:paraId="306C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36" w:type="pct"/>
                  <w:vMerge w:val="continue"/>
                  <w:noWrap w:val="0"/>
                  <w:vAlign w:val="center"/>
                </w:tcPr>
                <w:p w14:paraId="3E9925B3">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93" w:type="pct"/>
                  <w:noWrap w:val="0"/>
                  <w:vAlign w:val="center"/>
                </w:tcPr>
                <w:p w14:paraId="70111F7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商品混凝土 C15 </w:t>
                  </w:r>
                </w:p>
              </w:tc>
              <w:tc>
                <w:tcPr>
                  <w:tcW w:w="758" w:type="pct"/>
                  <w:tcBorders>
                    <w:right w:val="single" w:color="auto" w:sz="4" w:space="0"/>
                  </w:tcBorders>
                  <w:noWrap w:val="0"/>
                  <w:vAlign w:val="center"/>
                </w:tcPr>
                <w:p w14:paraId="76C37EF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748.8m</w:t>
                  </w:r>
                  <w:r>
                    <w:rPr>
                      <w:rFonts w:hint="default" w:ascii="Times New Roman" w:hAnsi="Times New Roman" w:eastAsia="宋体" w:cs="Times New Roman"/>
                      <w:color w:val="auto"/>
                      <w:sz w:val="21"/>
                      <w:szCs w:val="21"/>
                      <w:highlight w:val="none"/>
                      <w:vertAlign w:val="superscript"/>
                      <w:lang w:val="en-US" w:eastAsia="zh-CN" w:bidi="ar"/>
                    </w:rPr>
                    <w:t>3</w:t>
                  </w:r>
                </w:p>
              </w:tc>
              <w:tc>
                <w:tcPr>
                  <w:tcW w:w="647" w:type="pct"/>
                  <w:tcBorders>
                    <w:left w:val="single" w:color="auto" w:sz="4" w:space="0"/>
                    <w:right w:val="single" w:color="auto" w:sz="4" w:space="0"/>
                  </w:tcBorders>
                  <w:noWrap w:val="0"/>
                  <w:vAlign w:val="center"/>
                </w:tcPr>
                <w:p w14:paraId="47BE6F0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p>
              </w:tc>
              <w:tc>
                <w:tcPr>
                  <w:tcW w:w="706" w:type="pct"/>
                  <w:tcBorders>
                    <w:left w:val="single" w:color="auto" w:sz="4" w:space="0"/>
                  </w:tcBorders>
                  <w:noWrap w:val="0"/>
                  <w:vAlign w:val="center"/>
                </w:tcPr>
                <w:p w14:paraId="4BFF524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748.8m</w:t>
                  </w:r>
                  <w:r>
                    <w:rPr>
                      <w:rFonts w:hint="default" w:ascii="Times New Roman" w:hAnsi="Times New Roman" w:eastAsia="宋体" w:cs="Times New Roman"/>
                      <w:color w:val="auto"/>
                      <w:sz w:val="21"/>
                      <w:szCs w:val="21"/>
                      <w:highlight w:val="none"/>
                      <w:vertAlign w:val="superscript"/>
                      <w:lang w:val="en-US" w:eastAsia="zh-CN" w:bidi="ar"/>
                    </w:rPr>
                    <w:t>3</w:t>
                  </w:r>
                </w:p>
              </w:tc>
              <w:tc>
                <w:tcPr>
                  <w:tcW w:w="1358" w:type="pct"/>
                  <w:noWrap w:val="0"/>
                  <w:vAlign w:val="center"/>
                </w:tcPr>
                <w:p w14:paraId="43BAB38D">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r>
            <w:tr w14:paraId="46CFB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36" w:type="pct"/>
                  <w:vMerge w:val="continue"/>
                  <w:noWrap w:val="0"/>
                  <w:vAlign w:val="center"/>
                </w:tcPr>
                <w:p w14:paraId="1F5B9EFE">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93" w:type="pct"/>
                  <w:noWrap w:val="0"/>
                  <w:vAlign w:val="center"/>
                </w:tcPr>
                <w:p w14:paraId="1DE927E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商品混凝土 C20 </w:t>
                  </w:r>
                </w:p>
              </w:tc>
              <w:tc>
                <w:tcPr>
                  <w:tcW w:w="758" w:type="pct"/>
                  <w:tcBorders>
                    <w:right w:val="single" w:color="auto" w:sz="4" w:space="0"/>
                  </w:tcBorders>
                  <w:noWrap w:val="0"/>
                  <w:vAlign w:val="center"/>
                </w:tcPr>
                <w:p w14:paraId="3A20F7C8">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8263.11m</w:t>
                  </w:r>
                  <w:r>
                    <w:rPr>
                      <w:rFonts w:hint="default" w:ascii="Times New Roman" w:hAnsi="Times New Roman" w:eastAsia="宋体" w:cs="Times New Roman"/>
                      <w:color w:val="auto"/>
                      <w:sz w:val="21"/>
                      <w:szCs w:val="21"/>
                      <w:highlight w:val="none"/>
                      <w:vertAlign w:val="superscript"/>
                      <w:lang w:val="en-US" w:eastAsia="zh-CN" w:bidi="ar"/>
                    </w:rPr>
                    <w:t>3</w:t>
                  </w:r>
                </w:p>
              </w:tc>
              <w:tc>
                <w:tcPr>
                  <w:tcW w:w="647" w:type="pct"/>
                  <w:tcBorders>
                    <w:left w:val="single" w:color="auto" w:sz="4" w:space="0"/>
                    <w:right w:val="single" w:color="auto" w:sz="4" w:space="0"/>
                  </w:tcBorders>
                  <w:noWrap w:val="0"/>
                  <w:vAlign w:val="center"/>
                </w:tcPr>
                <w:p w14:paraId="5F3F216B">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11869.8m</w:t>
                  </w:r>
                  <w:r>
                    <w:rPr>
                      <w:rFonts w:hint="default" w:ascii="Times New Roman" w:hAnsi="Times New Roman" w:eastAsia="宋体" w:cs="Times New Roman"/>
                      <w:color w:val="auto"/>
                      <w:sz w:val="21"/>
                      <w:szCs w:val="21"/>
                      <w:highlight w:val="none"/>
                      <w:vertAlign w:val="superscript"/>
                      <w:lang w:val="en-US" w:eastAsia="zh-CN" w:bidi="ar"/>
                    </w:rPr>
                    <w:t>3</w:t>
                  </w:r>
                </w:p>
              </w:tc>
              <w:tc>
                <w:tcPr>
                  <w:tcW w:w="706" w:type="pct"/>
                  <w:tcBorders>
                    <w:left w:val="single" w:color="auto" w:sz="4" w:space="0"/>
                  </w:tcBorders>
                  <w:noWrap w:val="0"/>
                  <w:vAlign w:val="center"/>
                </w:tcPr>
                <w:p w14:paraId="306D971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20132.91m</w:t>
                  </w:r>
                  <w:r>
                    <w:rPr>
                      <w:rFonts w:hint="default" w:ascii="Times New Roman" w:hAnsi="Times New Roman" w:eastAsia="宋体" w:cs="Times New Roman"/>
                      <w:color w:val="auto"/>
                      <w:sz w:val="21"/>
                      <w:szCs w:val="21"/>
                      <w:highlight w:val="none"/>
                      <w:vertAlign w:val="superscript"/>
                      <w:lang w:val="en-US" w:eastAsia="zh-CN" w:bidi="ar"/>
                    </w:rPr>
                    <w:t>3</w:t>
                  </w:r>
                </w:p>
              </w:tc>
              <w:tc>
                <w:tcPr>
                  <w:tcW w:w="1358" w:type="pct"/>
                  <w:noWrap w:val="0"/>
                  <w:vAlign w:val="center"/>
                </w:tcPr>
                <w:p w14:paraId="1436A83D">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外购</w:t>
                  </w:r>
                </w:p>
              </w:tc>
            </w:tr>
            <w:tr w14:paraId="0019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36" w:type="pct"/>
                  <w:vMerge w:val="continue"/>
                  <w:noWrap w:val="0"/>
                  <w:vAlign w:val="center"/>
                </w:tcPr>
                <w:p w14:paraId="5A0BA984">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93" w:type="pct"/>
                  <w:noWrap w:val="0"/>
                  <w:vAlign w:val="center"/>
                </w:tcPr>
                <w:p w14:paraId="2AA9B97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商品混凝土 C25 </w:t>
                  </w:r>
                </w:p>
              </w:tc>
              <w:tc>
                <w:tcPr>
                  <w:tcW w:w="758" w:type="pct"/>
                  <w:tcBorders>
                    <w:right w:val="single" w:color="auto" w:sz="4" w:space="0"/>
                  </w:tcBorders>
                  <w:noWrap w:val="0"/>
                  <w:vAlign w:val="center"/>
                </w:tcPr>
                <w:p w14:paraId="01884DB4">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w:t>
                  </w:r>
                </w:p>
              </w:tc>
              <w:tc>
                <w:tcPr>
                  <w:tcW w:w="647" w:type="pct"/>
                  <w:tcBorders>
                    <w:left w:val="single" w:color="auto" w:sz="4" w:space="0"/>
                    <w:right w:val="single" w:color="auto" w:sz="4" w:space="0"/>
                  </w:tcBorders>
                  <w:noWrap w:val="0"/>
                  <w:vAlign w:val="center"/>
                </w:tcPr>
                <w:p w14:paraId="2DFF588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234.5m</w:t>
                  </w:r>
                  <w:r>
                    <w:rPr>
                      <w:rFonts w:hint="default" w:ascii="Times New Roman" w:hAnsi="Times New Roman" w:eastAsia="宋体" w:cs="Times New Roman"/>
                      <w:color w:val="auto"/>
                      <w:sz w:val="21"/>
                      <w:szCs w:val="21"/>
                      <w:highlight w:val="none"/>
                      <w:vertAlign w:val="superscript"/>
                      <w:lang w:val="en-US" w:eastAsia="zh-CN" w:bidi="ar"/>
                    </w:rPr>
                    <w:t>3</w:t>
                  </w:r>
                </w:p>
              </w:tc>
              <w:tc>
                <w:tcPr>
                  <w:tcW w:w="706" w:type="pct"/>
                  <w:tcBorders>
                    <w:left w:val="single" w:color="auto" w:sz="4" w:space="0"/>
                  </w:tcBorders>
                  <w:noWrap w:val="0"/>
                  <w:vAlign w:val="center"/>
                </w:tcPr>
                <w:p w14:paraId="62194C3D">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234.5m</w:t>
                  </w:r>
                  <w:r>
                    <w:rPr>
                      <w:rFonts w:hint="default" w:ascii="Times New Roman" w:hAnsi="Times New Roman" w:eastAsia="宋体" w:cs="Times New Roman"/>
                      <w:color w:val="auto"/>
                      <w:sz w:val="21"/>
                      <w:szCs w:val="21"/>
                      <w:highlight w:val="none"/>
                      <w:vertAlign w:val="superscript"/>
                      <w:lang w:val="en-US" w:eastAsia="zh-CN" w:bidi="ar"/>
                    </w:rPr>
                    <w:t>3</w:t>
                  </w:r>
                </w:p>
              </w:tc>
              <w:tc>
                <w:tcPr>
                  <w:tcW w:w="1358" w:type="pct"/>
                  <w:noWrap w:val="0"/>
                  <w:vAlign w:val="center"/>
                </w:tcPr>
                <w:p w14:paraId="27CC1795">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r>
            <w:tr w14:paraId="0CA8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36" w:type="pct"/>
                  <w:vMerge w:val="continue"/>
                  <w:noWrap w:val="0"/>
                  <w:vAlign w:val="center"/>
                </w:tcPr>
                <w:p w14:paraId="3F75F398">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93" w:type="pct"/>
                  <w:noWrap w:val="0"/>
                  <w:vAlign w:val="center"/>
                </w:tcPr>
                <w:p w14:paraId="2E6AEE9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商品混凝土 C30 </w:t>
                  </w:r>
                </w:p>
              </w:tc>
              <w:tc>
                <w:tcPr>
                  <w:tcW w:w="758" w:type="pct"/>
                  <w:tcBorders>
                    <w:right w:val="single" w:color="auto" w:sz="4" w:space="0"/>
                  </w:tcBorders>
                  <w:noWrap w:val="0"/>
                  <w:vAlign w:val="center"/>
                </w:tcPr>
                <w:p w14:paraId="26E6E80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5.84m</w:t>
                  </w:r>
                  <w:r>
                    <w:rPr>
                      <w:rFonts w:hint="default" w:ascii="Times New Roman" w:hAnsi="Times New Roman" w:eastAsia="宋体" w:cs="Times New Roman"/>
                      <w:color w:val="auto"/>
                      <w:sz w:val="21"/>
                      <w:szCs w:val="21"/>
                      <w:highlight w:val="none"/>
                      <w:vertAlign w:val="superscript"/>
                      <w:lang w:val="en-US" w:eastAsia="zh-CN" w:bidi="ar"/>
                    </w:rPr>
                    <w:t>3</w:t>
                  </w:r>
                </w:p>
              </w:tc>
              <w:tc>
                <w:tcPr>
                  <w:tcW w:w="647" w:type="pct"/>
                  <w:tcBorders>
                    <w:left w:val="single" w:color="auto" w:sz="4" w:space="0"/>
                    <w:right w:val="single" w:color="auto" w:sz="4" w:space="0"/>
                  </w:tcBorders>
                  <w:noWrap w:val="0"/>
                  <w:vAlign w:val="center"/>
                </w:tcPr>
                <w:p w14:paraId="788E291E">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w:t>
                  </w:r>
                </w:p>
              </w:tc>
              <w:tc>
                <w:tcPr>
                  <w:tcW w:w="706" w:type="pct"/>
                  <w:tcBorders>
                    <w:left w:val="single" w:color="auto" w:sz="4" w:space="0"/>
                  </w:tcBorders>
                  <w:noWrap w:val="0"/>
                  <w:vAlign w:val="center"/>
                </w:tcPr>
                <w:p w14:paraId="57B8D95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5.84m</w:t>
                  </w:r>
                  <w:r>
                    <w:rPr>
                      <w:rFonts w:hint="default" w:ascii="Times New Roman" w:hAnsi="Times New Roman" w:eastAsia="宋体" w:cs="Times New Roman"/>
                      <w:color w:val="auto"/>
                      <w:sz w:val="21"/>
                      <w:szCs w:val="21"/>
                      <w:highlight w:val="none"/>
                      <w:vertAlign w:val="superscript"/>
                      <w:lang w:val="en-US" w:eastAsia="zh-CN" w:bidi="ar"/>
                    </w:rPr>
                    <w:t>3</w:t>
                  </w:r>
                </w:p>
              </w:tc>
              <w:tc>
                <w:tcPr>
                  <w:tcW w:w="1358" w:type="pct"/>
                  <w:noWrap w:val="0"/>
                  <w:vAlign w:val="center"/>
                </w:tcPr>
                <w:p w14:paraId="1FF8CDFE">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r>
            <w:tr w14:paraId="64ED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36" w:type="pct"/>
                  <w:vMerge w:val="continue"/>
                  <w:noWrap w:val="0"/>
                  <w:vAlign w:val="center"/>
                </w:tcPr>
                <w:p w14:paraId="1144BF5D">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93" w:type="pct"/>
                  <w:noWrap w:val="0"/>
                  <w:vAlign w:val="center"/>
                </w:tcPr>
                <w:p w14:paraId="4CA249B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三维土工网垫</w:t>
                  </w:r>
                </w:p>
              </w:tc>
              <w:tc>
                <w:tcPr>
                  <w:tcW w:w="758" w:type="pct"/>
                  <w:tcBorders>
                    <w:right w:val="single" w:color="auto" w:sz="4" w:space="0"/>
                  </w:tcBorders>
                  <w:noWrap w:val="0"/>
                  <w:vAlign w:val="center"/>
                </w:tcPr>
                <w:p w14:paraId="2950539C">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46069.61m</w:t>
                  </w:r>
                  <w:r>
                    <w:rPr>
                      <w:rFonts w:hint="default" w:ascii="Times New Roman" w:hAnsi="Times New Roman" w:eastAsia="宋体" w:cs="Times New Roman"/>
                      <w:color w:val="auto"/>
                      <w:sz w:val="21"/>
                      <w:szCs w:val="21"/>
                      <w:highlight w:val="none"/>
                      <w:vertAlign w:val="superscript"/>
                      <w:lang w:val="en-US" w:eastAsia="zh-CN" w:bidi="ar"/>
                    </w:rPr>
                    <w:t>2</w:t>
                  </w:r>
                </w:p>
              </w:tc>
              <w:tc>
                <w:tcPr>
                  <w:tcW w:w="647" w:type="pct"/>
                  <w:tcBorders>
                    <w:left w:val="single" w:color="auto" w:sz="4" w:space="0"/>
                    <w:right w:val="single" w:color="auto" w:sz="4" w:space="0"/>
                  </w:tcBorders>
                  <w:noWrap w:val="0"/>
                  <w:vAlign w:val="center"/>
                </w:tcPr>
                <w:p w14:paraId="1C27404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23635m</w:t>
                  </w:r>
                  <w:r>
                    <w:rPr>
                      <w:rFonts w:hint="default" w:ascii="Times New Roman" w:hAnsi="Times New Roman" w:eastAsia="宋体" w:cs="Times New Roman"/>
                      <w:color w:val="auto"/>
                      <w:sz w:val="21"/>
                      <w:szCs w:val="21"/>
                      <w:highlight w:val="none"/>
                      <w:vertAlign w:val="superscript"/>
                      <w:lang w:val="en-US" w:eastAsia="zh-CN" w:bidi="ar"/>
                    </w:rPr>
                    <w:t>2</w:t>
                  </w:r>
                </w:p>
              </w:tc>
              <w:tc>
                <w:tcPr>
                  <w:tcW w:w="706" w:type="pct"/>
                  <w:tcBorders>
                    <w:left w:val="single" w:color="auto" w:sz="4" w:space="0"/>
                  </w:tcBorders>
                  <w:noWrap w:val="0"/>
                  <w:vAlign w:val="center"/>
                </w:tcPr>
                <w:p w14:paraId="10BC707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69704.61m</w:t>
                  </w:r>
                  <w:r>
                    <w:rPr>
                      <w:rFonts w:hint="default" w:ascii="Times New Roman" w:hAnsi="Times New Roman" w:eastAsia="宋体" w:cs="Times New Roman"/>
                      <w:color w:val="auto"/>
                      <w:sz w:val="21"/>
                      <w:szCs w:val="21"/>
                      <w:highlight w:val="none"/>
                      <w:vertAlign w:val="superscript"/>
                      <w:lang w:val="en-US" w:eastAsia="zh-CN" w:bidi="ar"/>
                    </w:rPr>
                    <w:t>2</w:t>
                  </w:r>
                </w:p>
              </w:tc>
              <w:tc>
                <w:tcPr>
                  <w:tcW w:w="1358" w:type="pct"/>
                  <w:noWrap w:val="0"/>
                  <w:vAlign w:val="center"/>
                </w:tcPr>
                <w:p w14:paraId="1E730CFF">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r>
            <w:tr w14:paraId="491B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36" w:type="pct"/>
                  <w:vMerge w:val="continue"/>
                  <w:noWrap w:val="0"/>
                  <w:vAlign w:val="center"/>
                </w:tcPr>
                <w:p w14:paraId="18460E98">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93" w:type="pct"/>
                  <w:noWrap w:val="0"/>
                  <w:vAlign w:val="center"/>
                </w:tcPr>
                <w:p w14:paraId="6B576CB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草皮</w:t>
                  </w:r>
                </w:p>
              </w:tc>
              <w:tc>
                <w:tcPr>
                  <w:tcW w:w="758" w:type="pct"/>
                  <w:tcBorders>
                    <w:right w:val="single" w:color="auto" w:sz="4" w:space="0"/>
                  </w:tcBorders>
                  <w:noWrap w:val="0"/>
                  <w:vAlign w:val="center"/>
                </w:tcPr>
                <w:p w14:paraId="7CC74F6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46069.61m</w:t>
                  </w:r>
                  <w:r>
                    <w:rPr>
                      <w:rFonts w:hint="default" w:ascii="Times New Roman" w:hAnsi="Times New Roman" w:eastAsia="宋体" w:cs="Times New Roman"/>
                      <w:color w:val="auto"/>
                      <w:sz w:val="21"/>
                      <w:szCs w:val="21"/>
                      <w:highlight w:val="none"/>
                      <w:vertAlign w:val="superscript"/>
                      <w:lang w:val="en-US" w:eastAsia="zh-CN" w:bidi="ar"/>
                    </w:rPr>
                    <w:t>2</w:t>
                  </w:r>
                </w:p>
              </w:tc>
              <w:tc>
                <w:tcPr>
                  <w:tcW w:w="647" w:type="pct"/>
                  <w:tcBorders>
                    <w:left w:val="single" w:color="auto" w:sz="4" w:space="0"/>
                    <w:right w:val="single" w:color="auto" w:sz="4" w:space="0"/>
                  </w:tcBorders>
                  <w:noWrap w:val="0"/>
                  <w:vAlign w:val="center"/>
                </w:tcPr>
                <w:p w14:paraId="283B727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23635m</w:t>
                  </w:r>
                  <w:r>
                    <w:rPr>
                      <w:rFonts w:hint="default" w:ascii="Times New Roman" w:hAnsi="Times New Roman" w:eastAsia="宋体" w:cs="Times New Roman"/>
                      <w:color w:val="auto"/>
                      <w:sz w:val="21"/>
                      <w:szCs w:val="21"/>
                      <w:highlight w:val="none"/>
                      <w:vertAlign w:val="superscript"/>
                      <w:lang w:val="en-US" w:eastAsia="zh-CN" w:bidi="ar"/>
                    </w:rPr>
                    <w:t>2</w:t>
                  </w:r>
                </w:p>
              </w:tc>
              <w:tc>
                <w:tcPr>
                  <w:tcW w:w="706" w:type="pct"/>
                  <w:tcBorders>
                    <w:left w:val="single" w:color="auto" w:sz="4" w:space="0"/>
                  </w:tcBorders>
                  <w:noWrap w:val="0"/>
                  <w:vAlign w:val="center"/>
                </w:tcPr>
                <w:p w14:paraId="30751CC3">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69704.61m</w:t>
                  </w:r>
                  <w:r>
                    <w:rPr>
                      <w:rFonts w:hint="default" w:ascii="Times New Roman" w:hAnsi="Times New Roman" w:eastAsia="宋体" w:cs="Times New Roman"/>
                      <w:color w:val="auto"/>
                      <w:sz w:val="21"/>
                      <w:szCs w:val="21"/>
                      <w:highlight w:val="none"/>
                      <w:vertAlign w:val="superscript"/>
                      <w:lang w:val="en-US" w:eastAsia="zh-CN" w:bidi="ar"/>
                    </w:rPr>
                    <w:t>2</w:t>
                  </w:r>
                </w:p>
              </w:tc>
              <w:tc>
                <w:tcPr>
                  <w:tcW w:w="1358" w:type="pct"/>
                  <w:noWrap w:val="0"/>
                  <w:vAlign w:val="center"/>
                </w:tcPr>
                <w:p w14:paraId="75F81121">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w:t>
                  </w:r>
                </w:p>
              </w:tc>
            </w:tr>
            <w:tr w14:paraId="5AA2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36" w:type="pct"/>
                  <w:vMerge w:val="restart"/>
                  <w:noWrap w:val="0"/>
                  <w:vAlign w:val="center"/>
                </w:tcPr>
                <w:p w14:paraId="1810B76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能耗</w:t>
                  </w:r>
                </w:p>
              </w:tc>
              <w:tc>
                <w:tcPr>
                  <w:tcW w:w="693" w:type="pct"/>
                  <w:noWrap w:val="0"/>
                  <w:vAlign w:val="center"/>
                </w:tcPr>
                <w:p w14:paraId="1367D36C">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汽油</w:t>
                  </w:r>
                </w:p>
              </w:tc>
              <w:tc>
                <w:tcPr>
                  <w:tcW w:w="758" w:type="pct"/>
                  <w:tcBorders>
                    <w:right w:val="single" w:color="auto" w:sz="4" w:space="0"/>
                  </w:tcBorders>
                  <w:noWrap w:val="0"/>
                  <w:vAlign w:val="center"/>
                </w:tcPr>
                <w:p w14:paraId="4841F246">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15.51t</w:t>
                  </w:r>
                </w:p>
              </w:tc>
              <w:tc>
                <w:tcPr>
                  <w:tcW w:w="647" w:type="pct"/>
                  <w:tcBorders>
                    <w:left w:val="single" w:color="auto" w:sz="4" w:space="0"/>
                    <w:right w:val="single" w:color="auto" w:sz="4" w:space="0"/>
                  </w:tcBorders>
                  <w:noWrap w:val="0"/>
                  <w:vAlign w:val="center"/>
                </w:tcPr>
                <w:p w14:paraId="43366B7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22.2t</w:t>
                  </w:r>
                </w:p>
              </w:tc>
              <w:tc>
                <w:tcPr>
                  <w:tcW w:w="706" w:type="pct"/>
                  <w:tcBorders>
                    <w:left w:val="single" w:color="auto" w:sz="4" w:space="0"/>
                  </w:tcBorders>
                  <w:noWrap w:val="0"/>
                  <w:vAlign w:val="center"/>
                </w:tcPr>
                <w:p w14:paraId="6C9BB54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37.71t</w:t>
                  </w:r>
                </w:p>
              </w:tc>
              <w:tc>
                <w:tcPr>
                  <w:tcW w:w="1358" w:type="pct"/>
                  <w:noWrap w:val="0"/>
                  <w:vAlign w:val="center"/>
                </w:tcPr>
                <w:p w14:paraId="24AB05A6">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外购，施工场地不储存</w:t>
                  </w:r>
                </w:p>
              </w:tc>
            </w:tr>
            <w:tr w14:paraId="584C6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36" w:type="pct"/>
                  <w:vMerge w:val="continue"/>
                  <w:noWrap w:val="0"/>
                  <w:vAlign w:val="center"/>
                </w:tcPr>
                <w:p w14:paraId="33E149F0">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93" w:type="pct"/>
                  <w:noWrap w:val="0"/>
                  <w:vAlign w:val="center"/>
                </w:tcPr>
                <w:p w14:paraId="1EE08D64">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柴油</w:t>
                  </w:r>
                </w:p>
              </w:tc>
              <w:tc>
                <w:tcPr>
                  <w:tcW w:w="758" w:type="pct"/>
                  <w:tcBorders>
                    <w:right w:val="single" w:color="auto" w:sz="4" w:space="0"/>
                  </w:tcBorders>
                  <w:noWrap w:val="0"/>
                  <w:vAlign w:val="center"/>
                </w:tcPr>
                <w:p w14:paraId="3D1B0B6A">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100.19t</w:t>
                  </w:r>
                </w:p>
              </w:tc>
              <w:tc>
                <w:tcPr>
                  <w:tcW w:w="647" w:type="pct"/>
                  <w:tcBorders>
                    <w:left w:val="single" w:color="auto" w:sz="4" w:space="0"/>
                    <w:right w:val="single" w:color="auto" w:sz="4" w:space="0"/>
                  </w:tcBorders>
                  <w:noWrap w:val="0"/>
                  <w:vAlign w:val="center"/>
                </w:tcPr>
                <w:p w14:paraId="643667F9">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158.2t</w:t>
                  </w:r>
                </w:p>
              </w:tc>
              <w:tc>
                <w:tcPr>
                  <w:tcW w:w="706" w:type="pct"/>
                  <w:tcBorders>
                    <w:left w:val="single" w:color="auto" w:sz="4" w:space="0"/>
                  </w:tcBorders>
                  <w:noWrap w:val="0"/>
                  <w:vAlign w:val="center"/>
                </w:tcPr>
                <w:p w14:paraId="50171E71">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23882.13t</w:t>
                  </w:r>
                </w:p>
              </w:tc>
              <w:tc>
                <w:tcPr>
                  <w:tcW w:w="1358" w:type="pct"/>
                  <w:noWrap w:val="0"/>
                  <w:vAlign w:val="center"/>
                </w:tcPr>
                <w:p w14:paraId="2E174095">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外购，施工场地不储存</w:t>
                  </w:r>
                </w:p>
              </w:tc>
            </w:tr>
            <w:tr w14:paraId="687B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36" w:type="pct"/>
                  <w:vMerge w:val="continue"/>
                  <w:noWrap w:val="0"/>
                  <w:vAlign w:val="center"/>
                </w:tcPr>
                <w:p w14:paraId="2FB11017">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93" w:type="pct"/>
                  <w:shd w:val="clear" w:color="auto" w:fill="auto"/>
                  <w:noWrap w:val="0"/>
                  <w:vAlign w:val="center"/>
                </w:tcPr>
                <w:p w14:paraId="111D49B4">
                  <w:pPr>
                    <w:kinsoku/>
                    <w:overflowPunct/>
                    <w:autoSpaceDE/>
                    <w:autoSpaceDN/>
                    <w:spacing w:line="240" w:lineRule="auto"/>
                    <w:ind w:firstLine="0" w:firstLineChars="0"/>
                    <w:jc w:val="distribute"/>
                    <w:rPr>
                      <w:rFonts w:hint="eastAsia" w:ascii="Times New Roman" w:hAnsi="Times New Roman" w:eastAsia="宋体" w:cs="Times New Roman"/>
                      <w:b w:val="0"/>
                      <w:bCs w:val="0"/>
                      <w:snapToGrid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水</w:t>
                  </w:r>
                </w:p>
              </w:tc>
              <w:tc>
                <w:tcPr>
                  <w:tcW w:w="1372" w:type="dxa"/>
                  <w:tcBorders>
                    <w:right w:val="single" w:color="auto" w:sz="4" w:space="0"/>
                  </w:tcBorders>
                  <w:shd w:val="clear" w:color="auto" w:fill="auto"/>
                  <w:noWrap w:val="0"/>
                  <w:vAlign w:val="center"/>
                </w:tcPr>
                <w:p w14:paraId="1F61723F">
                  <w:pPr>
                    <w:keepNext w:val="0"/>
                    <w:keepLines w:val="0"/>
                    <w:widowControl/>
                    <w:suppressLineNumbers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800</w:t>
                  </w:r>
                  <w:r>
                    <w:rPr>
                      <w:rFonts w:hint="default" w:ascii="Times New Roman" w:hAnsi="Times New Roman" w:eastAsia="宋体" w:cs="Times New Roman"/>
                      <w:color w:val="auto"/>
                      <w:sz w:val="21"/>
                      <w:szCs w:val="21"/>
                      <w:highlight w:val="none"/>
                    </w:rPr>
                    <w:t>t/a</w:t>
                  </w:r>
                </w:p>
              </w:tc>
              <w:tc>
                <w:tcPr>
                  <w:tcW w:w="1171" w:type="dxa"/>
                  <w:tcBorders>
                    <w:left w:val="single" w:color="auto" w:sz="4" w:space="0"/>
                    <w:right w:val="single" w:color="auto" w:sz="4" w:space="0"/>
                  </w:tcBorders>
                  <w:shd w:val="clear" w:color="auto" w:fill="auto"/>
                  <w:noWrap w:val="0"/>
                  <w:vAlign w:val="center"/>
                </w:tcPr>
                <w:p w14:paraId="5B410743">
                  <w:pPr>
                    <w:keepNext w:val="0"/>
                    <w:keepLines w:val="0"/>
                    <w:widowControl/>
                    <w:suppressLineNumbers w:val="0"/>
                    <w:spacing w:line="240" w:lineRule="auto"/>
                    <w:ind w:firstLine="0" w:firstLineChars="0"/>
                    <w:jc w:val="center"/>
                    <w:textAlignment w:val="auto"/>
                    <w:rPr>
                      <w:rFonts w:hint="default" w:ascii="Times New Roman" w:hAnsi="Times New Roman" w:eastAsia="宋体" w:cs="Times New Roman"/>
                      <w:i w:val="0"/>
                      <w:iCs w:val="0"/>
                      <w:snapToGrid w:val="0"/>
                      <w:color w:val="auto"/>
                      <w:kern w:val="0"/>
                      <w:sz w:val="21"/>
                      <w:szCs w:val="21"/>
                      <w:highlight w:val="none"/>
                      <w:u w:val="none"/>
                      <w:lang w:val="en-US" w:eastAsia="zh-CN" w:bidi="ar-SA"/>
                    </w:rPr>
                  </w:pPr>
                  <w:r>
                    <w:rPr>
                      <w:rFonts w:hint="eastAsia" w:ascii="Times New Roman" w:hAnsi="Times New Roman" w:eastAsia="宋体" w:cs="Times New Roman"/>
                      <w:color w:val="auto"/>
                      <w:sz w:val="21"/>
                      <w:szCs w:val="21"/>
                      <w:highlight w:val="none"/>
                      <w:lang w:val="en-US" w:eastAsia="zh-CN"/>
                    </w:rPr>
                    <w:t>1200</w:t>
                  </w:r>
                  <w:r>
                    <w:rPr>
                      <w:rFonts w:hint="default" w:ascii="Times New Roman" w:hAnsi="Times New Roman" w:eastAsia="宋体" w:cs="Times New Roman"/>
                      <w:color w:val="auto"/>
                      <w:sz w:val="21"/>
                      <w:szCs w:val="21"/>
                      <w:highlight w:val="none"/>
                    </w:rPr>
                    <w:t>t/a</w:t>
                  </w:r>
                </w:p>
              </w:tc>
              <w:tc>
                <w:tcPr>
                  <w:tcW w:w="706" w:type="pct"/>
                  <w:tcBorders>
                    <w:left w:val="single" w:color="auto" w:sz="4" w:space="0"/>
                  </w:tcBorders>
                  <w:shd w:val="clear" w:color="auto" w:fill="auto"/>
                  <w:noWrap w:val="0"/>
                  <w:vAlign w:val="center"/>
                </w:tcPr>
                <w:p w14:paraId="4B3EA185">
                  <w:pPr>
                    <w:keepNext w:val="0"/>
                    <w:keepLines w:val="0"/>
                    <w:widowControl/>
                    <w:suppressLineNumbers w:val="0"/>
                    <w:spacing w:line="240" w:lineRule="auto"/>
                    <w:ind w:firstLine="0" w:firstLineChars="0"/>
                    <w:jc w:val="center"/>
                    <w:textAlignment w:val="auto"/>
                    <w:rPr>
                      <w:rFonts w:hint="default" w:ascii="Times New Roman" w:hAnsi="Times New Roman" w:eastAsia="宋体" w:cs="Times New Roman"/>
                      <w:i w:val="0"/>
                      <w:iCs w:val="0"/>
                      <w:snapToGrid w:val="0"/>
                      <w:color w:val="auto"/>
                      <w:kern w:val="0"/>
                      <w:sz w:val="21"/>
                      <w:szCs w:val="21"/>
                      <w:highlight w:val="none"/>
                      <w:u w:val="none"/>
                      <w:lang w:val="en-US" w:eastAsia="zh-CN" w:bidi="ar-SA"/>
                    </w:rPr>
                  </w:pPr>
                  <w:r>
                    <w:rPr>
                      <w:rFonts w:hint="eastAsia" w:ascii="Times New Roman" w:hAnsi="Times New Roman" w:eastAsia="宋体" w:cs="Times New Roman"/>
                      <w:color w:val="auto"/>
                      <w:sz w:val="21"/>
                      <w:szCs w:val="21"/>
                      <w:highlight w:val="none"/>
                      <w:lang w:val="en-US" w:eastAsia="zh-CN"/>
                    </w:rPr>
                    <w:t>2000</w:t>
                  </w:r>
                  <w:r>
                    <w:rPr>
                      <w:rFonts w:hint="default" w:ascii="Times New Roman" w:hAnsi="Times New Roman" w:eastAsia="宋体" w:cs="Times New Roman"/>
                      <w:color w:val="auto"/>
                      <w:sz w:val="21"/>
                      <w:szCs w:val="21"/>
                      <w:highlight w:val="none"/>
                    </w:rPr>
                    <w:t>t/a</w:t>
                  </w:r>
                </w:p>
              </w:tc>
              <w:tc>
                <w:tcPr>
                  <w:tcW w:w="1358" w:type="pct"/>
                  <w:noWrap w:val="0"/>
                  <w:vAlign w:val="center"/>
                </w:tcPr>
                <w:p w14:paraId="7C9D6FA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市政供水</w:t>
                  </w:r>
                </w:p>
              </w:tc>
            </w:tr>
            <w:tr w14:paraId="6779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836" w:type="pct"/>
                  <w:vMerge w:val="continue"/>
                  <w:noWrap w:val="0"/>
                  <w:vAlign w:val="center"/>
                </w:tcPr>
                <w:p w14:paraId="34AE1CA2">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color w:val="auto"/>
                      <w:sz w:val="21"/>
                      <w:szCs w:val="21"/>
                      <w:highlight w:val="none"/>
                    </w:rPr>
                  </w:pPr>
                </w:p>
              </w:tc>
              <w:tc>
                <w:tcPr>
                  <w:tcW w:w="693" w:type="pct"/>
                  <w:shd w:val="clear" w:color="auto" w:fill="auto"/>
                  <w:noWrap w:val="0"/>
                  <w:vAlign w:val="center"/>
                </w:tcPr>
                <w:p w14:paraId="45E779E5">
                  <w:pPr>
                    <w:kinsoku/>
                    <w:overflowPunct/>
                    <w:autoSpaceDE/>
                    <w:autoSpaceDN/>
                    <w:spacing w:line="240" w:lineRule="auto"/>
                    <w:ind w:firstLine="0" w:firstLineChars="0"/>
                    <w:jc w:val="distribute"/>
                    <w:rPr>
                      <w:rFonts w:hint="eastAsia" w:ascii="Times New Roman" w:hAnsi="Times New Roman" w:eastAsia="宋体" w:cs="Times New Roman"/>
                      <w:b w:val="0"/>
                      <w:bCs w:val="0"/>
                      <w:snapToGrid w:val="0"/>
                      <w:color w:val="auto"/>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电</w:t>
                  </w:r>
                </w:p>
              </w:tc>
              <w:tc>
                <w:tcPr>
                  <w:tcW w:w="1372" w:type="dxa"/>
                  <w:tcBorders>
                    <w:right w:val="single" w:color="auto" w:sz="4" w:space="0"/>
                  </w:tcBorders>
                  <w:shd w:val="clear" w:color="auto" w:fill="auto"/>
                  <w:noWrap w:val="0"/>
                  <w:vAlign w:val="center"/>
                </w:tcPr>
                <w:p w14:paraId="592D057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万kwh</w:t>
                  </w:r>
                </w:p>
              </w:tc>
              <w:tc>
                <w:tcPr>
                  <w:tcW w:w="1171" w:type="dxa"/>
                  <w:tcBorders>
                    <w:left w:val="single" w:color="auto" w:sz="4" w:space="0"/>
                    <w:right w:val="single" w:color="auto" w:sz="4" w:space="0"/>
                  </w:tcBorders>
                  <w:shd w:val="clear" w:color="auto" w:fill="auto"/>
                  <w:noWrap w:val="0"/>
                  <w:vAlign w:val="center"/>
                </w:tcPr>
                <w:p w14:paraId="4CAEA52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rPr>
                    <w:t>万kwh</w:t>
                  </w:r>
                </w:p>
              </w:tc>
              <w:tc>
                <w:tcPr>
                  <w:tcW w:w="706" w:type="pct"/>
                  <w:tcBorders>
                    <w:left w:val="single" w:color="auto" w:sz="4" w:space="0"/>
                  </w:tcBorders>
                  <w:shd w:val="clear" w:color="auto" w:fill="auto"/>
                  <w:noWrap w:val="0"/>
                  <w:vAlign w:val="center"/>
                </w:tcPr>
                <w:p w14:paraId="2B55C56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万kwh</w:t>
                  </w:r>
                </w:p>
              </w:tc>
              <w:tc>
                <w:tcPr>
                  <w:tcW w:w="1358" w:type="pct"/>
                  <w:noWrap w:val="0"/>
                  <w:vAlign w:val="center"/>
                </w:tcPr>
                <w:p w14:paraId="55C492E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市政供电</w:t>
                  </w:r>
                </w:p>
              </w:tc>
            </w:tr>
          </w:tbl>
          <w:p w14:paraId="5E09A2A4">
            <w:pPr>
              <w:pStyle w:val="21"/>
              <w:ind w:firstLine="0" w:firstLineChars="0"/>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2.2.7 项目工程量</w:t>
            </w:r>
          </w:p>
          <w:p w14:paraId="3EF929F9">
            <w:pPr>
              <w:pStyle w:val="21"/>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本项目工程量见表2.3-</w:t>
            </w:r>
            <w:r>
              <w:rPr>
                <w:rFonts w:hint="eastAsia" w:cs="Times New Roman"/>
                <w:color w:val="auto"/>
                <w:highlight w:val="none"/>
                <w:lang w:val="en-US" w:eastAsia="zh-CN"/>
              </w:rPr>
              <w:t>11</w:t>
            </w:r>
            <w:r>
              <w:rPr>
                <w:rFonts w:hint="default" w:ascii="Times New Roman" w:hAnsi="Times New Roman" w:cs="Times New Roman"/>
                <w:color w:val="auto"/>
                <w:highlight w:val="none"/>
              </w:rPr>
              <w:t>~表2.3-</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5</w:t>
            </w:r>
            <w:r>
              <w:rPr>
                <w:rFonts w:hint="default" w:ascii="Times New Roman" w:hAnsi="Times New Roman" w:cs="Times New Roman"/>
                <w:color w:val="auto"/>
                <w:highlight w:val="none"/>
              </w:rPr>
              <w:t>。</w:t>
            </w:r>
          </w:p>
          <w:p w14:paraId="078072FE">
            <w:pPr>
              <w:pStyle w:val="21"/>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表2.3-</w:t>
            </w:r>
            <w:r>
              <w:rPr>
                <w:rFonts w:hint="eastAsia" w:cs="Times New Roman"/>
                <w:b/>
                <w:bCs/>
                <w:color w:val="auto"/>
                <w:highlight w:val="none"/>
                <w:lang w:val="en-US" w:eastAsia="zh-CN"/>
              </w:rPr>
              <w:t>11</w:t>
            </w:r>
            <w:r>
              <w:rPr>
                <w:rFonts w:hint="default" w:ascii="Times New Roman" w:hAnsi="Times New Roman" w:cs="Times New Roman"/>
                <w:b/>
                <w:bCs/>
                <w:color w:val="auto"/>
                <w:highlight w:val="none"/>
              </w:rPr>
              <w:t xml:space="preserve">  本项目</w:t>
            </w:r>
            <w:r>
              <w:rPr>
                <w:rFonts w:hint="eastAsia" w:cs="Times New Roman"/>
                <w:b/>
                <w:bCs/>
                <w:color w:val="auto"/>
                <w:highlight w:val="none"/>
                <w:lang w:val="en-US" w:eastAsia="zh-CN"/>
              </w:rPr>
              <w:t>石河镇</w:t>
            </w:r>
            <w:r>
              <w:rPr>
                <w:rFonts w:hint="default" w:ascii="Times New Roman" w:hAnsi="Times New Roman" w:cs="Times New Roman"/>
                <w:b/>
                <w:bCs/>
                <w:color w:val="auto"/>
                <w:highlight w:val="none"/>
              </w:rPr>
              <w:t>主要工程量一览表</w:t>
            </w:r>
          </w:p>
          <w:tbl>
            <w:tblPr>
              <w:tblStyle w:val="11"/>
              <w:tblW w:w="9195" w:type="dxa"/>
              <w:jc w:val="center"/>
              <w:tblLayout w:type="fixed"/>
              <w:tblCellMar>
                <w:top w:w="0" w:type="dxa"/>
                <w:left w:w="108" w:type="dxa"/>
                <w:bottom w:w="0" w:type="dxa"/>
                <w:right w:w="108" w:type="dxa"/>
              </w:tblCellMar>
            </w:tblPr>
            <w:tblGrid>
              <w:gridCol w:w="485"/>
              <w:gridCol w:w="1258"/>
              <w:gridCol w:w="1096"/>
              <w:gridCol w:w="912"/>
              <w:gridCol w:w="1038"/>
              <w:gridCol w:w="904"/>
              <w:gridCol w:w="905"/>
              <w:gridCol w:w="904"/>
              <w:gridCol w:w="917"/>
              <w:gridCol w:w="776"/>
            </w:tblGrid>
            <w:tr w14:paraId="53B7B31A">
              <w:tblPrEx>
                <w:tblCellMar>
                  <w:top w:w="0" w:type="dxa"/>
                  <w:left w:w="108" w:type="dxa"/>
                  <w:bottom w:w="0" w:type="dxa"/>
                  <w:right w:w="108" w:type="dxa"/>
                </w:tblCellMar>
              </w:tblPrEx>
              <w:trPr>
                <w:trHeight w:val="999" w:hRule="atLeast"/>
                <w:jc w:val="center"/>
              </w:trPr>
              <w:tc>
                <w:tcPr>
                  <w:tcW w:w="485" w:type="dxa"/>
                  <w:tcBorders>
                    <w:top w:val="single" w:color="000000" w:sz="8" w:space="0"/>
                    <w:left w:val="single" w:color="000000" w:sz="8" w:space="0"/>
                    <w:bottom w:val="single" w:color="000000" w:sz="4" w:space="0"/>
                    <w:right w:val="single" w:color="000000" w:sz="4" w:space="0"/>
                  </w:tcBorders>
                  <w:shd w:val="solid" w:color="FFFFFF" w:fill="auto"/>
                  <w:noWrap w:val="0"/>
                  <w:vAlign w:val="center"/>
                </w:tcPr>
                <w:p w14:paraId="5412CD5E">
                  <w:pPr>
                    <w:keepNext w:val="0"/>
                    <w:keepLines w:val="0"/>
                    <w:pageBreakBefore w:val="0"/>
                    <w:widowControl w:val="0"/>
                    <w:shd w:val="solid" w:color="FFFFFF" w:fill="auto"/>
                    <w:kinsoku/>
                    <w:wordWrap/>
                    <w:overflowPunct/>
                    <w:topLinePunct w:val="0"/>
                    <w:autoSpaceDE/>
                    <w:autoSpaceDN w:val="0"/>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highlight w:val="none"/>
                      <w:shd w:val="clear" w:color="auto" w:fill="FFFFFF"/>
                    </w:rPr>
                  </w:pPr>
                  <w:r>
                    <w:rPr>
                      <w:rFonts w:hint="default" w:ascii="Times New Roman" w:hAnsi="Times New Roman" w:cs="Times New Roman"/>
                      <w:b/>
                      <w:bCs/>
                      <w:color w:val="auto"/>
                      <w:sz w:val="21"/>
                      <w:szCs w:val="21"/>
                      <w:highlight w:val="none"/>
                      <w:shd w:val="clear" w:color="auto" w:fill="FFFFFF"/>
                    </w:rPr>
                    <w:t>编号</w:t>
                  </w:r>
                </w:p>
              </w:tc>
              <w:tc>
                <w:tcPr>
                  <w:tcW w:w="1258" w:type="dxa"/>
                  <w:tcBorders>
                    <w:top w:val="single" w:color="000000" w:sz="8" w:space="0"/>
                    <w:left w:val="single" w:color="000000" w:sz="4" w:space="0"/>
                    <w:bottom w:val="single" w:color="000000" w:sz="4" w:space="0"/>
                    <w:right w:val="single" w:color="000000" w:sz="4" w:space="0"/>
                  </w:tcBorders>
                  <w:shd w:val="solid" w:color="FFFFFF" w:fill="auto"/>
                  <w:noWrap w:val="0"/>
                  <w:vAlign w:val="center"/>
                </w:tcPr>
                <w:p w14:paraId="53448E93">
                  <w:pPr>
                    <w:keepNext w:val="0"/>
                    <w:keepLines w:val="0"/>
                    <w:pageBreakBefore w:val="0"/>
                    <w:widowControl w:val="0"/>
                    <w:shd w:val="solid" w:color="FFFFFF" w:fill="auto"/>
                    <w:kinsoku/>
                    <w:wordWrap/>
                    <w:overflowPunct/>
                    <w:topLinePunct w:val="0"/>
                    <w:autoSpaceDE/>
                    <w:autoSpaceDN w:val="0"/>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highlight w:val="none"/>
                      <w:shd w:val="clear" w:color="auto" w:fill="FFFFFF"/>
                    </w:rPr>
                  </w:pPr>
                  <w:r>
                    <w:rPr>
                      <w:rFonts w:hint="default" w:ascii="Times New Roman" w:hAnsi="Times New Roman" w:cs="Times New Roman"/>
                      <w:b/>
                      <w:bCs/>
                      <w:color w:val="auto"/>
                      <w:sz w:val="21"/>
                      <w:szCs w:val="21"/>
                      <w:highlight w:val="none"/>
                      <w:shd w:val="clear" w:color="auto" w:fill="FFFFFF"/>
                    </w:rPr>
                    <w:t>名称</w:t>
                  </w:r>
                </w:p>
              </w:tc>
              <w:tc>
                <w:tcPr>
                  <w:tcW w:w="1096" w:type="dxa"/>
                  <w:tcBorders>
                    <w:top w:val="single" w:color="000000" w:sz="8" w:space="0"/>
                    <w:left w:val="single" w:color="000000" w:sz="4" w:space="0"/>
                    <w:bottom w:val="single" w:color="000000" w:sz="4" w:space="0"/>
                    <w:right w:val="single" w:color="000000" w:sz="4" w:space="0"/>
                  </w:tcBorders>
                  <w:shd w:val="solid" w:color="FFFFFF" w:fill="auto"/>
                  <w:noWrap w:val="0"/>
                  <w:vAlign w:val="center"/>
                </w:tcPr>
                <w:p w14:paraId="500137CC">
                  <w:pPr>
                    <w:keepNext w:val="0"/>
                    <w:keepLines w:val="0"/>
                    <w:pageBreakBefore w:val="0"/>
                    <w:widowControl w:val="0"/>
                    <w:shd w:val="solid" w:color="FFFFFF" w:fill="auto"/>
                    <w:kinsoku/>
                    <w:wordWrap/>
                    <w:overflowPunct/>
                    <w:topLinePunct w:val="0"/>
                    <w:autoSpaceDE/>
                    <w:autoSpaceDN w:val="0"/>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highlight w:val="none"/>
                      <w:shd w:val="clear" w:color="auto" w:fill="FFFFFF"/>
                    </w:rPr>
                  </w:pPr>
                  <w:r>
                    <w:rPr>
                      <w:rFonts w:hint="default" w:ascii="Times New Roman" w:hAnsi="Times New Roman" w:cs="Times New Roman"/>
                      <w:b/>
                      <w:bCs/>
                      <w:color w:val="auto"/>
                      <w:sz w:val="21"/>
                      <w:szCs w:val="21"/>
                      <w:highlight w:val="none"/>
                      <w:shd w:val="clear" w:color="auto" w:fill="FFFFFF"/>
                    </w:rPr>
                    <w:t>土</w:t>
                  </w:r>
                  <w:r>
                    <w:rPr>
                      <w:rFonts w:hint="eastAsia" w:cs="Times New Roman"/>
                      <w:b/>
                      <w:bCs/>
                      <w:color w:val="auto"/>
                      <w:sz w:val="21"/>
                      <w:szCs w:val="21"/>
                      <w:highlight w:val="none"/>
                      <w:shd w:val="clear" w:color="auto" w:fill="FFFFFF"/>
                      <w:lang w:val="en-US" w:eastAsia="zh-CN"/>
                    </w:rPr>
                    <w:t>石</w:t>
                  </w:r>
                  <w:r>
                    <w:rPr>
                      <w:rFonts w:hint="default" w:ascii="Times New Roman" w:hAnsi="Times New Roman" w:cs="Times New Roman"/>
                      <w:b/>
                      <w:bCs/>
                      <w:color w:val="auto"/>
                      <w:sz w:val="21"/>
                      <w:szCs w:val="21"/>
                      <w:highlight w:val="none"/>
                      <w:shd w:val="clear" w:color="auto" w:fill="FFFFFF"/>
                    </w:rPr>
                    <w:t>方明挖（m</w:t>
                  </w:r>
                  <w:r>
                    <w:rPr>
                      <w:rFonts w:hint="default" w:ascii="Times New Roman" w:hAnsi="Times New Roman" w:cs="Times New Roman"/>
                      <w:b/>
                      <w:bCs/>
                      <w:color w:val="auto"/>
                      <w:sz w:val="21"/>
                      <w:szCs w:val="21"/>
                      <w:highlight w:val="none"/>
                      <w:shd w:val="clear" w:color="auto" w:fill="FFFFFF"/>
                      <w:vertAlign w:val="superscript"/>
                    </w:rPr>
                    <w:t>3</w:t>
                  </w:r>
                  <w:r>
                    <w:rPr>
                      <w:rFonts w:hint="default" w:ascii="Times New Roman" w:hAnsi="Times New Roman" w:cs="Times New Roman"/>
                      <w:b/>
                      <w:bCs/>
                      <w:color w:val="auto"/>
                      <w:sz w:val="21"/>
                      <w:szCs w:val="21"/>
                      <w:highlight w:val="none"/>
                      <w:shd w:val="clear" w:color="auto" w:fill="FFFFFF"/>
                    </w:rPr>
                    <w:t>）</w:t>
                  </w:r>
                </w:p>
              </w:tc>
              <w:tc>
                <w:tcPr>
                  <w:tcW w:w="912" w:type="dxa"/>
                  <w:tcBorders>
                    <w:top w:val="single" w:color="000000" w:sz="8" w:space="0"/>
                    <w:left w:val="single" w:color="000000" w:sz="4" w:space="0"/>
                    <w:bottom w:val="single" w:color="000000" w:sz="4" w:space="0"/>
                    <w:right w:val="single" w:color="000000" w:sz="4" w:space="0"/>
                  </w:tcBorders>
                  <w:shd w:val="solid" w:color="FFFFFF" w:fill="auto"/>
                  <w:noWrap w:val="0"/>
                  <w:vAlign w:val="center"/>
                </w:tcPr>
                <w:p w14:paraId="5F90DF0A">
                  <w:pPr>
                    <w:keepNext w:val="0"/>
                    <w:keepLines w:val="0"/>
                    <w:pageBreakBefore w:val="0"/>
                    <w:widowControl w:val="0"/>
                    <w:shd w:val="solid" w:color="FFFFFF" w:fill="auto"/>
                    <w:kinsoku/>
                    <w:wordWrap/>
                    <w:overflowPunct/>
                    <w:topLinePunct w:val="0"/>
                    <w:autoSpaceDE/>
                    <w:autoSpaceDN w:val="0"/>
                    <w:bidi w:val="0"/>
                    <w:adjustRightInd/>
                    <w:snapToGrid/>
                    <w:spacing w:line="240" w:lineRule="auto"/>
                    <w:ind w:firstLine="0" w:firstLineChars="0"/>
                    <w:jc w:val="center"/>
                    <w:textAlignment w:val="center"/>
                    <w:rPr>
                      <w:rFonts w:hint="default" w:ascii="Times New Roman" w:hAnsi="Times New Roman" w:eastAsia="宋体" w:cs="Times New Roman"/>
                      <w:b/>
                      <w:bCs/>
                      <w:snapToGrid w:val="0"/>
                      <w:color w:val="auto"/>
                      <w:sz w:val="21"/>
                      <w:szCs w:val="21"/>
                      <w:highlight w:val="none"/>
                      <w:shd w:val="clear" w:color="auto" w:fill="FFFFFF"/>
                      <w:lang w:val="en-US" w:eastAsia="zh-CN" w:bidi="ar-SA"/>
                    </w:rPr>
                  </w:pPr>
                  <w:r>
                    <w:rPr>
                      <w:rFonts w:hint="default" w:ascii="Times New Roman" w:hAnsi="Times New Roman" w:cs="Times New Roman"/>
                      <w:b/>
                      <w:bCs/>
                      <w:color w:val="auto"/>
                      <w:sz w:val="21"/>
                      <w:szCs w:val="21"/>
                      <w:highlight w:val="none"/>
                    </w:rPr>
                    <w:t>河道清淤</w:t>
                  </w:r>
                  <w:r>
                    <w:rPr>
                      <w:rFonts w:hint="default" w:ascii="Times New Roman" w:hAnsi="Times New Roman" w:cs="Times New Roman"/>
                      <w:b/>
                      <w:bCs/>
                      <w:color w:val="auto"/>
                      <w:sz w:val="21"/>
                      <w:szCs w:val="21"/>
                      <w:highlight w:val="none"/>
                      <w:shd w:val="clear" w:color="auto" w:fill="FFFFFF"/>
                    </w:rPr>
                    <w:t>（m</w:t>
                  </w:r>
                  <w:r>
                    <w:rPr>
                      <w:rFonts w:hint="default" w:ascii="Times New Roman" w:hAnsi="Times New Roman" w:cs="Times New Roman"/>
                      <w:b/>
                      <w:bCs/>
                      <w:color w:val="auto"/>
                      <w:sz w:val="21"/>
                      <w:szCs w:val="21"/>
                      <w:highlight w:val="none"/>
                      <w:shd w:val="clear" w:color="auto" w:fill="FFFFFF"/>
                      <w:vertAlign w:val="superscript"/>
                    </w:rPr>
                    <w:t>3</w:t>
                  </w:r>
                  <w:r>
                    <w:rPr>
                      <w:rFonts w:hint="default" w:ascii="Times New Roman" w:hAnsi="Times New Roman" w:cs="Times New Roman"/>
                      <w:b/>
                      <w:bCs/>
                      <w:color w:val="auto"/>
                      <w:sz w:val="21"/>
                      <w:szCs w:val="21"/>
                      <w:highlight w:val="none"/>
                      <w:shd w:val="clear" w:color="auto" w:fill="FFFFFF"/>
                    </w:rPr>
                    <w:t>）</w:t>
                  </w:r>
                </w:p>
              </w:tc>
              <w:tc>
                <w:tcPr>
                  <w:tcW w:w="1038" w:type="dxa"/>
                  <w:tcBorders>
                    <w:top w:val="single" w:color="000000" w:sz="8" w:space="0"/>
                    <w:left w:val="single" w:color="000000" w:sz="4" w:space="0"/>
                    <w:bottom w:val="single" w:color="000000" w:sz="4" w:space="0"/>
                    <w:right w:val="single" w:color="000000" w:sz="4" w:space="0"/>
                  </w:tcBorders>
                  <w:shd w:val="solid" w:color="FFFFFF" w:fill="auto"/>
                  <w:noWrap w:val="0"/>
                  <w:vAlign w:val="center"/>
                </w:tcPr>
                <w:p w14:paraId="79CADF4D">
                  <w:pPr>
                    <w:keepNext w:val="0"/>
                    <w:keepLines w:val="0"/>
                    <w:pageBreakBefore w:val="0"/>
                    <w:widowControl w:val="0"/>
                    <w:shd w:val="solid" w:color="FFFFFF" w:fill="auto"/>
                    <w:kinsoku/>
                    <w:wordWrap/>
                    <w:overflowPunct/>
                    <w:topLinePunct w:val="0"/>
                    <w:autoSpaceDE/>
                    <w:autoSpaceDN w:val="0"/>
                    <w:bidi w:val="0"/>
                    <w:adjustRightInd/>
                    <w:snapToGrid/>
                    <w:spacing w:line="240" w:lineRule="auto"/>
                    <w:ind w:firstLine="0" w:firstLineChars="0"/>
                    <w:jc w:val="center"/>
                    <w:textAlignment w:val="center"/>
                    <w:rPr>
                      <w:rFonts w:hint="default" w:ascii="Times New Roman" w:hAnsi="Times New Roman" w:eastAsia="宋体" w:cs="Times New Roman"/>
                      <w:b/>
                      <w:bCs/>
                      <w:snapToGrid w:val="0"/>
                      <w:color w:val="auto"/>
                      <w:sz w:val="21"/>
                      <w:szCs w:val="21"/>
                      <w:highlight w:val="none"/>
                      <w:shd w:val="clear" w:color="auto" w:fill="FFFFFF"/>
                      <w:lang w:val="en-US" w:eastAsia="zh-CN" w:bidi="ar-SA"/>
                    </w:rPr>
                  </w:pPr>
                  <w:r>
                    <w:rPr>
                      <w:rFonts w:hint="default" w:ascii="Times New Roman" w:hAnsi="Times New Roman" w:cs="Times New Roman"/>
                      <w:b/>
                      <w:bCs/>
                      <w:color w:val="auto"/>
                      <w:sz w:val="21"/>
                      <w:szCs w:val="21"/>
                      <w:highlight w:val="none"/>
                      <w:shd w:val="clear" w:color="auto" w:fill="FFFFFF"/>
                    </w:rPr>
                    <w:t>土石方回填（m</w:t>
                  </w:r>
                  <w:r>
                    <w:rPr>
                      <w:rFonts w:hint="default" w:ascii="Times New Roman" w:hAnsi="Times New Roman" w:cs="Times New Roman"/>
                      <w:b/>
                      <w:bCs/>
                      <w:color w:val="auto"/>
                      <w:sz w:val="21"/>
                      <w:szCs w:val="21"/>
                      <w:highlight w:val="none"/>
                      <w:shd w:val="clear" w:color="auto" w:fill="FFFFFF"/>
                      <w:vertAlign w:val="superscript"/>
                    </w:rPr>
                    <w:t>3</w:t>
                  </w:r>
                  <w:r>
                    <w:rPr>
                      <w:rFonts w:hint="default" w:ascii="Times New Roman" w:hAnsi="Times New Roman" w:cs="Times New Roman"/>
                      <w:b/>
                      <w:bCs/>
                      <w:color w:val="auto"/>
                      <w:sz w:val="21"/>
                      <w:szCs w:val="21"/>
                      <w:highlight w:val="none"/>
                      <w:shd w:val="clear" w:color="auto" w:fill="FFFFFF"/>
                    </w:rPr>
                    <w:t>）</w:t>
                  </w:r>
                </w:p>
              </w:tc>
              <w:tc>
                <w:tcPr>
                  <w:tcW w:w="904" w:type="dxa"/>
                  <w:tcBorders>
                    <w:top w:val="single" w:color="000000" w:sz="8" w:space="0"/>
                    <w:left w:val="single" w:color="000000" w:sz="4" w:space="0"/>
                    <w:bottom w:val="single" w:color="000000" w:sz="4" w:space="0"/>
                    <w:right w:val="single" w:color="000000" w:sz="4" w:space="0"/>
                  </w:tcBorders>
                  <w:shd w:val="solid" w:color="FFFFFF" w:fill="auto"/>
                  <w:noWrap w:val="0"/>
                  <w:vAlign w:val="center"/>
                </w:tcPr>
                <w:p w14:paraId="38494A38">
                  <w:pPr>
                    <w:keepNext w:val="0"/>
                    <w:keepLines w:val="0"/>
                    <w:pageBreakBefore w:val="0"/>
                    <w:widowControl w:val="0"/>
                    <w:shd w:val="solid" w:color="FFFFFF" w:fill="auto"/>
                    <w:kinsoku/>
                    <w:wordWrap/>
                    <w:overflowPunct/>
                    <w:topLinePunct w:val="0"/>
                    <w:autoSpaceDE/>
                    <w:autoSpaceDN w:val="0"/>
                    <w:bidi w:val="0"/>
                    <w:adjustRightInd/>
                    <w:snapToGrid/>
                    <w:spacing w:line="240" w:lineRule="auto"/>
                    <w:ind w:firstLine="0" w:firstLineChars="0"/>
                    <w:jc w:val="center"/>
                    <w:textAlignment w:val="center"/>
                    <w:rPr>
                      <w:rFonts w:hint="default" w:ascii="Times New Roman" w:hAnsi="Times New Roman" w:eastAsia="宋体" w:cs="Times New Roman"/>
                      <w:b/>
                      <w:bCs/>
                      <w:snapToGrid w:val="0"/>
                      <w:color w:val="auto"/>
                      <w:sz w:val="21"/>
                      <w:szCs w:val="21"/>
                      <w:highlight w:val="none"/>
                      <w:shd w:val="clear" w:color="auto" w:fill="FFFFFF"/>
                      <w:lang w:val="en-US" w:eastAsia="zh-CN" w:bidi="ar-SA"/>
                    </w:rPr>
                  </w:pPr>
                  <w:r>
                    <w:rPr>
                      <w:rFonts w:hint="default" w:ascii="Times New Roman" w:hAnsi="Times New Roman" w:cs="Times New Roman"/>
                      <w:b/>
                      <w:bCs/>
                      <w:color w:val="auto"/>
                      <w:sz w:val="21"/>
                      <w:szCs w:val="21"/>
                      <w:highlight w:val="none"/>
                      <w:shd w:val="clear" w:color="auto" w:fill="FFFFFF"/>
                    </w:rPr>
                    <w:t>大块石回填（m</w:t>
                  </w:r>
                  <w:r>
                    <w:rPr>
                      <w:rFonts w:hint="default" w:ascii="Times New Roman" w:hAnsi="Times New Roman" w:cs="Times New Roman"/>
                      <w:b/>
                      <w:bCs/>
                      <w:color w:val="auto"/>
                      <w:sz w:val="21"/>
                      <w:szCs w:val="21"/>
                      <w:highlight w:val="none"/>
                      <w:shd w:val="clear" w:color="auto" w:fill="FFFFFF"/>
                      <w:vertAlign w:val="superscript"/>
                    </w:rPr>
                    <w:t>3</w:t>
                  </w:r>
                  <w:r>
                    <w:rPr>
                      <w:rFonts w:hint="default" w:ascii="Times New Roman" w:hAnsi="Times New Roman" w:cs="Times New Roman"/>
                      <w:b/>
                      <w:bCs/>
                      <w:color w:val="auto"/>
                      <w:sz w:val="21"/>
                      <w:szCs w:val="21"/>
                      <w:highlight w:val="none"/>
                      <w:shd w:val="clear" w:color="auto" w:fill="FFFFFF"/>
                    </w:rPr>
                    <w:t>）</w:t>
                  </w:r>
                </w:p>
              </w:tc>
              <w:tc>
                <w:tcPr>
                  <w:tcW w:w="905" w:type="dxa"/>
                  <w:tcBorders>
                    <w:top w:val="single" w:color="000000" w:sz="8" w:space="0"/>
                    <w:left w:val="single" w:color="000000" w:sz="4" w:space="0"/>
                    <w:bottom w:val="single" w:color="000000" w:sz="4" w:space="0"/>
                    <w:right w:val="single" w:color="000000" w:sz="4" w:space="0"/>
                  </w:tcBorders>
                  <w:shd w:val="solid" w:color="FFFFFF" w:fill="auto"/>
                  <w:noWrap w:val="0"/>
                  <w:vAlign w:val="center"/>
                </w:tcPr>
                <w:p w14:paraId="508BAA6F">
                  <w:pPr>
                    <w:pStyle w:val="28"/>
                    <w:ind w:firstLine="0" w:firstLineChars="0"/>
                    <w:rPr>
                      <w:rFonts w:hint="default" w:ascii="Times New Roman" w:hAnsi="Times New Roman" w:cs="Times New Roman"/>
                      <w:b/>
                      <w:bCs/>
                      <w:color w:val="auto"/>
                      <w:sz w:val="21"/>
                      <w:szCs w:val="21"/>
                      <w:highlight w:val="none"/>
                      <w:shd w:val="clear" w:color="auto" w:fill="FFFFFF"/>
                    </w:rPr>
                  </w:pPr>
                  <w:r>
                    <w:rPr>
                      <w:rFonts w:hint="eastAsia"/>
                      <w:b/>
                      <w:bCs/>
                      <w:color w:val="auto"/>
                      <w:highlight w:val="none"/>
                    </w:rPr>
                    <w:t>砌石工程（m</w:t>
                  </w:r>
                  <w:r>
                    <w:rPr>
                      <w:rFonts w:hint="eastAsia"/>
                      <w:b/>
                      <w:bCs/>
                      <w:color w:val="auto"/>
                      <w:highlight w:val="none"/>
                      <w:vertAlign w:val="superscript"/>
                    </w:rPr>
                    <w:t>3</w:t>
                  </w:r>
                  <w:r>
                    <w:rPr>
                      <w:rFonts w:hint="eastAsia"/>
                      <w:b/>
                      <w:bCs/>
                      <w:color w:val="auto"/>
                      <w:highlight w:val="none"/>
                    </w:rPr>
                    <w:t>）</w:t>
                  </w:r>
                </w:p>
              </w:tc>
              <w:tc>
                <w:tcPr>
                  <w:tcW w:w="904" w:type="dxa"/>
                  <w:tcBorders>
                    <w:top w:val="single" w:color="000000" w:sz="8" w:space="0"/>
                    <w:left w:val="single" w:color="000000" w:sz="4" w:space="0"/>
                    <w:bottom w:val="single" w:color="000000" w:sz="4" w:space="0"/>
                    <w:right w:val="single" w:color="000000" w:sz="4" w:space="0"/>
                  </w:tcBorders>
                  <w:shd w:val="solid" w:color="FFFFFF" w:fill="auto"/>
                  <w:noWrap w:val="0"/>
                  <w:vAlign w:val="center"/>
                </w:tcPr>
                <w:p w14:paraId="647934D9">
                  <w:pPr>
                    <w:keepNext w:val="0"/>
                    <w:keepLines w:val="0"/>
                    <w:pageBreakBefore w:val="0"/>
                    <w:widowControl w:val="0"/>
                    <w:shd w:val="solid" w:color="FFFFFF" w:fill="auto"/>
                    <w:kinsoku/>
                    <w:wordWrap/>
                    <w:overflowPunct/>
                    <w:topLinePunct w:val="0"/>
                    <w:autoSpaceDE/>
                    <w:autoSpaceDN w:val="0"/>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highlight w:val="none"/>
                      <w:shd w:val="clear" w:color="auto" w:fill="FFFFFF"/>
                    </w:rPr>
                  </w:pPr>
                  <w:r>
                    <w:rPr>
                      <w:rFonts w:hint="default" w:ascii="Times New Roman" w:hAnsi="Times New Roman" w:cs="Times New Roman"/>
                      <w:b/>
                      <w:bCs/>
                      <w:color w:val="auto"/>
                      <w:sz w:val="21"/>
                      <w:szCs w:val="21"/>
                      <w:highlight w:val="none"/>
                      <w:shd w:val="clear" w:color="auto" w:fill="FFFFFF"/>
                    </w:rPr>
                    <w:t>混凝土（m</w:t>
                  </w:r>
                  <w:r>
                    <w:rPr>
                      <w:rFonts w:hint="default" w:ascii="Times New Roman" w:hAnsi="Times New Roman" w:cs="Times New Roman"/>
                      <w:b/>
                      <w:bCs/>
                      <w:color w:val="auto"/>
                      <w:sz w:val="21"/>
                      <w:szCs w:val="21"/>
                      <w:highlight w:val="none"/>
                      <w:shd w:val="clear" w:color="auto" w:fill="FFFFFF"/>
                      <w:vertAlign w:val="superscript"/>
                    </w:rPr>
                    <w:t>3</w:t>
                  </w:r>
                  <w:r>
                    <w:rPr>
                      <w:rFonts w:hint="default" w:ascii="Times New Roman" w:hAnsi="Times New Roman" w:cs="Times New Roman"/>
                      <w:b/>
                      <w:bCs/>
                      <w:color w:val="auto"/>
                      <w:sz w:val="21"/>
                      <w:szCs w:val="21"/>
                      <w:highlight w:val="none"/>
                      <w:shd w:val="clear" w:color="auto" w:fill="FFFFFF"/>
                    </w:rPr>
                    <w:t>）</w:t>
                  </w:r>
                </w:p>
              </w:tc>
              <w:tc>
                <w:tcPr>
                  <w:tcW w:w="917" w:type="dxa"/>
                  <w:tcBorders>
                    <w:top w:val="single" w:color="000000" w:sz="8" w:space="0"/>
                    <w:left w:val="single" w:color="000000" w:sz="4" w:space="0"/>
                    <w:bottom w:val="single" w:color="000000" w:sz="4" w:space="0"/>
                    <w:right w:val="single" w:color="000000" w:sz="4" w:space="0"/>
                  </w:tcBorders>
                  <w:shd w:val="solid" w:color="FFFFFF" w:fill="auto"/>
                  <w:noWrap w:val="0"/>
                  <w:vAlign w:val="center"/>
                </w:tcPr>
                <w:p w14:paraId="54E1D22C">
                  <w:pPr>
                    <w:keepNext w:val="0"/>
                    <w:keepLines w:val="0"/>
                    <w:pageBreakBefore w:val="0"/>
                    <w:widowControl w:val="0"/>
                    <w:shd w:val="solid" w:color="FFFFFF" w:fill="auto"/>
                    <w:kinsoku/>
                    <w:wordWrap/>
                    <w:overflowPunct/>
                    <w:topLinePunct w:val="0"/>
                    <w:autoSpaceDE/>
                    <w:autoSpaceDN w:val="0"/>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highlight w:val="none"/>
                      <w:shd w:val="clear" w:color="auto" w:fill="FFFFFF"/>
                    </w:rPr>
                  </w:pPr>
                  <w:r>
                    <w:rPr>
                      <w:rFonts w:hint="default" w:ascii="Times New Roman" w:hAnsi="Times New Roman" w:cs="Times New Roman"/>
                      <w:b/>
                      <w:bCs/>
                      <w:color w:val="auto"/>
                      <w:sz w:val="21"/>
                      <w:szCs w:val="21"/>
                      <w:highlight w:val="none"/>
                      <w:shd w:val="clear" w:color="auto" w:fill="FFFFFF"/>
                    </w:rPr>
                    <w:t>钢筋（t）</w:t>
                  </w:r>
                </w:p>
              </w:tc>
              <w:tc>
                <w:tcPr>
                  <w:tcW w:w="776" w:type="dxa"/>
                  <w:tcBorders>
                    <w:top w:val="single" w:color="000000" w:sz="8" w:space="0"/>
                    <w:left w:val="single" w:color="000000" w:sz="4" w:space="0"/>
                    <w:bottom w:val="single" w:color="000000" w:sz="4" w:space="0"/>
                    <w:right w:val="single" w:color="000000" w:sz="8" w:space="0"/>
                  </w:tcBorders>
                  <w:shd w:val="solid" w:color="FFFFFF" w:fill="auto"/>
                  <w:noWrap w:val="0"/>
                  <w:vAlign w:val="center"/>
                </w:tcPr>
                <w:p w14:paraId="3F35B58F">
                  <w:pPr>
                    <w:keepNext w:val="0"/>
                    <w:keepLines w:val="0"/>
                    <w:pageBreakBefore w:val="0"/>
                    <w:widowControl w:val="0"/>
                    <w:shd w:val="solid" w:color="FFFFFF" w:fill="auto"/>
                    <w:kinsoku/>
                    <w:wordWrap/>
                    <w:overflowPunct/>
                    <w:topLinePunct w:val="0"/>
                    <w:autoSpaceDE/>
                    <w:autoSpaceDN w:val="0"/>
                    <w:bidi w:val="0"/>
                    <w:adjustRightInd/>
                    <w:snapToGrid/>
                    <w:spacing w:line="240" w:lineRule="auto"/>
                    <w:ind w:firstLine="0" w:firstLineChars="0"/>
                    <w:jc w:val="center"/>
                    <w:textAlignment w:val="center"/>
                    <w:rPr>
                      <w:rFonts w:hint="default" w:ascii="Times New Roman" w:hAnsi="Times New Roman" w:cs="Times New Roman"/>
                      <w:b/>
                      <w:bCs/>
                      <w:color w:val="auto"/>
                      <w:sz w:val="21"/>
                      <w:szCs w:val="21"/>
                      <w:highlight w:val="none"/>
                      <w:shd w:val="clear" w:color="auto" w:fill="FFFFFF"/>
                    </w:rPr>
                  </w:pPr>
                  <w:r>
                    <w:rPr>
                      <w:rFonts w:hint="default" w:ascii="Times New Roman" w:hAnsi="Times New Roman" w:cs="Times New Roman"/>
                      <w:b/>
                      <w:bCs/>
                      <w:color w:val="auto"/>
                      <w:sz w:val="21"/>
                      <w:szCs w:val="21"/>
                      <w:highlight w:val="none"/>
                      <w:shd w:val="clear" w:color="auto" w:fill="FFFFFF"/>
                    </w:rPr>
                    <w:t>模板（m</w:t>
                  </w:r>
                  <w:r>
                    <w:rPr>
                      <w:rFonts w:hint="default" w:ascii="Times New Roman" w:hAnsi="Times New Roman" w:cs="Times New Roman"/>
                      <w:b/>
                      <w:bCs/>
                      <w:color w:val="auto"/>
                      <w:sz w:val="21"/>
                      <w:szCs w:val="21"/>
                      <w:highlight w:val="none"/>
                      <w:shd w:val="clear" w:color="auto" w:fill="FFFFFF"/>
                      <w:vertAlign w:val="superscript"/>
                    </w:rPr>
                    <w:t>2</w:t>
                  </w:r>
                  <w:r>
                    <w:rPr>
                      <w:rFonts w:hint="default" w:ascii="Times New Roman" w:hAnsi="Times New Roman" w:cs="Times New Roman"/>
                      <w:b/>
                      <w:bCs/>
                      <w:color w:val="auto"/>
                      <w:sz w:val="21"/>
                      <w:szCs w:val="21"/>
                      <w:highlight w:val="none"/>
                      <w:shd w:val="clear" w:color="auto" w:fill="FFFFFF"/>
                    </w:rPr>
                    <w:t>）</w:t>
                  </w:r>
                </w:p>
              </w:tc>
            </w:tr>
            <w:tr w14:paraId="111E50C7">
              <w:tblPrEx>
                <w:tblCellMar>
                  <w:top w:w="0" w:type="dxa"/>
                  <w:left w:w="108" w:type="dxa"/>
                  <w:bottom w:w="0" w:type="dxa"/>
                  <w:right w:w="108" w:type="dxa"/>
                </w:tblCellMar>
              </w:tblPrEx>
              <w:trPr>
                <w:trHeight w:val="675" w:hRule="atLeast"/>
                <w:jc w:val="center"/>
              </w:trPr>
              <w:tc>
                <w:tcPr>
                  <w:tcW w:w="485"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5BDCC9F2">
                  <w:pPr>
                    <w:pStyle w:val="29"/>
                    <w:keepNext w:val="0"/>
                    <w:keepLines w:val="0"/>
                    <w:pageBreakBefore w:val="0"/>
                    <w:widowControl w:val="0"/>
                    <w:kinsoku/>
                    <w:wordWrap/>
                    <w:overflowPunct/>
                    <w:topLinePunct w:val="0"/>
                    <w:autoSpaceDE/>
                    <w:bidi w:val="0"/>
                    <w:adjustRightInd/>
                    <w:snapToGrid/>
                    <w:spacing w:line="240" w:lineRule="auto"/>
                    <w:ind w:firstLine="0" w:firstLineChars="0"/>
                    <w:jc w:val="center"/>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1</w:t>
                  </w:r>
                </w:p>
              </w:tc>
              <w:tc>
                <w:tcPr>
                  <w:tcW w:w="1258"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017C053E">
                  <w:pPr>
                    <w:pStyle w:val="29"/>
                    <w:keepNext w:val="0"/>
                    <w:keepLines w:val="0"/>
                    <w:pageBreakBefore w:val="0"/>
                    <w:widowControl w:val="0"/>
                    <w:kinsoku/>
                    <w:wordWrap/>
                    <w:overflowPunct/>
                    <w:topLinePunct w:val="0"/>
                    <w:autoSpaceDE/>
                    <w:bidi w:val="0"/>
                    <w:adjustRightInd/>
                    <w:snapToGrid/>
                    <w:spacing w:line="240" w:lineRule="auto"/>
                    <w:ind w:firstLine="0" w:firstLineChars="0"/>
                    <w:jc w:val="center"/>
                    <w:rPr>
                      <w:rFonts w:hint="default" w:ascii="Times New Roman" w:hAnsi="Times New Roman" w:cs="Times New Roman"/>
                      <w:color w:val="auto"/>
                      <w:kern w:val="2"/>
                      <w:sz w:val="21"/>
                      <w:szCs w:val="21"/>
                      <w:highlight w:val="none"/>
                      <w:lang w:val="en-US" w:eastAsia="zh-CN"/>
                    </w:rPr>
                  </w:pPr>
                  <w:r>
                    <w:rPr>
                      <w:rFonts w:hint="eastAsia" w:cs="Times New Roman"/>
                      <w:b w:val="0"/>
                      <w:bCs w:val="0"/>
                      <w:color w:val="auto"/>
                      <w:sz w:val="21"/>
                      <w:szCs w:val="21"/>
                      <w:highlight w:val="none"/>
                      <w:lang w:val="en-US" w:eastAsia="zh-CN"/>
                    </w:rPr>
                    <w:t>石河镇二郎段、福兴段</w:t>
                  </w:r>
                </w:p>
              </w:tc>
              <w:tc>
                <w:tcPr>
                  <w:tcW w:w="1096"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4EEC612">
                  <w:pPr>
                    <w:pStyle w:val="29"/>
                    <w:keepNext w:val="0"/>
                    <w:keepLines w:val="0"/>
                    <w:pageBreakBefore w:val="0"/>
                    <w:widowControl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65461</w:t>
                  </w:r>
                </w:p>
              </w:tc>
              <w:tc>
                <w:tcPr>
                  <w:tcW w:w="91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A58D08B">
                  <w:pPr>
                    <w:pStyle w:val="29"/>
                    <w:keepNext w:val="0"/>
                    <w:keepLines w:val="0"/>
                    <w:pageBreakBefore w:val="0"/>
                    <w:widowControl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rPr>
                    <w:t>81085</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29516A">
                  <w:pPr>
                    <w:pStyle w:val="27"/>
                    <w:kinsoku w:val="0"/>
                    <w:overflowPunct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126649</w:t>
                  </w:r>
                </w:p>
              </w:tc>
              <w:tc>
                <w:tcPr>
                  <w:tcW w:w="90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C76CA91">
                  <w:pPr>
                    <w:pStyle w:val="29"/>
                    <w:keepNext w:val="0"/>
                    <w:keepLines w:val="0"/>
                    <w:pageBreakBefore w:val="0"/>
                    <w:widowControl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3197</w:t>
                  </w:r>
                </w:p>
              </w:tc>
              <w:tc>
                <w:tcPr>
                  <w:tcW w:w="905"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95359DD">
                  <w:pPr>
                    <w:pStyle w:val="29"/>
                    <w:keepNext w:val="0"/>
                    <w:keepLines w:val="0"/>
                    <w:pageBreakBefore w:val="0"/>
                    <w:widowControl w:val="0"/>
                    <w:kinsoku/>
                    <w:wordWrap/>
                    <w:overflowPunct/>
                    <w:topLinePunct w:val="0"/>
                    <w:autoSpaceDE/>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w:t>
                  </w:r>
                </w:p>
              </w:tc>
              <w:tc>
                <w:tcPr>
                  <w:tcW w:w="904"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54DF8D9">
                  <w:pPr>
                    <w:pStyle w:val="29"/>
                    <w:keepNext w:val="0"/>
                    <w:keepLines w:val="0"/>
                    <w:pageBreakBefore w:val="0"/>
                    <w:widowControl w:val="0"/>
                    <w:kinsoku/>
                    <w:wordWrap/>
                    <w:overflowPunct/>
                    <w:topLinePunct w:val="0"/>
                    <w:autoSpaceDE/>
                    <w:bidi w:val="0"/>
                    <w:adjustRightInd/>
                    <w:snapToGrid/>
                    <w:spacing w:line="240" w:lineRule="auto"/>
                    <w:ind w:firstLine="0" w:firstLineChars="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30738</w:t>
                  </w:r>
                </w:p>
              </w:tc>
              <w:tc>
                <w:tcPr>
                  <w:tcW w:w="917"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B043A37">
                  <w:pPr>
                    <w:pStyle w:val="29"/>
                    <w:keepNext w:val="0"/>
                    <w:keepLines w:val="0"/>
                    <w:pageBreakBefore w:val="0"/>
                    <w:widowControl w:val="0"/>
                    <w:kinsoku/>
                    <w:wordWrap/>
                    <w:overflowPunct/>
                    <w:topLinePunct w:val="0"/>
                    <w:autoSpaceDE/>
                    <w:bidi w:val="0"/>
                    <w:adjustRightInd/>
                    <w:snapToGrid/>
                    <w:spacing w:line="240" w:lineRule="auto"/>
                    <w:ind w:firstLine="0" w:firstLineChars="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156.4</w:t>
                  </w:r>
                </w:p>
              </w:tc>
              <w:tc>
                <w:tcPr>
                  <w:tcW w:w="776" w:type="dxa"/>
                  <w:tcBorders>
                    <w:top w:val="single" w:color="000000" w:sz="4" w:space="0"/>
                    <w:left w:val="single" w:color="000000" w:sz="4" w:space="0"/>
                    <w:bottom w:val="single" w:color="000000" w:sz="4" w:space="0"/>
                    <w:right w:val="single" w:color="000000" w:sz="8" w:space="0"/>
                  </w:tcBorders>
                  <w:shd w:val="solid" w:color="FFFFFF" w:fill="auto"/>
                  <w:noWrap w:val="0"/>
                  <w:vAlign w:val="center"/>
                </w:tcPr>
                <w:p w14:paraId="423CF0B5">
                  <w:pPr>
                    <w:pStyle w:val="29"/>
                    <w:keepNext w:val="0"/>
                    <w:keepLines w:val="0"/>
                    <w:pageBreakBefore w:val="0"/>
                    <w:widowControl w:val="0"/>
                    <w:kinsoku/>
                    <w:wordWrap/>
                    <w:overflowPunct/>
                    <w:topLinePunct w:val="0"/>
                    <w:autoSpaceDE/>
                    <w:bidi w:val="0"/>
                    <w:adjustRightInd/>
                    <w:snapToGrid/>
                    <w:spacing w:line="240" w:lineRule="auto"/>
                    <w:ind w:firstLine="0" w:firstLineChars="0"/>
                    <w:jc w:val="center"/>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51150</w:t>
                  </w:r>
                </w:p>
              </w:tc>
            </w:tr>
            <w:tr w14:paraId="4D5E4930">
              <w:tblPrEx>
                <w:tblCellMar>
                  <w:top w:w="0" w:type="dxa"/>
                  <w:left w:w="108" w:type="dxa"/>
                  <w:bottom w:w="0" w:type="dxa"/>
                  <w:right w:w="108" w:type="dxa"/>
                </w:tblCellMar>
              </w:tblPrEx>
              <w:trPr>
                <w:trHeight w:val="674" w:hRule="atLeast"/>
                <w:jc w:val="center"/>
              </w:trPr>
              <w:tc>
                <w:tcPr>
                  <w:tcW w:w="485"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1C79E79C">
                  <w:pPr>
                    <w:pStyle w:val="29"/>
                    <w:keepNext w:val="0"/>
                    <w:keepLines w:val="0"/>
                    <w:pageBreakBefore w:val="0"/>
                    <w:widowControl w:val="0"/>
                    <w:kinsoku/>
                    <w:wordWrap/>
                    <w:overflowPunct/>
                    <w:topLinePunct w:val="0"/>
                    <w:autoSpaceDE/>
                    <w:bidi w:val="0"/>
                    <w:adjustRightInd/>
                    <w:snapToGrid/>
                    <w:spacing w:line="240" w:lineRule="auto"/>
                    <w:ind w:firstLine="0" w:firstLineChars="0"/>
                    <w:jc w:val="center"/>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2</w:t>
                  </w:r>
                </w:p>
              </w:tc>
              <w:tc>
                <w:tcPr>
                  <w:tcW w:w="125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DF21857">
                  <w:pPr>
                    <w:pStyle w:val="29"/>
                    <w:keepNext w:val="0"/>
                    <w:keepLines w:val="0"/>
                    <w:pageBreakBefore w:val="0"/>
                    <w:widowControl w:val="0"/>
                    <w:kinsoku/>
                    <w:wordWrap/>
                    <w:overflowPunct/>
                    <w:topLinePunct w:val="0"/>
                    <w:autoSpaceDE/>
                    <w:bidi w:val="0"/>
                    <w:adjustRightInd/>
                    <w:snapToGrid/>
                    <w:spacing w:line="240" w:lineRule="auto"/>
                    <w:ind w:firstLine="0" w:firstLineChars="0"/>
                    <w:jc w:val="center"/>
                    <w:rPr>
                      <w:rFonts w:hint="default" w:ascii="Times New Roman" w:hAnsi="Times New Roman" w:cs="Times New Roman"/>
                      <w:color w:val="auto"/>
                      <w:kern w:val="2"/>
                      <w:sz w:val="21"/>
                      <w:szCs w:val="21"/>
                      <w:highlight w:val="none"/>
                      <w:lang w:val="en-US" w:eastAsia="zh-CN"/>
                    </w:rPr>
                  </w:pPr>
                  <w:r>
                    <w:rPr>
                      <w:rFonts w:hint="eastAsia" w:cs="Times New Roman"/>
                      <w:b w:val="0"/>
                      <w:bCs w:val="0"/>
                      <w:color w:val="auto"/>
                      <w:sz w:val="21"/>
                      <w:szCs w:val="21"/>
                      <w:highlight w:val="none"/>
                      <w:lang w:val="en-US" w:eastAsia="zh-CN"/>
                    </w:rPr>
                    <w:t>石河镇石河镇段、双拱场段</w:t>
                  </w:r>
                </w:p>
              </w:tc>
              <w:tc>
                <w:tcPr>
                  <w:tcW w:w="10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F45CC8">
                  <w:pPr>
                    <w:pStyle w:val="28"/>
                    <w:ind w:firstLine="0" w:firstLineChars="0"/>
                    <w:rPr>
                      <w:rFonts w:hint="default" w:ascii="Times New Roman" w:hAnsi="Times New Roman" w:eastAsia="宋体" w:cs="Times New Roman"/>
                      <w:snapToGrid w:val="0"/>
                      <w:color w:val="auto"/>
                      <w:kern w:val="0"/>
                      <w:sz w:val="21"/>
                      <w:szCs w:val="21"/>
                      <w:highlight w:val="none"/>
                      <w:lang w:val="en-US" w:eastAsia="zh-CN" w:bidi="ar-SA"/>
                    </w:rPr>
                  </w:pPr>
                  <w:r>
                    <w:rPr>
                      <w:rFonts w:hint="eastAsia"/>
                      <w:color w:val="auto"/>
                      <w:kern w:val="0"/>
                      <w:sz w:val="21"/>
                      <w:szCs w:val="21"/>
                      <w:highlight w:val="none"/>
                      <w:lang w:val="en-US" w:eastAsia="zh-CN"/>
                    </w:rPr>
                    <w:t>96584.96</w:t>
                  </w:r>
                </w:p>
              </w:tc>
              <w:tc>
                <w:tcPr>
                  <w:tcW w:w="9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E76CD1">
                  <w:pPr>
                    <w:pStyle w:val="28"/>
                    <w:ind w:firstLine="0" w:firstLineChars="0"/>
                    <w:rPr>
                      <w:rFonts w:hint="default" w:ascii="Times New Roman" w:hAnsi="Times New Roman" w:eastAsia="宋体" w:cs="Times New Roman"/>
                      <w:snapToGrid w:val="0"/>
                      <w:color w:val="auto"/>
                      <w:kern w:val="0"/>
                      <w:sz w:val="21"/>
                      <w:szCs w:val="21"/>
                      <w:highlight w:val="none"/>
                      <w:lang w:val="en-US" w:eastAsia="zh-CN" w:bidi="ar-SA"/>
                    </w:rPr>
                  </w:pPr>
                  <w:r>
                    <w:rPr>
                      <w:rFonts w:hint="eastAsia"/>
                      <w:color w:val="auto"/>
                      <w:kern w:val="0"/>
                      <w:sz w:val="21"/>
                      <w:szCs w:val="21"/>
                      <w:highlight w:val="none"/>
                      <w:lang w:val="en-US" w:eastAsia="zh-CN"/>
                    </w:rPr>
                    <w:t>12742.3</w:t>
                  </w:r>
                </w:p>
              </w:tc>
              <w:tc>
                <w:tcPr>
                  <w:tcW w:w="10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5D4D7C">
                  <w:pPr>
                    <w:pStyle w:val="28"/>
                    <w:ind w:firstLine="0" w:firstLineChars="0"/>
                    <w:rPr>
                      <w:rFonts w:hint="default" w:ascii="Times New Roman" w:hAnsi="Times New Roman" w:eastAsia="宋体" w:cs="Times New Roman"/>
                      <w:snapToGrid w:val="0"/>
                      <w:color w:val="auto"/>
                      <w:kern w:val="0"/>
                      <w:sz w:val="21"/>
                      <w:szCs w:val="21"/>
                      <w:highlight w:val="none"/>
                      <w:lang w:val="en-US" w:eastAsia="zh-CN" w:bidi="ar-SA"/>
                    </w:rPr>
                  </w:pPr>
                  <w:r>
                    <w:rPr>
                      <w:rFonts w:hint="eastAsia"/>
                      <w:color w:val="auto"/>
                      <w:kern w:val="0"/>
                      <w:sz w:val="21"/>
                      <w:szCs w:val="21"/>
                      <w:highlight w:val="none"/>
                      <w:lang w:val="en-US" w:eastAsia="zh-CN"/>
                    </w:rPr>
                    <w:t>83565.29</w:t>
                  </w:r>
                </w:p>
              </w:tc>
              <w:tc>
                <w:tcPr>
                  <w:tcW w:w="90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F7D60">
                  <w:pPr>
                    <w:pStyle w:val="27"/>
                    <w:kinsoku w:val="0"/>
                    <w:overflowPunct w:val="0"/>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0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5EF6B7">
                  <w:pPr>
                    <w:pStyle w:val="28"/>
                    <w:ind w:firstLine="0" w:firstLineChars="0"/>
                    <w:rPr>
                      <w:rFonts w:hint="default" w:ascii="Times New Roman" w:hAnsi="Times New Roman" w:eastAsia="宋体" w:cs="Times New Roman"/>
                      <w:snapToGrid w:val="0"/>
                      <w:color w:val="auto"/>
                      <w:kern w:val="0"/>
                      <w:sz w:val="21"/>
                      <w:szCs w:val="21"/>
                      <w:highlight w:val="none"/>
                      <w:lang w:val="en-US" w:eastAsia="zh-CN" w:bidi="ar-SA"/>
                    </w:rPr>
                  </w:pPr>
                  <w:r>
                    <w:rPr>
                      <w:rFonts w:hint="eastAsia"/>
                      <w:color w:val="auto"/>
                      <w:kern w:val="0"/>
                      <w:sz w:val="21"/>
                      <w:szCs w:val="21"/>
                      <w:highlight w:val="none"/>
                      <w:lang w:val="en-US" w:eastAsia="zh-CN"/>
                    </w:rPr>
                    <w:t>8448.4</w:t>
                  </w:r>
                </w:p>
              </w:tc>
              <w:tc>
                <w:tcPr>
                  <w:tcW w:w="90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B80766">
                  <w:pPr>
                    <w:pStyle w:val="28"/>
                    <w:ind w:firstLine="0" w:firstLineChars="0"/>
                    <w:rPr>
                      <w:rFonts w:hint="default" w:ascii="Times New Roman" w:hAnsi="Times New Roman" w:eastAsia="宋体" w:cs="Times New Roman"/>
                      <w:snapToGrid w:val="0"/>
                      <w:color w:val="auto"/>
                      <w:kern w:val="0"/>
                      <w:sz w:val="21"/>
                      <w:szCs w:val="21"/>
                      <w:highlight w:val="none"/>
                      <w:lang w:val="en-US" w:eastAsia="zh-CN" w:bidi="ar-SA"/>
                    </w:rPr>
                  </w:pPr>
                  <w:r>
                    <w:rPr>
                      <w:rFonts w:hint="eastAsia"/>
                      <w:color w:val="auto"/>
                      <w:kern w:val="0"/>
                      <w:sz w:val="21"/>
                      <w:szCs w:val="21"/>
                      <w:highlight w:val="none"/>
                      <w:lang w:val="en-US" w:eastAsia="zh-CN"/>
                    </w:rPr>
                    <w:t>16427.3</w:t>
                  </w:r>
                </w:p>
              </w:tc>
              <w:tc>
                <w:tcPr>
                  <w:tcW w:w="91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9F154D">
                  <w:pPr>
                    <w:pStyle w:val="28"/>
                    <w:ind w:firstLine="0" w:firstLineChars="0"/>
                    <w:rPr>
                      <w:rFonts w:hint="default" w:ascii="Times New Roman" w:hAnsi="Times New Roman" w:eastAsia="宋体" w:cs="Times New Roman"/>
                      <w:snapToGrid w:val="0"/>
                      <w:color w:val="auto"/>
                      <w:kern w:val="0"/>
                      <w:sz w:val="21"/>
                      <w:szCs w:val="21"/>
                      <w:highlight w:val="none"/>
                      <w:lang w:val="en-US" w:eastAsia="zh-CN" w:bidi="ar-SA"/>
                    </w:rPr>
                  </w:pPr>
                  <w:r>
                    <w:rPr>
                      <w:rFonts w:hint="eastAsia"/>
                      <w:color w:val="auto"/>
                      <w:kern w:val="0"/>
                      <w:sz w:val="21"/>
                      <w:szCs w:val="21"/>
                      <w:highlight w:val="none"/>
                      <w:lang w:val="en-US" w:eastAsia="zh-CN"/>
                    </w:rPr>
                    <w:t>173.2</w:t>
                  </w:r>
                </w:p>
              </w:tc>
              <w:tc>
                <w:tcPr>
                  <w:tcW w:w="776" w:type="dxa"/>
                  <w:tcBorders>
                    <w:top w:val="single" w:color="000000" w:sz="4" w:space="0"/>
                    <w:left w:val="single" w:color="000000" w:sz="4" w:space="0"/>
                    <w:bottom w:val="single" w:color="000000" w:sz="4" w:space="0"/>
                    <w:right w:val="single" w:color="000000" w:sz="8" w:space="0"/>
                  </w:tcBorders>
                  <w:shd w:val="clear" w:color="auto" w:fill="FFFFFF"/>
                  <w:noWrap w:val="0"/>
                  <w:vAlign w:val="center"/>
                </w:tcPr>
                <w:p w14:paraId="232C0CDF">
                  <w:pPr>
                    <w:pStyle w:val="28"/>
                    <w:ind w:firstLine="0" w:firstLineChars="0"/>
                    <w:rPr>
                      <w:rFonts w:hint="default" w:ascii="Times New Roman" w:hAnsi="Times New Roman" w:eastAsia="宋体" w:cs="Times New Roman"/>
                      <w:snapToGrid w:val="0"/>
                      <w:color w:val="auto"/>
                      <w:kern w:val="0"/>
                      <w:sz w:val="21"/>
                      <w:szCs w:val="21"/>
                      <w:highlight w:val="none"/>
                      <w:lang w:val="en-US" w:eastAsia="zh-CN" w:bidi="ar-SA"/>
                    </w:rPr>
                  </w:pPr>
                  <w:r>
                    <w:rPr>
                      <w:rFonts w:hint="eastAsia"/>
                      <w:color w:val="auto"/>
                      <w:kern w:val="0"/>
                      <w:sz w:val="21"/>
                      <w:szCs w:val="21"/>
                      <w:highlight w:val="none"/>
                      <w:lang w:val="en-US" w:eastAsia="zh-CN"/>
                    </w:rPr>
                    <w:t>44232.5</w:t>
                  </w:r>
                </w:p>
              </w:tc>
            </w:tr>
          </w:tbl>
          <w:p w14:paraId="37BA466C">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bCs/>
                <w:color w:val="auto"/>
                <w:highlight w:val="none"/>
              </w:rPr>
              <w:t>表2.3-</w:t>
            </w:r>
            <w:r>
              <w:rPr>
                <w:rFonts w:hint="default" w:ascii="Times New Roman" w:hAnsi="Times New Roman" w:cs="Times New Roman"/>
                <w:b/>
                <w:bCs/>
                <w:color w:val="auto"/>
                <w:highlight w:val="none"/>
                <w:lang w:val="en-US" w:eastAsia="zh-CN"/>
              </w:rPr>
              <w:t>1</w:t>
            </w:r>
            <w:r>
              <w:rPr>
                <w:rFonts w:hint="eastAsia" w:cs="Times New Roman"/>
                <w:b/>
                <w:bCs/>
                <w:color w:val="auto"/>
                <w:highlight w:val="none"/>
                <w:lang w:val="en-US" w:eastAsia="zh-CN"/>
              </w:rPr>
              <w:t>2</w:t>
            </w:r>
            <w:r>
              <w:rPr>
                <w:rFonts w:hint="default" w:ascii="Times New Roman" w:hAnsi="Times New Roman" w:cs="Times New Roman"/>
                <w:b/>
                <w:bCs/>
                <w:color w:val="auto"/>
                <w:highlight w:val="none"/>
              </w:rPr>
              <w:t xml:space="preserve"> 本项目</w:t>
            </w:r>
            <w:r>
              <w:rPr>
                <w:rFonts w:hint="eastAsia" w:cs="Times New Roman"/>
                <w:b/>
                <w:bCs/>
                <w:color w:val="auto"/>
                <w:highlight w:val="none"/>
                <w:lang w:val="en-US" w:eastAsia="zh-CN"/>
              </w:rPr>
              <w:t>石河镇</w:t>
            </w:r>
            <w:r>
              <w:rPr>
                <w:rFonts w:hint="default" w:ascii="Times New Roman" w:hAnsi="Times New Roman" w:cs="Times New Roman"/>
                <w:b/>
                <w:bCs/>
                <w:color w:val="auto"/>
                <w:highlight w:val="none"/>
              </w:rPr>
              <w:t>临时工程量一览表</w:t>
            </w:r>
          </w:p>
          <w:tbl>
            <w:tblPr>
              <w:tblStyle w:val="11"/>
              <w:tblW w:w="8998" w:type="dxa"/>
              <w:tblInd w:w="0" w:type="dxa"/>
              <w:tblLayout w:type="fixed"/>
              <w:tblCellMar>
                <w:top w:w="0" w:type="dxa"/>
                <w:left w:w="108" w:type="dxa"/>
                <w:bottom w:w="0" w:type="dxa"/>
                <w:right w:w="108" w:type="dxa"/>
              </w:tblCellMar>
            </w:tblPr>
            <w:tblGrid>
              <w:gridCol w:w="1780"/>
              <w:gridCol w:w="4202"/>
              <w:gridCol w:w="1678"/>
              <w:gridCol w:w="1338"/>
            </w:tblGrid>
            <w:tr w14:paraId="01C7AF5D">
              <w:tblPrEx>
                <w:tblCellMar>
                  <w:top w:w="0" w:type="dxa"/>
                  <w:left w:w="108" w:type="dxa"/>
                  <w:bottom w:w="0" w:type="dxa"/>
                  <w:right w:w="108" w:type="dxa"/>
                </w:tblCellMar>
              </w:tblPrEx>
              <w:trPr>
                <w:trHeight w:val="375" w:hRule="atLeast"/>
              </w:trPr>
              <w:tc>
                <w:tcPr>
                  <w:tcW w:w="1780" w:type="dxa"/>
                  <w:tcBorders>
                    <w:top w:val="single" w:color="000000" w:sz="8" w:space="0"/>
                    <w:left w:val="single" w:color="000000" w:sz="8" w:space="0"/>
                    <w:bottom w:val="single" w:color="000000" w:sz="4" w:space="0"/>
                    <w:right w:val="single" w:color="000000" w:sz="4" w:space="0"/>
                  </w:tcBorders>
                  <w:shd w:val="solid" w:color="FFFFFF" w:fill="auto"/>
                  <w:noWrap w:val="0"/>
                  <w:vAlign w:val="center"/>
                </w:tcPr>
                <w:p w14:paraId="6842E599">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序号</w:t>
                  </w:r>
                </w:p>
              </w:tc>
              <w:tc>
                <w:tcPr>
                  <w:tcW w:w="4202" w:type="dxa"/>
                  <w:tcBorders>
                    <w:top w:val="single" w:color="000000" w:sz="8" w:space="0"/>
                    <w:left w:val="single" w:color="000000" w:sz="4" w:space="0"/>
                    <w:bottom w:val="single" w:color="000000" w:sz="4" w:space="0"/>
                    <w:right w:val="single" w:color="000000" w:sz="4" w:space="0"/>
                  </w:tcBorders>
                  <w:shd w:val="solid" w:color="FFFFFF" w:fill="auto"/>
                  <w:noWrap w:val="0"/>
                  <w:vAlign w:val="center"/>
                </w:tcPr>
                <w:p w14:paraId="3E6A767D">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工程名称</w:t>
                  </w:r>
                </w:p>
              </w:tc>
              <w:tc>
                <w:tcPr>
                  <w:tcW w:w="1678" w:type="dxa"/>
                  <w:tcBorders>
                    <w:top w:val="single" w:color="000000" w:sz="8" w:space="0"/>
                    <w:left w:val="single" w:color="000000" w:sz="4" w:space="0"/>
                    <w:bottom w:val="single" w:color="000000" w:sz="4" w:space="0"/>
                    <w:right w:val="single" w:color="000000" w:sz="4" w:space="0"/>
                  </w:tcBorders>
                  <w:shd w:val="solid" w:color="FFFFFF" w:fill="auto"/>
                  <w:noWrap w:val="0"/>
                  <w:vAlign w:val="center"/>
                </w:tcPr>
                <w:p w14:paraId="48F05F56">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单位</w:t>
                  </w:r>
                </w:p>
              </w:tc>
              <w:tc>
                <w:tcPr>
                  <w:tcW w:w="1338" w:type="dxa"/>
                  <w:tcBorders>
                    <w:top w:val="single" w:color="000000" w:sz="8" w:space="0"/>
                    <w:left w:val="single" w:color="000000" w:sz="4" w:space="0"/>
                    <w:bottom w:val="single" w:color="000000" w:sz="4" w:space="0"/>
                    <w:right w:val="single" w:color="000000" w:sz="4" w:space="0"/>
                  </w:tcBorders>
                  <w:shd w:val="solid" w:color="FFFFFF" w:fill="auto"/>
                  <w:noWrap w:val="0"/>
                  <w:vAlign w:val="center"/>
                </w:tcPr>
                <w:p w14:paraId="3820C831">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数量</w:t>
                  </w:r>
                </w:p>
              </w:tc>
            </w:tr>
            <w:tr w14:paraId="2E534369">
              <w:tblPrEx>
                <w:tblCellMar>
                  <w:top w:w="0" w:type="dxa"/>
                  <w:left w:w="108" w:type="dxa"/>
                  <w:bottom w:w="0" w:type="dxa"/>
                  <w:right w:w="108" w:type="dxa"/>
                </w:tblCellMar>
              </w:tblPrEx>
              <w:trPr>
                <w:trHeight w:val="375" w:hRule="atLeast"/>
              </w:trPr>
              <w:tc>
                <w:tcPr>
                  <w:tcW w:w="8998" w:type="dxa"/>
                  <w:gridSpan w:val="4"/>
                  <w:tcBorders>
                    <w:top w:val="single" w:color="000000" w:sz="8" w:space="0"/>
                    <w:left w:val="single" w:color="000000" w:sz="8" w:space="0"/>
                    <w:bottom w:val="single" w:color="000000" w:sz="4" w:space="0"/>
                    <w:right w:val="single" w:color="000000" w:sz="4" w:space="0"/>
                  </w:tcBorders>
                  <w:shd w:val="solid" w:color="FFFFFF" w:fill="auto"/>
                  <w:noWrap w:val="0"/>
                  <w:vAlign w:val="center"/>
                </w:tcPr>
                <w:p w14:paraId="768E72BD">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cs="Times New Roman"/>
                      <w:b/>
                      <w:bCs/>
                      <w:color w:val="auto"/>
                      <w:sz w:val="21"/>
                      <w:szCs w:val="21"/>
                      <w:highlight w:val="none"/>
                      <w:lang w:val="en-US" w:eastAsia="zh-CN"/>
                    </w:rPr>
                    <w:t>石河镇二郎段、福兴段</w:t>
                  </w:r>
                </w:p>
              </w:tc>
            </w:tr>
            <w:tr w14:paraId="61EA3080">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2279A90E">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一</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03A0CFA">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导流工程</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2283BC1">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2466CF3">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r>
            <w:tr w14:paraId="6C594AFD">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6ACEF5E3">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0D75D64">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围堰填筑</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CB421BE">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m</w:t>
                  </w:r>
                  <w:r>
                    <w:rPr>
                      <w:rFonts w:hint="default" w:ascii="Times New Roman" w:hAnsi="Times New Roman" w:cs="Times New Roman"/>
                      <w:color w:val="auto"/>
                      <w:kern w:val="2"/>
                      <w:sz w:val="21"/>
                      <w:szCs w:val="21"/>
                      <w:highlight w:val="none"/>
                      <w:vertAlign w:val="superscript"/>
                      <w:lang w:val="en-US" w:eastAsia="zh-CN"/>
                    </w:rPr>
                    <w:t>3</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D61B152">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2</w:t>
                  </w:r>
                  <w:r>
                    <w:rPr>
                      <w:rFonts w:hint="default" w:ascii="Times New Roman" w:hAnsi="Times New Roman" w:cs="Times New Roman"/>
                      <w:color w:val="auto"/>
                      <w:kern w:val="2"/>
                      <w:sz w:val="21"/>
                      <w:szCs w:val="21"/>
                      <w:highlight w:val="none"/>
                      <w:lang w:val="en-US" w:eastAsia="zh-CN"/>
                    </w:rPr>
                    <w:t>4610</w:t>
                  </w:r>
                </w:p>
              </w:tc>
            </w:tr>
            <w:tr w14:paraId="414BEA52">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0EF32C3D">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2</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4021C53">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编织袋土方填筑</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41FC98D">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m</w:t>
                  </w:r>
                  <w:r>
                    <w:rPr>
                      <w:rFonts w:hint="default" w:ascii="Times New Roman" w:hAnsi="Times New Roman" w:cs="Times New Roman"/>
                      <w:color w:val="auto"/>
                      <w:kern w:val="2"/>
                      <w:sz w:val="21"/>
                      <w:szCs w:val="21"/>
                      <w:highlight w:val="none"/>
                      <w:vertAlign w:val="superscript"/>
                      <w:lang w:val="en-US" w:eastAsia="zh-CN"/>
                    </w:rPr>
                    <w:t>3</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62F20EC">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5040</w:t>
                  </w:r>
                </w:p>
              </w:tc>
            </w:tr>
            <w:tr w14:paraId="2AB14BE8">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3AC77169">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3</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0D583A9">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土工膜防渗</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A95D1EA">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m</w:t>
                  </w:r>
                  <w:r>
                    <w:rPr>
                      <w:rFonts w:hint="default" w:ascii="Times New Roman" w:hAnsi="Times New Roman" w:cs="Times New Roman"/>
                      <w:color w:val="auto"/>
                      <w:kern w:val="2"/>
                      <w:sz w:val="21"/>
                      <w:szCs w:val="21"/>
                      <w:highlight w:val="none"/>
                      <w:vertAlign w:val="superscript"/>
                      <w:lang w:val="en-US" w:eastAsia="zh-CN"/>
                    </w:rPr>
                    <w:t>2</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B277379">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18535</w:t>
                  </w:r>
                </w:p>
              </w:tc>
            </w:tr>
            <w:tr w14:paraId="341B0BBE">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0F18C984">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9BC092D">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围堰拆除</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84EEFD2">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m</w:t>
                  </w:r>
                  <w:r>
                    <w:rPr>
                      <w:rFonts w:hint="default" w:ascii="Times New Roman" w:hAnsi="Times New Roman" w:cs="Times New Roman"/>
                      <w:color w:val="auto"/>
                      <w:kern w:val="2"/>
                      <w:sz w:val="21"/>
                      <w:szCs w:val="21"/>
                      <w:highlight w:val="none"/>
                      <w:vertAlign w:val="superscript"/>
                      <w:lang w:val="en-US" w:eastAsia="zh-CN"/>
                    </w:rPr>
                    <w:t>3</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F87FC88">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18668</w:t>
                  </w:r>
                </w:p>
              </w:tc>
            </w:tr>
            <w:tr w14:paraId="05553DE9">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77044267">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5</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8ACC325">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拦河坝堰岩石开挖(机械)</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E36F2D8">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m</w:t>
                  </w:r>
                  <w:r>
                    <w:rPr>
                      <w:rFonts w:hint="default" w:ascii="Times New Roman" w:hAnsi="Times New Roman" w:cs="Times New Roman"/>
                      <w:color w:val="auto"/>
                      <w:kern w:val="2"/>
                      <w:sz w:val="21"/>
                      <w:szCs w:val="21"/>
                      <w:highlight w:val="none"/>
                      <w:vertAlign w:val="superscript"/>
                      <w:lang w:val="en-US" w:eastAsia="zh-CN"/>
                    </w:rPr>
                    <w:t>3</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A3A176A">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426</w:t>
                  </w:r>
                </w:p>
              </w:tc>
            </w:tr>
            <w:tr w14:paraId="06EB60F7">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517860F2">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6</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3BACB61">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拦河坝堰浆砌石拆除</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B5FAB33">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m</w:t>
                  </w:r>
                  <w:r>
                    <w:rPr>
                      <w:rFonts w:hint="default" w:ascii="Times New Roman" w:hAnsi="Times New Roman" w:cs="Times New Roman"/>
                      <w:color w:val="auto"/>
                      <w:kern w:val="2"/>
                      <w:sz w:val="21"/>
                      <w:szCs w:val="21"/>
                      <w:highlight w:val="none"/>
                      <w:vertAlign w:val="superscript"/>
                      <w:lang w:val="en-US" w:eastAsia="zh-CN"/>
                    </w:rPr>
                    <w:t>3</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47457D0C">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156</w:t>
                  </w:r>
                </w:p>
              </w:tc>
            </w:tr>
            <w:tr w14:paraId="34330EAF">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5C044BEB">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7</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DCA065C">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拦河坝堰M10浆砌石恢复</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55AB853">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m</w:t>
                  </w:r>
                  <w:r>
                    <w:rPr>
                      <w:rFonts w:hint="default" w:ascii="Times New Roman" w:hAnsi="Times New Roman" w:cs="Times New Roman"/>
                      <w:color w:val="auto"/>
                      <w:kern w:val="2"/>
                      <w:sz w:val="21"/>
                      <w:szCs w:val="21"/>
                      <w:highlight w:val="none"/>
                      <w:vertAlign w:val="superscript"/>
                      <w:lang w:val="en-US" w:eastAsia="zh-CN"/>
                    </w:rPr>
                    <w:t>3</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1FE956C">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156</w:t>
                  </w:r>
                </w:p>
              </w:tc>
            </w:tr>
            <w:tr w14:paraId="1DB4377F">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24DDE009">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8</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971EDCC">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拦河坝堰C20砼恢复</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446C0F9">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m</w:t>
                  </w:r>
                  <w:r>
                    <w:rPr>
                      <w:rFonts w:hint="default" w:ascii="Times New Roman" w:hAnsi="Times New Roman" w:cs="Times New Roman"/>
                      <w:color w:val="auto"/>
                      <w:kern w:val="2"/>
                      <w:sz w:val="21"/>
                      <w:szCs w:val="21"/>
                      <w:highlight w:val="none"/>
                      <w:vertAlign w:val="superscript"/>
                      <w:lang w:val="en-US" w:eastAsia="zh-CN"/>
                    </w:rPr>
                    <w:t>3</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3DF4F6F">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426</w:t>
                  </w:r>
                </w:p>
              </w:tc>
            </w:tr>
            <w:tr w14:paraId="733A1241">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6D1DF592">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9</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B96BA58">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模板</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46DDB67">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m</w:t>
                  </w:r>
                  <w:r>
                    <w:rPr>
                      <w:rFonts w:hint="default" w:ascii="Times New Roman" w:hAnsi="Times New Roman" w:cs="Times New Roman"/>
                      <w:color w:val="auto"/>
                      <w:kern w:val="2"/>
                      <w:sz w:val="21"/>
                      <w:szCs w:val="21"/>
                      <w:highlight w:val="none"/>
                      <w:vertAlign w:val="superscript"/>
                      <w:lang w:val="en-US" w:eastAsia="zh-CN"/>
                    </w:rPr>
                    <w:t>2</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BEFB08F">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412</w:t>
                  </w:r>
                </w:p>
              </w:tc>
            </w:tr>
            <w:tr w14:paraId="00697B9E">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316E6E90">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二</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95A558B">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施工交通工程</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0D86C78">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C6BB2EA">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r>
            <w:tr w14:paraId="74F68902">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51CA8A0C">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ED771C1">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施工道路</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D7974B7">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m</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4F137C0">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1582.4</w:t>
                  </w:r>
                </w:p>
              </w:tc>
            </w:tr>
            <w:tr w14:paraId="249A3918">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5F1327DC">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三</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70A4082">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施工供电工程</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2E10A1B">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4300DD8">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r>
            <w:tr w14:paraId="7BB73434">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1A64F58F">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8D68F9A">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10kv供电线路</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29C7D50D">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km</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C311079">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3</w:t>
                  </w:r>
                </w:p>
              </w:tc>
            </w:tr>
            <w:tr w14:paraId="7ABAFEC2">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2E272A9F">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2</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610B679">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变配电设施(200KVA)</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ED4999E">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项</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6A30FF0">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2</w:t>
                  </w:r>
                </w:p>
              </w:tc>
            </w:tr>
            <w:tr w14:paraId="016D81E0">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5D95A860">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3</w:t>
                  </w:r>
                </w:p>
              </w:tc>
              <w:tc>
                <w:tcPr>
                  <w:tcW w:w="42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A30A59">
                  <w:pPr>
                    <w:pStyle w:val="27"/>
                    <w:kinsoku w:val="0"/>
                    <w:overflowPunct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50kW 柴油发电机</w:t>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936657">
                  <w:pPr>
                    <w:pStyle w:val="27"/>
                    <w:kinsoku w:val="0"/>
                    <w:overflowPunct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台</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CAA0F5E">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2</w:t>
                  </w:r>
                </w:p>
              </w:tc>
            </w:tr>
            <w:tr w14:paraId="4BB4472A">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09DA7F52">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四</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C62A761">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施工房屋建筑工程</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1085C7C">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76FE6BB">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r>
            <w:tr w14:paraId="709B588C">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2A3F50B8">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5468E06">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施工仓库（租赁）</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FD8D602">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m</w:t>
                  </w:r>
                  <w:r>
                    <w:rPr>
                      <w:rFonts w:hint="default" w:ascii="Times New Roman" w:hAnsi="Times New Roman" w:cs="Times New Roman"/>
                      <w:color w:val="auto"/>
                      <w:kern w:val="2"/>
                      <w:sz w:val="21"/>
                      <w:szCs w:val="21"/>
                      <w:highlight w:val="none"/>
                      <w:vertAlign w:val="superscript"/>
                      <w:lang w:val="en-US" w:eastAsia="zh-CN"/>
                    </w:rPr>
                    <w:t>2</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DE3A255">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1500</w:t>
                  </w:r>
                </w:p>
              </w:tc>
            </w:tr>
            <w:tr w14:paraId="4EE03ABE">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519F0832">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2</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2C9C6F9">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办公、生活及文化福利建筑</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B374A9F">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m</w:t>
                  </w:r>
                  <w:r>
                    <w:rPr>
                      <w:rFonts w:hint="default" w:ascii="Times New Roman" w:hAnsi="Times New Roman" w:cs="Times New Roman"/>
                      <w:color w:val="auto"/>
                      <w:kern w:val="2"/>
                      <w:sz w:val="21"/>
                      <w:szCs w:val="21"/>
                      <w:highlight w:val="none"/>
                      <w:vertAlign w:val="superscript"/>
                      <w:lang w:val="en-US" w:eastAsia="zh-CN"/>
                    </w:rPr>
                    <w:t>2</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DE3CD7A">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400</w:t>
                  </w:r>
                </w:p>
              </w:tc>
            </w:tr>
            <w:tr w14:paraId="1AABFD5D">
              <w:tblPrEx>
                <w:tblCellMar>
                  <w:top w:w="0" w:type="dxa"/>
                  <w:left w:w="108" w:type="dxa"/>
                  <w:bottom w:w="0" w:type="dxa"/>
                  <w:right w:w="108" w:type="dxa"/>
                </w:tblCellMar>
              </w:tblPrEx>
              <w:trPr>
                <w:cantSplit/>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1EDE50C4">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五</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3CF043B">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其他施工临时工程</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3931771F">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0C5297A">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r>
            <w:tr w14:paraId="0B0EC7B6">
              <w:tblPrEx>
                <w:tblCellMar>
                  <w:top w:w="0" w:type="dxa"/>
                  <w:left w:w="108" w:type="dxa"/>
                  <w:bottom w:w="0" w:type="dxa"/>
                  <w:right w:w="108" w:type="dxa"/>
                </w:tblCellMar>
              </w:tblPrEx>
              <w:trPr>
                <w:trHeight w:val="355"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391932BA">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553FB1CA">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施工临时排水</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A8BE8C2">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台时</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68BC713F">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8460</w:t>
                  </w:r>
                </w:p>
              </w:tc>
            </w:tr>
            <w:tr w14:paraId="0BC9F739">
              <w:tblPrEx>
                <w:tblCellMar>
                  <w:top w:w="0" w:type="dxa"/>
                  <w:left w:w="108" w:type="dxa"/>
                  <w:bottom w:w="0" w:type="dxa"/>
                  <w:right w:w="108" w:type="dxa"/>
                </w:tblCellMar>
              </w:tblPrEx>
              <w:trPr>
                <w:trHeight w:val="364" w:hRule="atLeast"/>
              </w:trPr>
              <w:tc>
                <w:tcPr>
                  <w:tcW w:w="1780" w:type="dxa"/>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44E0BB13">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2</w:t>
                  </w:r>
                </w:p>
              </w:tc>
              <w:tc>
                <w:tcPr>
                  <w:tcW w:w="4202"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7656DAF7">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其他施工临时工程</w:t>
                  </w:r>
                </w:p>
              </w:tc>
              <w:tc>
                <w:tcPr>
                  <w:tcW w:w="167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04A4CB71">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w:t>
                  </w:r>
                </w:p>
              </w:tc>
              <w:tc>
                <w:tcPr>
                  <w:tcW w:w="1338" w:type="dxa"/>
                  <w:tcBorders>
                    <w:top w:val="single" w:color="000000" w:sz="4" w:space="0"/>
                    <w:left w:val="single" w:color="000000" w:sz="4" w:space="0"/>
                    <w:bottom w:val="single" w:color="000000" w:sz="4" w:space="0"/>
                    <w:right w:val="single" w:color="000000" w:sz="4" w:space="0"/>
                  </w:tcBorders>
                  <w:shd w:val="solid" w:color="FFFFFF" w:fill="auto"/>
                  <w:noWrap w:val="0"/>
                  <w:vAlign w:val="center"/>
                </w:tcPr>
                <w:p w14:paraId="1AB7F1C6">
                  <w:pPr>
                    <w:pStyle w:val="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1</w:t>
                  </w:r>
                </w:p>
              </w:tc>
            </w:tr>
            <w:tr w14:paraId="3EEADD37">
              <w:tblPrEx>
                <w:tblCellMar>
                  <w:top w:w="0" w:type="dxa"/>
                  <w:left w:w="108" w:type="dxa"/>
                  <w:bottom w:w="0" w:type="dxa"/>
                  <w:right w:w="108" w:type="dxa"/>
                </w:tblCellMar>
              </w:tblPrEx>
              <w:trPr>
                <w:trHeight w:val="364" w:hRule="atLeast"/>
              </w:trPr>
              <w:tc>
                <w:tcPr>
                  <w:tcW w:w="8998" w:type="dxa"/>
                  <w:gridSpan w:val="4"/>
                  <w:tcBorders>
                    <w:top w:val="single" w:color="000000" w:sz="4" w:space="0"/>
                    <w:left w:val="single" w:color="000000" w:sz="8" w:space="0"/>
                    <w:bottom w:val="single" w:color="000000" w:sz="4" w:space="0"/>
                    <w:right w:val="single" w:color="000000" w:sz="4" w:space="0"/>
                  </w:tcBorders>
                  <w:shd w:val="solid" w:color="FFFFFF" w:fill="auto"/>
                  <w:noWrap w:val="0"/>
                  <w:vAlign w:val="center"/>
                </w:tcPr>
                <w:p w14:paraId="0AE574AA">
                  <w:pPr>
                    <w:pStyle w:val="27"/>
                    <w:widowControl/>
                    <w:kinsoku w:val="0"/>
                    <w:overflowPunct w:val="0"/>
                    <w:autoSpaceDE/>
                    <w:autoSpaceDN/>
                    <w:adjustRightInd/>
                    <w:spacing w:line="240" w:lineRule="auto"/>
                    <w:ind w:firstLine="0" w:firstLineChars="0"/>
                    <w:jc w:val="center"/>
                    <w:rPr>
                      <w:rFonts w:hint="default" w:ascii="Times New Roman" w:hAnsi="Times New Roman" w:cs="Times New Roman"/>
                      <w:color w:val="auto"/>
                      <w:kern w:val="2"/>
                      <w:sz w:val="21"/>
                      <w:szCs w:val="21"/>
                      <w:highlight w:val="none"/>
                      <w:lang w:val="en-US" w:eastAsia="zh-CN"/>
                    </w:rPr>
                  </w:pPr>
                  <w:r>
                    <w:rPr>
                      <w:rFonts w:hint="eastAsia" w:cs="Times New Roman"/>
                      <w:b/>
                      <w:bCs/>
                      <w:color w:val="auto"/>
                      <w:sz w:val="21"/>
                      <w:szCs w:val="21"/>
                      <w:highlight w:val="none"/>
                      <w:lang w:val="en-US" w:eastAsia="zh-CN"/>
                    </w:rPr>
                    <w:t>石河镇石河镇段、双拱场段</w:t>
                  </w:r>
                </w:p>
              </w:tc>
            </w:tr>
            <w:tr w14:paraId="293D96D2">
              <w:tblPrEx>
                <w:tblCellMar>
                  <w:top w:w="0" w:type="dxa"/>
                  <w:left w:w="108" w:type="dxa"/>
                  <w:bottom w:w="0" w:type="dxa"/>
                  <w:right w:w="108" w:type="dxa"/>
                </w:tblCellMar>
              </w:tblPrEx>
              <w:trPr>
                <w:trHeight w:val="364" w:hRule="atLeast"/>
              </w:trPr>
              <w:tc>
                <w:tcPr>
                  <w:tcW w:w="178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EE082A">
                  <w:pPr>
                    <w:spacing w:line="240" w:lineRule="exact"/>
                    <w:ind w:firstLine="0" w:firstLineChars="0"/>
                    <w:jc w:val="center"/>
                    <w:rPr>
                      <w:rFonts w:hint="default" w:ascii="Times New Roman" w:hAnsi="Times New Roman" w:eastAsia="宋体" w:cs="Times New Roman"/>
                      <w:b/>
                      <w:bCs/>
                      <w:snapToGrid w:val="0"/>
                      <w:color w:val="auto"/>
                      <w:sz w:val="21"/>
                      <w:szCs w:val="21"/>
                      <w:highlight w:val="none"/>
                      <w:lang w:val="en-US" w:eastAsia="zh-CN" w:bidi="ar-SA"/>
                    </w:rPr>
                  </w:pPr>
                  <w:r>
                    <w:rPr>
                      <w:rFonts w:hint="eastAsia"/>
                      <w:b/>
                      <w:bCs/>
                      <w:color w:val="auto"/>
                      <w:sz w:val="21"/>
                      <w:szCs w:val="21"/>
                      <w:highlight w:val="none"/>
                    </w:rPr>
                    <w:t>一</w:t>
                  </w:r>
                </w:p>
              </w:tc>
              <w:tc>
                <w:tcPr>
                  <w:tcW w:w="42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A93BE">
                  <w:pPr>
                    <w:spacing w:line="240" w:lineRule="exact"/>
                    <w:ind w:firstLine="0" w:firstLineChars="0"/>
                    <w:jc w:val="left"/>
                    <w:rPr>
                      <w:rFonts w:hint="default" w:ascii="Times New Roman" w:hAnsi="Times New Roman" w:eastAsia="宋体" w:cs="Times New Roman"/>
                      <w:b/>
                      <w:bCs/>
                      <w:snapToGrid w:val="0"/>
                      <w:color w:val="auto"/>
                      <w:sz w:val="21"/>
                      <w:szCs w:val="21"/>
                      <w:highlight w:val="none"/>
                      <w:lang w:val="en-US" w:eastAsia="zh-CN" w:bidi="ar-SA"/>
                    </w:rPr>
                  </w:pPr>
                  <w:r>
                    <w:rPr>
                      <w:rFonts w:hint="eastAsia"/>
                      <w:b/>
                      <w:bCs/>
                      <w:color w:val="auto"/>
                      <w:sz w:val="21"/>
                      <w:szCs w:val="21"/>
                      <w:highlight w:val="none"/>
                    </w:rPr>
                    <w:t>石河镇段</w:t>
                  </w:r>
                </w:p>
              </w:tc>
              <w:tc>
                <w:tcPr>
                  <w:tcW w:w="167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4BD45C">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45BF3">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p>
              </w:tc>
            </w:tr>
            <w:tr w14:paraId="674E9C7E">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90BBCF">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(一)</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4B9F">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导流工程</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C374">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7D181">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p>
              </w:tc>
            </w:tr>
            <w:tr w14:paraId="1786F557">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AA1A9F">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13B3">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渣料填筑(围堰利用开挖料)</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1C7C6">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9B95">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6759.78</w:t>
                  </w:r>
                </w:p>
              </w:tc>
            </w:tr>
            <w:tr w14:paraId="044B94B9">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402437">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2</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C9C3">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渣料编织袋填筑(围堰利用开挖料)</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top"/>
                </w:tcPr>
                <w:p w14:paraId="18FDC06F">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E5D58">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4812.99</w:t>
                  </w:r>
                </w:p>
              </w:tc>
            </w:tr>
            <w:tr w14:paraId="7C21EF88">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CA3BED">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3</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A173">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围堰拆除</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top"/>
                </w:tcPr>
                <w:p w14:paraId="1D171578">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A277">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11572.77</w:t>
                  </w:r>
                </w:p>
              </w:tc>
            </w:tr>
            <w:tr w14:paraId="6CFF1520">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C106D7">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4</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0C04F">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复合土工膜(围堰)</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F3CD">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2</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1D5A">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9625.98</w:t>
                  </w:r>
                </w:p>
              </w:tc>
            </w:tr>
            <w:tr w14:paraId="0294AC9B">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7AFBAD">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5</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3B666">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石梁子拦河坝浆砌石拆除</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top"/>
                </w:tcPr>
                <w:p w14:paraId="7D4FA6CD">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5691C">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19.80</w:t>
                  </w:r>
                </w:p>
              </w:tc>
            </w:tr>
            <w:tr w14:paraId="38ADCE1A">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14E3B7">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6</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ABBEE">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石梁子拦河坝M10浆砌石恢复</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top"/>
                </w:tcPr>
                <w:p w14:paraId="5E282070">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D40A">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19.80</w:t>
                  </w:r>
                </w:p>
              </w:tc>
            </w:tr>
            <w:tr w14:paraId="464EDCB3">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DCF7CB">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7</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23B69">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lang w:eastAsia="zh-CN"/>
                    </w:rPr>
                    <w:t>基坑渗水</w:t>
                  </w:r>
                  <w:r>
                    <w:rPr>
                      <w:rFonts w:hint="eastAsia"/>
                      <w:color w:val="auto"/>
                      <w:sz w:val="21"/>
                      <w:szCs w:val="21"/>
                      <w:highlight w:val="none"/>
                    </w:rPr>
                    <w:t>（机械抽水）</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57B79">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台时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CFA7">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900</w:t>
                  </w:r>
                </w:p>
              </w:tc>
            </w:tr>
            <w:tr w14:paraId="0716CB9B">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BAB0FB">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(二)</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546B">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施工交通工程</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A2B84">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AF114">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p>
              </w:tc>
            </w:tr>
            <w:tr w14:paraId="7B36C38E">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3F8D3B">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AE03">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临时施工道路（宽4m）</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6DF6D">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km</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AB42">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2.05</w:t>
                  </w:r>
                </w:p>
              </w:tc>
            </w:tr>
            <w:tr w14:paraId="26338587">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684EAA">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(三)</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0B2CA">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施工场外供电工程</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C7CB4">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6D0D3">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p>
              </w:tc>
            </w:tr>
            <w:tr w14:paraId="73FDF881">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1E5A94">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607C">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10KV及以下施工用电线路工程</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1EBAC">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km</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11BFE">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0.8</w:t>
                  </w:r>
                </w:p>
              </w:tc>
            </w:tr>
            <w:tr w14:paraId="5D2461DA">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14A888">
                  <w:pPr>
                    <w:spacing w:line="240" w:lineRule="exact"/>
                    <w:ind w:firstLine="0" w:firstLineChars="0"/>
                    <w:jc w:val="center"/>
                    <w:rPr>
                      <w:rFonts w:hint="default" w:ascii="Times New Roman" w:hAnsi="Times New Roman" w:eastAsia="宋体" w:cs="Times New Roman"/>
                      <w:b/>
                      <w:bCs/>
                      <w:snapToGrid w:val="0"/>
                      <w:color w:val="auto"/>
                      <w:sz w:val="21"/>
                      <w:szCs w:val="21"/>
                      <w:highlight w:val="none"/>
                      <w:lang w:val="en-US" w:eastAsia="zh-CN" w:bidi="ar-SA"/>
                    </w:rPr>
                  </w:pPr>
                  <w:r>
                    <w:rPr>
                      <w:rFonts w:hint="eastAsia"/>
                      <w:b/>
                      <w:bCs/>
                      <w:color w:val="auto"/>
                      <w:sz w:val="21"/>
                      <w:szCs w:val="21"/>
                      <w:highlight w:val="none"/>
                    </w:rPr>
                    <w:t>二</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EF0AA">
                  <w:pPr>
                    <w:spacing w:line="240" w:lineRule="exact"/>
                    <w:ind w:firstLine="0" w:firstLineChars="0"/>
                    <w:jc w:val="left"/>
                    <w:rPr>
                      <w:rFonts w:hint="default" w:ascii="Times New Roman" w:hAnsi="Times New Roman" w:eastAsia="宋体" w:cs="Times New Roman"/>
                      <w:b/>
                      <w:bCs/>
                      <w:snapToGrid w:val="0"/>
                      <w:color w:val="auto"/>
                      <w:sz w:val="21"/>
                      <w:szCs w:val="21"/>
                      <w:highlight w:val="none"/>
                      <w:lang w:val="en-US" w:eastAsia="zh-CN" w:bidi="ar-SA"/>
                    </w:rPr>
                  </w:pPr>
                  <w:r>
                    <w:rPr>
                      <w:rFonts w:hint="eastAsia"/>
                      <w:b/>
                      <w:bCs/>
                      <w:color w:val="auto"/>
                      <w:sz w:val="21"/>
                      <w:szCs w:val="21"/>
                      <w:highlight w:val="none"/>
                    </w:rPr>
                    <w:t>双拱场段</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F5A52">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14D3">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p>
              </w:tc>
            </w:tr>
            <w:tr w14:paraId="53EB36A3">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F5843F">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(一)</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E34E">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导流工程</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1360E">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38793">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p>
              </w:tc>
            </w:tr>
            <w:tr w14:paraId="2D54C2CF">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741A72">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A00F">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渣料填筑(围堰利用开挖料)</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top"/>
                </w:tcPr>
                <w:p w14:paraId="7D5F5647">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9E8BA">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6567.04</w:t>
                  </w:r>
                </w:p>
              </w:tc>
            </w:tr>
            <w:tr w14:paraId="05A8FCDF">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313C22">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2</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79CC">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渣料编织袋填筑(围堰利用开挖料)</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top"/>
                </w:tcPr>
                <w:p w14:paraId="4FF95F7A">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708A1">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3452.16</w:t>
                  </w:r>
                </w:p>
              </w:tc>
            </w:tr>
            <w:tr w14:paraId="062A1B70">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71F6F4">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3</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0AF1B">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围堰拆除</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top"/>
                </w:tcPr>
                <w:p w14:paraId="06341FC9">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6938">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10019.20</w:t>
                  </w:r>
                </w:p>
              </w:tc>
            </w:tr>
            <w:tr w14:paraId="60302ECE">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64C8FA">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4</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A548">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复合土工膜(围堰)</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E74B">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2</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01F3">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6904.32</w:t>
                  </w:r>
                </w:p>
              </w:tc>
            </w:tr>
            <w:tr w14:paraId="573967C2">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97E070">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5</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3F91">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江水大桥石河堰浆砌石拆除</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top"/>
                </w:tcPr>
                <w:p w14:paraId="5AE9610B">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8348">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19.20</w:t>
                  </w:r>
                </w:p>
              </w:tc>
            </w:tr>
            <w:tr w14:paraId="59A623B2">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2E14AD">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6</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685D2">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江水大桥石河堰M10浆砌石恢复</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top"/>
                </w:tcPr>
                <w:p w14:paraId="5C8EEF5C">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EB09">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19.20</w:t>
                  </w:r>
                </w:p>
              </w:tc>
            </w:tr>
            <w:tr w14:paraId="2BDCCB8E">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09C5FD">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7</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0A9CC">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柳城滩拦河坝堰浆砌石拆除</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top"/>
                </w:tcPr>
                <w:p w14:paraId="642B6AF4">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6595F">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49.50</w:t>
                  </w:r>
                </w:p>
              </w:tc>
            </w:tr>
            <w:tr w14:paraId="6467D35A">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2FC539">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8</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2A9C">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柳城滩拦河坝堰M10浆砌石恢复</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top"/>
                </w:tcPr>
                <w:p w14:paraId="2CBB0BF5">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F7504">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49.50</w:t>
                  </w:r>
                </w:p>
              </w:tc>
            </w:tr>
            <w:tr w14:paraId="2EC31264">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7111B2">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9</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1B2E">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柳城滩拦河坝堰岩石开挖(机械)</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top"/>
                </w:tcPr>
                <w:p w14:paraId="71946832">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5E679">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135.00</w:t>
                  </w:r>
                </w:p>
              </w:tc>
            </w:tr>
            <w:tr w14:paraId="278CB0B5">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22D841">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10</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78F59">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柳城滩拦河坝堰C20砼恢复</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top"/>
                </w:tcPr>
                <w:p w14:paraId="127221C2">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C4459">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135.00</w:t>
                  </w:r>
                </w:p>
              </w:tc>
            </w:tr>
            <w:tr w14:paraId="18DA6E18">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ECF9E0">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11</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3E4C3">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lang w:eastAsia="zh-CN"/>
                    </w:rPr>
                    <w:t>基坑渗水</w:t>
                  </w:r>
                  <w:r>
                    <w:rPr>
                      <w:rFonts w:hint="eastAsia"/>
                      <w:color w:val="auto"/>
                      <w:sz w:val="21"/>
                      <w:szCs w:val="21"/>
                      <w:highlight w:val="none"/>
                    </w:rPr>
                    <w:t>（机械抽水）</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E7078">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台时</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13C7">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900</w:t>
                  </w:r>
                </w:p>
              </w:tc>
            </w:tr>
            <w:tr w14:paraId="092B91AD">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E97891">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(二)</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22EE">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施工交通工程</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56EA9">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8D48">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p>
              </w:tc>
            </w:tr>
            <w:tr w14:paraId="4A1ABAB8">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97AC72">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AAB74">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临时施工道路（宽4m）</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506C0">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km</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6330">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1.28</w:t>
                  </w:r>
                </w:p>
              </w:tc>
            </w:tr>
            <w:tr w14:paraId="43AAEC37">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E42293">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2</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2148">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浆砌砖拆除(围墙)</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top"/>
                </w:tcPr>
                <w:p w14:paraId="080EAD96">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53A4">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3.6</w:t>
                  </w:r>
                </w:p>
              </w:tc>
            </w:tr>
            <w:tr w14:paraId="0F454667">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091051">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3</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E392A">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M10浆砌砖恢复(围墙)</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top"/>
                </w:tcPr>
                <w:p w14:paraId="70910F13">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A288">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3.6</w:t>
                  </w:r>
                </w:p>
              </w:tc>
            </w:tr>
            <w:tr w14:paraId="6714A52B">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D59375">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4</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1041">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C25砼路面修复(厚20cm)</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54B37">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m</w:t>
                  </w:r>
                  <w:r>
                    <w:rPr>
                      <w:rFonts w:hint="eastAsia"/>
                      <w:color w:val="auto"/>
                      <w:sz w:val="21"/>
                      <w:szCs w:val="21"/>
                      <w:highlight w:val="none"/>
                      <w:vertAlign w:val="superscript"/>
                    </w:rPr>
                    <w:t>2</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5B8E">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570</w:t>
                  </w:r>
                </w:p>
              </w:tc>
            </w:tr>
            <w:tr w14:paraId="174B80FB">
              <w:tblPrEx>
                <w:tblCellMar>
                  <w:top w:w="0" w:type="dxa"/>
                  <w:left w:w="108" w:type="dxa"/>
                  <w:bottom w:w="0" w:type="dxa"/>
                  <w:right w:w="108" w:type="dxa"/>
                </w:tblCellMar>
              </w:tblPrEx>
              <w:trPr>
                <w:trHeight w:val="3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670621">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(三)</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BA5F">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施工场外供电工程</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1B85">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04FA">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p>
              </w:tc>
            </w:tr>
            <w:tr w14:paraId="37A1CD98">
              <w:tblPrEx>
                <w:tblCellMar>
                  <w:top w:w="0" w:type="dxa"/>
                  <w:left w:w="108" w:type="dxa"/>
                  <w:bottom w:w="0" w:type="dxa"/>
                  <w:right w:w="108" w:type="dxa"/>
                </w:tblCellMar>
              </w:tblPrEx>
              <w:trPr>
                <w:trHeight w:val="3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3503AD">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w:t>
                  </w:r>
                </w:p>
              </w:tc>
              <w:tc>
                <w:tcPr>
                  <w:tcW w:w="4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BD32">
                  <w:pPr>
                    <w:spacing w:line="240" w:lineRule="exact"/>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10KV及以下施工用电线路工程</w:t>
                  </w:r>
                </w:p>
              </w:tc>
              <w:tc>
                <w:tcPr>
                  <w:tcW w:w="16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D8E8">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km</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5FC7">
                  <w:pPr>
                    <w:spacing w:line="240" w:lineRule="exact"/>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0.5</w:t>
                  </w:r>
                </w:p>
              </w:tc>
            </w:tr>
          </w:tbl>
          <w:p w14:paraId="690BC126">
            <w:pPr>
              <w:keepNext w:val="0"/>
              <w:keepLines w:val="0"/>
              <w:pageBreakBefore w:val="0"/>
              <w:widowControl w:val="0"/>
              <w:kinsoku/>
              <w:wordWrap/>
              <w:overflowPunct/>
              <w:topLinePunct w:val="0"/>
              <w:autoSpaceDE/>
              <w:autoSpaceDN/>
              <w:bidi w:val="0"/>
              <w:adjustRightInd w:val="0"/>
              <w:snapToGrid w:val="0"/>
              <w:spacing w:before="169" w:beforeLines="50" w:line="240" w:lineRule="exact"/>
              <w:jc w:val="center"/>
              <w:textAlignment w:val="auto"/>
              <w:rPr>
                <w:rFonts w:hint="eastAsia" w:ascii="Times New Roman" w:hAnsi="Times New Roman" w:eastAsia="宋体"/>
                <w:b/>
                <w:color w:val="auto"/>
                <w:sz w:val="24"/>
                <w:highlight w:val="none"/>
              </w:rPr>
            </w:pPr>
            <w:r>
              <w:rPr>
                <w:rFonts w:hint="eastAsia" w:ascii="Times New Roman" w:hAnsi="Times New Roman" w:eastAsia="宋体"/>
                <w:b/>
                <w:color w:val="auto"/>
                <w:sz w:val="24"/>
                <w:highlight w:val="none"/>
              </w:rPr>
              <w:t>表2</w:t>
            </w:r>
            <w:r>
              <w:rPr>
                <w:rFonts w:ascii="Times New Roman" w:hAnsi="Times New Roman" w:eastAsia="宋体"/>
                <w:b/>
                <w:color w:val="auto"/>
                <w:sz w:val="24"/>
                <w:highlight w:val="none"/>
              </w:rPr>
              <w:t>.3-</w:t>
            </w:r>
            <w:r>
              <w:rPr>
                <w:rFonts w:hint="eastAsia"/>
                <w:b/>
                <w:color w:val="auto"/>
                <w:sz w:val="24"/>
                <w:highlight w:val="none"/>
                <w:lang w:val="en-US" w:eastAsia="zh-CN"/>
              </w:rPr>
              <w:t>13</w:t>
            </w:r>
            <w:r>
              <w:rPr>
                <w:rFonts w:ascii="Times New Roman" w:hAnsi="Times New Roman" w:eastAsia="宋体"/>
                <w:b/>
                <w:color w:val="auto"/>
                <w:sz w:val="24"/>
                <w:highlight w:val="none"/>
              </w:rPr>
              <w:t xml:space="preserve">  </w:t>
            </w:r>
            <w:r>
              <w:rPr>
                <w:rFonts w:hint="eastAsia" w:ascii="Times New Roman" w:hAnsi="Times New Roman" w:eastAsia="宋体"/>
                <w:b/>
                <w:color w:val="auto"/>
                <w:sz w:val="24"/>
                <w:highlight w:val="none"/>
              </w:rPr>
              <w:t>本项</w:t>
            </w:r>
            <w:r>
              <w:rPr>
                <w:rFonts w:hint="eastAsia" w:ascii="Times New Roman" w:hAnsi="Times New Roman" w:eastAsia="宋体"/>
                <w:b/>
                <w:color w:val="auto"/>
                <w:sz w:val="24"/>
                <w:highlight w:val="none"/>
                <w:lang w:val="en-US" w:eastAsia="zh-CN"/>
              </w:rPr>
              <w:t>目</w:t>
            </w:r>
            <w:r>
              <w:rPr>
                <w:rFonts w:hint="eastAsia" w:ascii="Times New Roman" w:hAnsi="Times New Roman" w:eastAsia="宋体"/>
                <w:b/>
                <w:color w:val="auto"/>
                <w:sz w:val="24"/>
                <w:highlight w:val="none"/>
              </w:rPr>
              <w:t>清河镇</w:t>
            </w:r>
            <w:r>
              <w:rPr>
                <w:rFonts w:hint="eastAsia"/>
                <w:b/>
                <w:color w:val="auto"/>
                <w:sz w:val="24"/>
                <w:highlight w:val="none"/>
                <w:lang w:val="en-US" w:eastAsia="zh-CN"/>
              </w:rPr>
              <w:t>段</w:t>
            </w:r>
            <w:r>
              <w:rPr>
                <w:rFonts w:hint="eastAsia" w:ascii="Times New Roman" w:hAnsi="Times New Roman" w:eastAsia="宋体"/>
                <w:b/>
                <w:color w:val="auto"/>
                <w:sz w:val="24"/>
                <w:highlight w:val="none"/>
              </w:rPr>
              <w:t>工程量一览表</w:t>
            </w:r>
          </w:p>
          <w:tbl>
            <w:tblPr>
              <w:tblStyle w:val="11"/>
              <w:tblW w:w="497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6"/>
              <w:gridCol w:w="4939"/>
              <w:gridCol w:w="996"/>
              <w:gridCol w:w="2063"/>
            </w:tblGrid>
            <w:tr w14:paraId="59454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tblHeader/>
                <w:jc w:val="center"/>
              </w:trPr>
              <w:tc>
                <w:tcPr>
                  <w:tcW w:w="553" w:type="pct"/>
                  <w:tcBorders>
                    <w:tl2br w:val="nil"/>
                    <w:tr2bl w:val="nil"/>
                  </w:tcBorders>
                  <w:shd w:val="clear" w:color="000000" w:fill="FFFFFF"/>
                  <w:noWrap w:val="0"/>
                  <w:vAlign w:val="center"/>
                </w:tcPr>
                <w:p w14:paraId="628C44DE">
                  <w:pPr>
                    <w:widowControl/>
                    <w:spacing w:line="240" w:lineRule="auto"/>
                    <w:ind w:firstLine="0" w:firstLineChars="0"/>
                    <w:jc w:val="center"/>
                    <w:rPr>
                      <w:color w:val="auto"/>
                      <w:kern w:val="0"/>
                      <w:sz w:val="21"/>
                      <w:szCs w:val="21"/>
                      <w:highlight w:val="none"/>
                    </w:rPr>
                  </w:pPr>
                  <w:r>
                    <w:rPr>
                      <w:color w:val="auto"/>
                      <w:kern w:val="0"/>
                      <w:sz w:val="21"/>
                      <w:szCs w:val="21"/>
                      <w:highlight w:val="none"/>
                    </w:rPr>
                    <w:t>序号</w:t>
                  </w:r>
                </w:p>
              </w:tc>
              <w:tc>
                <w:tcPr>
                  <w:tcW w:w="2745" w:type="pct"/>
                  <w:tcBorders>
                    <w:tl2br w:val="nil"/>
                    <w:tr2bl w:val="nil"/>
                  </w:tcBorders>
                  <w:shd w:val="clear" w:color="000000" w:fill="FFFFFF"/>
                  <w:noWrap w:val="0"/>
                  <w:vAlign w:val="center"/>
                </w:tcPr>
                <w:p w14:paraId="5CA3F2D5">
                  <w:pPr>
                    <w:widowControl/>
                    <w:spacing w:line="240" w:lineRule="auto"/>
                    <w:ind w:firstLine="0" w:firstLineChars="0"/>
                    <w:jc w:val="center"/>
                    <w:rPr>
                      <w:color w:val="auto"/>
                      <w:kern w:val="0"/>
                      <w:sz w:val="21"/>
                      <w:szCs w:val="21"/>
                      <w:highlight w:val="none"/>
                    </w:rPr>
                  </w:pPr>
                  <w:r>
                    <w:rPr>
                      <w:color w:val="auto"/>
                      <w:kern w:val="0"/>
                      <w:sz w:val="21"/>
                      <w:szCs w:val="21"/>
                      <w:highlight w:val="none"/>
                    </w:rPr>
                    <w:t>工程或费用名称</w:t>
                  </w:r>
                </w:p>
              </w:tc>
              <w:tc>
                <w:tcPr>
                  <w:tcW w:w="553" w:type="pct"/>
                  <w:tcBorders>
                    <w:tl2br w:val="nil"/>
                    <w:tr2bl w:val="nil"/>
                  </w:tcBorders>
                  <w:shd w:val="clear" w:color="000000" w:fill="FFFFFF"/>
                  <w:noWrap w:val="0"/>
                  <w:vAlign w:val="center"/>
                </w:tcPr>
                <w:p w14:paraId="75A05906">
                  <w:pPr>
                    <w:widowControl/>
                    <w:spacing w:line="240" w:lineRule="auto"/>
                    <w:ind w:firstLine="0" w:firstLineChars="0"/>
                    <w:jc w:val="center"/>
                    <w:rPr>
                      <w:color w:val="auto"/>
                      <w:kern w:val="0"/>
                      <w:sz w:val="21"/>
                      <w:szCs w:val="21"/>
                      <w:highlight w:val="none"/>
                    </w:rPr>
                  </w:pPr>
                  <w:r>
                    <w:rPr>
                      <w:color w:val="auto"/>
                      <w:kern w:val="0"/>
                      <w:sz w:val="21"/>
                      <w:szCs w:val="21"/>
                      <w:highlight w:val="none"/>
                    </w:rPr>
                    <w:t>单位</w:t>
                  </w:r>
                </w:p>
              </w:tc>
              <w:tc>
                <w:tcPr>
                  <w:tcW w:w="1146" w:type="pct"/>
                  <w:tcBorders>
                    <w:tl2br w:val="nil"/>
                    <w:tr2bl w:val="nil"/>
                  </w:tcBorders>
                  <w:shd w:val="clear" w:color="000000" w:fill="FFFFFF"/>
                  <w:noWrap w:val="0"/>
                  <w:vAlign w:val="center"/>
                </w:tcPr>
                <w:p w14:paraId="379990FC">
                  <w:pPr>
                    <w:widowControl/>
                    <w:spacing w:line="240" w:lineRule="auto"/>
                    <w:ind w:firstLine="0" w:firstLineChars="0"/>
                    <w:jc w:val="center"/>
                    <w:rPr>
                      <w:color w:val="auto"/>
                      <w:kern w:val="0"/>
                      <w:sz w:val="21"/>
                      <w:szCs w:val="21"/>
                      <w:highlight w:val="none"/>
                    </w:rPr>
                  </w:pPr>
                  <w:r>
                    <w:rPr>
                      <w:color w:val="auto"/>
                      <w:kern w:val="0"/>
                      <w:sz w:val="21"/>
                      <w:szCs w:val="21"/>
                      <w:highlight w:val="none"/>
                    </w:rPr>
                    <w:t>数量</w:t>
                  </w:r>
                </w:p>
              </w:tc>
            </w:tr>
            <w:tr w14:paraId="02CBF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5569777A">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2745" w:type="pct"/>
                  <w:tcBorders>
                    <w:tl2br w:val="nil"/>
                    <w:tr2bl w:val="nil"/>
                  </w:tcBorders>
                  <w:shd w:val="clear" w:color="000000" w:fill="FFFFFF"/>
                  <w:noWrap w:val="0"/>
                  <w:vAlign w:val="center"/>
                </w:tcPr>
                <w:p w14:paraId="61B84440">
                  <w:pPr>
                    <w:widowControl/>
                    <w:spacing w:line="240" w:lineRule="auto"/>
                    <w:ind w:firstLine="0" w:firstLineChars="0"/>
                    <w:jc w:val="center"/>
                    <w:rPr>
                      <w:color w:val="auto"/>
                      <w:kern w:val="0"/>
                      <w:sz w:val="21"/>
                      <w:szCs w:val="21"/>
                      <w:highlight w:val="none"/>
                    </w:rPr>
                  </w:pPr>
                  <w:r>
                    <w:rPr>
                      <w:color w:val="auto"/>
                      <w:kern w:val="0"/>
                      <w:sz w:val="21"/>
                      <w:szCs w:val="21"/>
                      <w:highlight w:val="none"/>
                    </w:rPr>
                    <w:t>第一部分 建筑工程</w:t>
                  </w:r>
                </w:p>
              </w:tc>
              <w:tc>
                <w:tcPr>
                  <w:tcW w:w="553" w:type="pct"/>
                  <w:tcBorders>
                    <w:tl2br w:val="nil"/>
                    <w:tr2bl w:val="nil"/>
                  </w:tcBorders>
                  <w:shd w:val="clear" w:color="000000" w:fill="FFFFFF"/>
                  <w:noWrap w:val="0"/>
                  <w:vAlign w:val="center"/>
                </w:tcPr>
                <w:p w14:paraId="3293EE22">
                  <w:pPr>
                    <w:widowControl/>
                    <w:spacing w:line="240" w:lineRule="auto"/>
                    <w:ind w:firstLine="0" w:firstLineChars="0"/>
                    <w:jc w:val="center"/>
                    <w:rPr>
                      <w:color w:val="auto"/>
                      <w:kern w:val="0"/>
                      <w:sz w:val="21"/>
                      <w:szCs w:val="21"/>
                      <w:highlight w:val="none"/>
                    </w:rPr>
                  </w:pPr>
                </w:p>
              </w:tc>
              <w:tc>
                <w:tcPr>
                  <w:tcW w:w="1146" w:type="pct"/>
                  <w:tcBorders>
                    <w:tl2br w:val="nil"/>
                    <w:tr2bl w:val="nil"/>
                  </w:tcBorders>
                  <w:shd w:val="clear" w:color="000000" w:fill="FFFFFF"/>
                  <w:noWrap w:val="0"/>
                  <w:vAlign w:val="center"/>
                </w:tcPr>
                <w:p w14:paraId="2AD10C57">
                  <w:pPr>
                    <w:widowControl/>
                    <w:spacing w:line="240" w:lineRule="auto"/>
                    <w:ind w:firstLine="0" w:firstLineChars="0"/>
                    <w:jc w:val="center"/>
                    <w:rPr>
                      <w:color w:val="auto"/>
                      <w:kern w:val="0"/>
                      <w:sz w:val="21"/>
                      <w:szCs w:val="21"/>
                      <w:highlight w:val="none"/>
                    </w:rPr>
                  </w:pPr>
                </w:p>
              </w:tc>
            </w:tr>
            <w:tr w14:paraId="08FF7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54BE6228">
                  <w:pPr>
                    <w:widowControl/>
                    <w:spacing w:line="240" w:lineRule="auto"/>
                    <w:ind w:firstLine="0" w:firstLineChars="0"/>
                    <w:jc w:val="center"/>
                    <w:rPr>
                      <w:color w:val="auto"/>
                      <w:kern w:val="0"/>
                      <w:sz w:val="21"/>
                      <w:szCs w:val="21"/>
                      <w:highlight w:val="none"/>
                    </w:rPr>
                  </w:pPr>
                  <w:r>
                    <w:rPr>
                      <w:color w:val="auto"/>
                      <w:kern w:val="0"/>
                      <w:sz w:val="21"/>
                      <w:szCs w:val="21"/>
                      <w:highlight w:val="none"/>
                    </w:rPr>
                    <w:t>一</w:t>
                  </w:r>
                </w:p>
              </w:tc>
              <w:tc>
                <w:tcPr>
                  <w:tcW w:w="2745" w:type="pct"/>
                  <w:tcBorders>
                    <w:tl2br w:val="nil"/>
                    <w:tr2bl w:val="nil"/>
                  </w:tcBorders>
                  <w:shd w:val="clear" w:color="000000" w:fill="FFFFFF"/>
                  <w:noWrap w:val="0"/>
                  <w:vAlign w:val="center"/>
                </w:tcPr>
                <w:p w14:paraId="102D5EEE">
                  <w:pPr>
                    <w:widowControl/>
                    <w:spacing w:line="240" w:lineRule="auto"/>
                    <w:ind w:firstLine="0" w:firstLineChars="0"/>
                    <w:jc w:val="center"/>
                    <w:rPr>
                      <w:color w:val="auto"/>
                      <w:kern w:val="0"/>
                      <w:sz w:val="21"/>
                      <w:szCs w:val="21"/>
                      <w:highlight w:val="none"/>
                    </w:rPr>
                  </w:pPr>
                  <w:r>
                    <w:rPr>
                      <w:color w:val="auto"/>
                      <w:kern w:val="0"/>
                      <w:sz w:val="21"/>
                      <w:szCs w:val="21"/>
                      <w:highlight w:val="none"/>
                    </w:rPr>
                    <w:t>堤防工程</w:t>
                  </w:r>
                </w:p>
              </w:tc>
              <w:tc>
                <w:tcPr>
                  <w:tcW w:w="553" w:type="pct"/>
                  <w:tcBorders>
                    <w:tl2br w:val="nil"/>
                    <w:tr2bl w:val="nil"/>
                  </w:tcBorders>
                  <w:shd w:val="clear" w:color="000000" w:fill="FFFFFF"/>
                  <w:noWrap w:val="0"/>
                  <w:vAlign w:val="center"/>
                </w:tcPr>
                <w:p w14:paraId="49436DA0">
                  <w:pPr>
                    <w:widowControl/>
                    <w:spacing w:line="240" w:lineRule="auto"/>
                    <w:ind w:firstLine="0" w:firstLineChars="0"/>
                    <w:jc w:val="center"/>
                    <w:rPr>
                      <w:color w:val="auto"/>
                      <w:kern w:val="0"/>
                      <w:sz w:val="21"/>
                      <w:szCs w:val="21"/>
                      <w:highlight w:val="none"/>
                    </w:rPr>
                  </w:pPr>
                </w:p>
              </w:tc>
              <w:tc>
                <w:tcPr>
                  <w:tcW w:w="1146" w:type="pct"/>
                  <w:tcBorders>
                    <w:tl2br w:val="nil"/>
                    <w:tr2bl w:val="nil"/>
                  </w:tcBorders>
                  <w:shd w:val="clear" w:color="000000" w:fill="FFFFFF"/>
                  <w:noWrap w:val="0"/>
                  <w:vAlign w:val="center"/>
                </w:tcPr>
                <w:p w14:paraId="42FF72CF">
                  <w:pPr>
                    <w:widowControl/>
                    <w:spacing w:line="240" w:lineRule="auto"/>
                    <w:ind w:firstLine="0" w:firstLineChars="0"/>
                    <w:jc w:val="center"/>
                    <w:rPr>
                      <w:color w:val="auto"/>
                      <w:kern w:val="0"/>
                      <w:sz w:val="21"/>
                      <w:szCs w:val="21"/>
                      <w:highlight w:val="none"/>
                    </w:rPr>
                  </w:pPr>
                </w:p>
              </w:tc>
            </w:tr>
            <w:tr w14:paraId="207EF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352B92EC">
                  <w:pPr>
                    <w:widowControl/>
                    <w:spacing w:line="240" w:lineRule="auto"/>
                    <w:ind w:firstLine="0" w:firstLineChars="0"/>
                    <w:jc w:val="center"/>
                    <w:rPr>
                      <w:color w:val="auto"/>
                      <w:kern w:val="0"/>
                      <w:sz w:val="21"/>
                      <w:szCs w:val="21"/>
                      <w:highlight w:val="none"/>
                    </w:rPr>
                  </w:pPr>
                  <w:r>
                    <w:rPr>
                      <w:color w:val="auto"/>
                      <w:kern w:val="0"/>
                      <w:sz w:val="21"/>
                      <w:szCs w:val="21"/>
                      <w:highlight w:val="none"/>
                    </w:rPr>
                    <w:t>1</w:t>
                  </w:r>
                </w:p>
              </w:tc>
              <w:tc>
                <w:tcPr>
                  <w:tcW w:w="2745" w:type="pct"/>
                  <w:tcBorders>
                    <w:tl2br w:val="nil"/>
                    <w:tr2bl w:val="nil"/>
                  </w:tcBorders>
                  <w:shd w:val="clear" w:color="000000" w:fill="FFFFFF"/>
                  <w:noWrap w:val="0"/>
                  <w:vAlign w:val="center"/>
                </w:tcPr>
                <w:p w14:paraId="7C595AD7">
                  <w:pPr>
                    <w:widowControl/>
                    <w:spacing w:line="240" w:lineRule="auto"/>
                    <w:ind w:firstLine="0" w:firstLineChars="0"/>
                    <w:jc w:val="center"/>
                    <w:rPr>
                      <w:color w:val="auto"/>
                      <w:kern w:val="0"/>
                      <w:sz w:val="21"/>
                      <w:szCs w:val="21"/>
                      <w:highlight w:val="none"/>
                    </w:rPr>
                  </w:pPr>
                  <w:r>
                    <w:rPr>
                      <w:color w:val="auto"/>
                      <w:kern w:val="0"/>
                      <w:sz w:val="21"/>
                      <w:szCs w:val="21"/>
                      <w:highlight w:val="none"/>
                    </w:rPr>
                    <w:t>土方开挖</w:t>
                  </w:r>
                </w:p>
              </w:tc>
              <w:tc>
                <w:tcPr>
                  <w:tcW w:w="553" w:type="pct"/>
                  <w:tcBorders>
                    <w:tl2br w:val="nil"/>
                    <w:tr2bl w:val="nil"/>
                  </w:tcBorders>
                  <w:shd w:val="clear" w:color="000000" w:fill="FFFFFF"/>
                  <w:noWrap w:val="0"/>
                  <w:vAlign w:val="center"/>
                </w:tcPr>
                <w:p w14:paraId="02C7180D">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5BE70A0C">
                  <w:pPr>
                    <w:widowControl/>
                    <w:spacing w:line="240" w:lineRule="auto"/>
                    <w:ind w:firstLine="0" w:firstLineChars="0"/>
                    <w:jc w:val="center"/>
                    <w:rPr>
                      <w:color w:val="auto"/>
                      <w:kern w:val="0"/>
                      <w:sz w:val="21"/>
                      <w:szCs w:val="21"/>
                      <w:highlight w:val="none"/>
                    </w:rPr>
                  </w:pPr>
                  <w:r>
                    <w:rPr>
                      <w:color w:val="auto"/>
                      <w:kern w:val="0"/>
                      <w:sz w:val="21"/>
                      <w:szCs w:val="21"/>
                      <w:highlight w:val="none"/>
                    </w:rPr>
                    <w:t>44458.59</w:t>
                  </w:r>
                </w:p>
              </w:tc>
            </w:tr>
            <w:tr w14:paraId="3B729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631B4B2E">
                  <w:pPr>
                    <w:widowControl/>
                    <w:spacing w:line="240" w:lineRule="auto"/>
                    <w:ind w:firstLine="0" w:firstLineChars="0"/>
                    <w:jc w:val="center"/>
                    <w:rPr>
                      <w:color w:val="auto"/>
                      <w:kern w:val="0"/>
                      <w:sz w:val="21"/>
                      <w:szCs w:val="21"/>
                      <w:highlight w:val="none"/>
                    </w:rPr>
                  </w:pPr>
                  <w:r>
                    <w:rPr>
                      <w:color w:val="auto"/>
                      <w:kern w:val="0"/>
                      <w:sz w:val="21"/>
                      <w:szCs w:val="21"/>
                      <w:highlight w:val="none"/>
                    </w:rPr>
                    <w:t>2</w:t>
                  </w:r>
                </w:p>
              </w:tc>
              <w:tc>
                <w:tcPr>
                  <w:tcW w:w="2745" w:type="pct"/>
                  <w:tcBorders>
                    <w:tl2br w:val="nil"/>
                    <w:tr2bl w:val="nil"/>
                  </w:tcBorders>
                  <w:shd w:val="clear" w:color="000000" w:fill="FFFFFF"/>
                  <w:noWrap w:val="0"/>
                  <w:vAlign w:val="center"/>
                </w:tcPr>
                <w:p w14:paraId="2554177F">
                  <w:pPr>
                    <w:widowControl/>
                    <w:spacing w:line="240" w:lineRule="auto"/>
                    <w:ind w:firstLine="0" w:firstLineChars="0"/>
                    <w:jc w:val="center"/>
                    <w:rPr>
                      <w:color w:val="auto"/>
                      <w:kern w:val="0"/>
                      <w:sz w:val="21"/>
                      <w:szCs w:val="21"/>
                      <w:highlight w:val="none"/>
                    </w:rPr>
                  </w:pPr>
                  <w:r>
                    <w:rPr>
                      <w:color w:val="auto"/>
                      <w:kern w:val="0"/>
                      <w:sz w:val="21"/>
                      <w:szCs w:val="21"/>
                      <w:highlight w:val="none"/>
                    </w:rPr>
                    <w:t>表土剥离</w:t>
                  </w:r>
                </w:p>
              </w:tc>
              <w:tc>
                <w:tcPr>
                  <w:tcW w:w="553" w:type="pct"/>
                  <w:tcBorders>
                    <w:tl2br w:val="nil"/>
                    <w:tr2bl w:val="nil"/>
                  </w:tcBorders>
                  <w:shd w:val="clear" w:color="000000" w:fill="FFFFFF"/>
                  <w:noWrap w:val="0"/>
                  <w:vAlign w:val="center"/>
                </w:tcPr>
                <w:p w14:paraId="74FCDD2E">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3F0BC756">
                  <w:pPr>
                    <w:widowControl/>
                    <w:spacing w:line="240" w:lineRule="auto"/>
                    <w:ind w:firstLine="0" w:firstLineChars="0"/>
                    <w:jc w:val="center"/>
                    <w:rPr>
                      <w:color w:val="auto"/>
                      <w:kern w:val="0"/>
                      <w:sz w:val="21"/>
                      <w:szCs w:val="21"/>
                      <w:highlight w:val="none"/>
                    </w:rPr>
                  </w:pPr>
                  <w:r>
                    <w:rPr>
                      <w:color w:val="auto"/>
                      <w:kern w:val="0"/>
                      <w:sz w:val="21"/>
                      <w:szCs w:val="21"/>
                      <w:highlight w:val="none"/>
                    </w:rPr>
                    <w:t>12460.00</w:t>
                  </w:r>
                </w:p>
              </w:tc>
            </w:tr>
            <w:tr w14:paraId="63239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085EF7E9">
                  <w:pPr>
                    <w:widowControl/>
                    <w:spacing w:line="240" w:lineRule="auto"/>
                    <w:ind w:firstLine="0" w:firstLineChars="0"/>
                    <w:jc w:val="center"/>
                    <w:rPr>
                      <w:color w:val="auto"/>
                      <w:kern w:val="0"/>
                      <w:sz w:val="21"/>
                      <w:szCs w:val="21"/>
                      <w:highlight w:val="none"/>
                    </w:rPr>
                  </w:pPr>
                  <w:r>
                    <w:rPr>
                      <w:color w:val="auto"/>
                      <w:kern w:val="0"/>
                      <w:sz w:val="21"/>
                      <w:szCs w:val="21"/>
                      <w:highlight w:val="none"/>
                    </w:rPr>
                    <w:t>3</w:t>
                  </w:r>
                </w:p>
              </w:tc>
              <w:tc>
                <w:tcPr>
                  <w:tcW w:w="2745" w:type="pct"/>
                  <w:tcBorders>
                    <w:tl2br w:val="nil"/>
                    <w:tr2bl w:val="nil"/>
                  </w:tcBorders>
                  <w:shd w:val="clear" w:color="000000" w:fill="FFFFFF"/>
                  <w:noWrap w:val="0"/>
                  <w:vAlign w:val="center"/>
                </w:tcPr>
                <w:p w14:paraId="7D4B64C7">
                  <w:pPr>
                    <w:widowControl/>
                    <w:spacing w:line="240" w:lineRule="auto"/>
                    <w:ind w:firstLine="0" w:firstLineChars="0"/>
                    <w:jc w:val="center"/>
                    <w:rPr>
                      <w:color w:val="auto"/>
                      <w:kern w:val="0"/>
                      <w:sz w:val="21"/>
                      <w:szCs w:val="21"/>
                      <w:highlight w:val="none"/>
                    </w:rPr>
                  </w:pPr>
                  <w:r>
                    <w:rPr>
                      <w:color w:val="auto"/>
                      <w:kern w:val="0"/>
                      <w:sz w:val="21"/>
                      <w:szCs w:val="21"/>
                      <w:highlight w:val="none"/>
                    </w:rPr>
                    <w:t>石方开挖</w:t>
                  </w:r>
                </w:p>
              </w:tc>
              <w:tc>
                <w:tcPr>
                  <w:tcW w:w="553" w:type="pct"/>
                  <w:tcBorders>
                    <w:tl2br w:val="nil"/>
                    <w:tr2bl w:val="nil"/>
                  </w:tcBorders>
                  <w:shd w:val="clear" w:color="000000" w:fill="FFFFFF"/>
                  <w:noWrap w:val="0"/>
                  <w:vAlign w:val="center"/>
                </w:tcPr>
                <w:p w14:paraId="3BF23A47">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1ED63BD3">
                  <w:pPr>
                    <w:widowControl/>
                    <w:spacing w:line="240" w:lineRule="auto"/>
                    <w:ind w:firstLine="0" w:firstLineChars="0"/>
                    <w:jc w:val="center"/>
                    <w:rPr>
                      <w:color w:val="auto"/>
                      <w:kern w:val="0"/>
                      <w:sz w:val="21"/>
                      <w:szCs w:val="21"/>
                      <w:highlight w:val="none"/>
                    </w:rPr>
                  </w:pPr>
                  <w:r>
                    <w:rPr>
                      <w:color w:val="auto"/>
                      <w:kern w:val="0"/>
                      <w:sz w:val="21"/>
                      <w:szCs w:val="21"/>
                      <w:highlight w:val="none"/>
                    </w:rPr>
                    <w:t>2297.44</w:t>
                  </w:r>
                </w:p>
              </w:tc>
            </w:tr>
            <w:tr w14:paraId="52F17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56BE68E0">
                  <w:pPr>
                    <w:widowControl/>
                    <w:spacing w:line="240" w:lineRule="auto"/>
                    <w:ind w:firstLine="0" w:firstLineChars="0"/>
                    <w:jc w:val="center"/>
                    <w:rPr>
                      <w:color w:val="auto"/>
                      <w:kern w:val="0"/>
                      <w:sz w:val="21"/>
                      <w:szCs w:val="21"/>
                      <w:highlight w:val="none"/>
                    </w:rPr>
                  </w:pPr>
                  <w:r>
                    <w:rPr>
                      <w:color w:val="auto"/>
                      <w:kern w:val="0"/>
                      <w:sz w:val="21"/>
                      <w:szCs w:val="21"/>
                      <w:highlight w:val="none"/>
                    </w:rPr>
                    <w:t>4</w:t>
                  </w:r>
                </w:p>
              </w:tc>
              <w:tc>
                <w:tcPr>
                  <w:tcW w:w="2745" w:type="pct"/>
                  <w:tcBorders>
                    <w:tl2br w:val="nil"/>
                    <w:tr2bl w:val="nil"/>
                  </w:tcBorders>
                  <w:shd w:val="clear" w:color="000000" w:fill="FFFFFF"/>
                  <w:noWrap w:val="0"/>
                  <w:vAlign w:val="center"/>
                </w:tcPr>
                <w:p w14:paraId="2B41E916">
                  <w:pPr>
                    <w:widowControl/>
                    <w:spacing w:line="240" w:lineRule="auto"/>
                    <w:ind w:firstLine="0" w:firstLineChars="0"/>
                    <w:jc w:val="center"/>
                    <w:rPr>
                      <w:color w:val="auto"/>
                      <w:kern w:val="0"/>
                      <w:sz w:val="21"/>
                      <w:szCs w:val="21"/>
                      <w:highlight w:val="none"/>
                    </w:rPr>
                  </w:pPr>
                  <w:r>
                    <w:rPr>
                      <w:color w:val="auto"/>
                      <w:kern w:val="0"/>
                      <w:sz w:val="21"/>
                      <w:szCs w:val="21"/>
                      <w:highlight w:val="none"/>
                    </w:rPr>
                    <w:t>土石方回填</w:t>
                  </w:r>
                </w:p>
              </w:tc>
              <w:tc>
                <w:tcPr>
                  <w:tcW w:w="553" w:type="pct"/>
                  <w:tcBorders>
                    <w:tl2br w:val="nil"/>
                    <w:tr2bl w:val="nil"/>
                  </w:tcBorders>
                  <w:shd w:val="clear" w:color="000000" w:fill="FFFFFF"/>
                  <w:noWrap w:val="0"/>
                  <w:vAlign w:val="center"/>
                </w:tcPr>
                <w:p w14:paraId="4F40655A">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632220DE">
                  <w:pPr>
                    <w:widowControl/>
                    <w:spacing w:line="240" w:lineRule="auto"/>
                    <w:ind w:firstLine="0" w:firstLineChars="0"/>
                    <w:jc w:val="center"/>
                    <w:rPr>
                      <w:color w:val="auto"/>
                      <w:kern w:val="0"/>
                      <w:sz w:val="21"/>
                      <w:szCs w:val="21"/>
                      <w:highlight w:val="none"/>
                    </w:rPr>
                  </w:pPr>
                  <w:r>
                    <w:rPr>
                      <w:color w:val="auto"/>
                      <w:kern w:val="0"/>
                      <w:sz w:val="21"/>
                      <w:szCs w:val="21"/>
                      <w:highlight w:val="none"/>
                    </w:rPr>
                    <w:t>23888.34</w:t>
                  </w:r>
                </w:p>
              </w:tc>
            </w:tr>
            <w:tr w14:paraId="3CEC2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0E00454F">
                  <w:pPr>
                    <w:widowControl/>
                    <w:spacing w:line="240" w:lineRule="auto"/>
                    <w:ind w:firstLine="0" w:firstLineChars="0"/>
                    <w:jc w:val="center"/>
                    <w:rPr>
                      <w:color w:val="auto"/>
                      <w:kern w:val="0"/>
                      <w:sz w:val="21"/>
                      <w:szCs w:val="21"/>
                      <w:highlight w:val="none"/>
                    </w:rPr>
                  </w:pPr>
                  <w:r>
                    <w:rPr>
                      <w:color w:val="auto"/>
                      <w:kern w:val="0"/>
                      <w:sz w:val="21"/>
                      <w:szCs w:val="21"/>
                      <w:highlight w:val="none"/>
                    </w:rPr>
                    <w:t>5</w:t>
                  </w:r>
                </w:p>
              </w:tc>
              <w:tc>
                <w:tcPr>
                  <w:tcW w:w="2745" w:type="pct"/>
                  <w:tcBorders>
                    <w:tl2br w:val="nil"/>
                    <w:tr2bl w:val="nil"/>
                  </w:tcBorders>
                  <w:shd w:val="clear" w:color="000000" w:fill="FFFFFF"/>
                  <w:noWrap w:val="0"/>
                  <w:vAlign w:val="center"/>
                </w:tcPr>
                <w:p w14:paraId="0CECB6DB">
                  <w:pPr>
                    <w:widowControl/>
                    <w:spacing w:line="240" w:lineRule="auto"/>
                    <w:ind w:firstLine="0" w:firstLineChars="0"/>
                    <w:jc w:val="center"/>
                    <w:rPr>
                      <w:color w:val="auto"/>
                      <w:kern w:val="0"/>
                      <w:sz w:val="21"/>
                      <w:szCs w:val="21"/>
                      <w:highlight w:val="none"/>
                    </w:rPr>
                  </w:pPr>
                  <w:r>
                    <w:rPr>
                      <w:color w:val="auto"/>
                      <w:kern w:val="0"/>
                      <w:sz w:val="21"/>
                      <w:szCs w:val="21"/>
                      <w:highlight w:val="none"/>
                    </w:rPr>
                    <w:t>块石护脚</w:t>
                  </w:r>
                </w:p>
              </w:tc>
              <w:tc>
                <w:tcPr>
                  <w:tcW w:w="553" w:type="pct"/>
                  <w:tcBorders>
                    <w:tl2br w:val="nil"/>
                    <w:tr2bl w:val="nil"/>
                  </w:tcBorders>
                  <w:shd w:val="clear" w:color="000000" w:fill="FFFFFF"/>
                  <w:noWrap w:val="0"/>
                  <w:vAlign w:val="center"/>
                </w:tcPr>
                <w:p w14:paraId="6E6DA273">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29651ACE">
                  <w:pPr>
                    <w:widowControl/>
                    <w:spacing w:line="240" w:lineRule="auto"/>
                    <w:ind w:firstLine="0" w:firstLineChars="0"/>
                    <w:jc w:val="center"/>
                    <w:rPr>
                      <w:color w:val="auto"/>
                      <w:kern w:val="0"/>
                      <w:sz w:val="21"/>
                      <w:szCs w:val="21"/>
                      <w:highlight w:val="none"/>
                    </w:rPr>
                  </w:pPr>
                  <w:r>
                    <w:rPr>
                      <w:color w:val="auto"/>
                      <w:kern w:val="0"/>
                      <w:sz w:val="21"/>
                      <w:szCs w:val="21"/>
                      <w:highlight w:val="none"/>
                    </w:rPr>
                    <w:t>5662.99</w:t>
                  </w:r>
                </w:p>
              </w:tc>
            </w:tr>
            <w:tr w14:paraId="7BDDA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6AA4F55A">
                  <w:pPr>
                    <w:widowControl/>
                    <w:spacing w:line="240" w:lineRule="auto"/>
                    <w:ind w:firstLine="0" w:firstLineChars="0"/>
                    <w:jc w:val="center"/>
                    <w:rPr>
                      <w:color w:val="auto"/>
                      <w:kern w:val="0"/>
                      <w:sz w:val="21"/>
                      <w:szCs w:val="21"/>
                      <w:highlight w:val="none"/>
                    </w:rPr>
                  </w:pPr>
                  <w:r>
                    <w:rPr>
                      <w:color w:val="auto"/>
                      <w:kern w:val="0"/>
                      <w:sz w:val="21"/>
                      <w:szCs w:val="21"/>
                      <w:highlight w:val="none"/>
                    </w:rPr>
                    <w:t>6</w:t>
                  </w:r>
                </w:p>
              </w:tc>
              <w:tc>
                <w:tcPr>
                  <w:tcW w:w="2745" w:type="pct"/>
                  <w:tcBorders>
                    <w:tl2br w:val="nil"/>
                    <w:tr2bl w:val="nil"/>
                  </w:tcBorders>
                  <w:shd w:val="clear" w:color="000000" w:fill="FFFFFF"/>
                  <w:noWrap w:val="0"/>
                  <w:vAlign w:val="center"/>
                </w:tcPr>
                <w:p w14:paraId="1810B6CA">
                  <w:pPr>
                    <w:widowControl/>
                    <w:spacing w:line="240" w:lineRule="auto"/>
                    <w:ind w:firstLine="0" w:firstLineChars="0"/>
                    <w:jc w:val="center"/>
                    <w:rPr>
                      <w:color w:val="auto"/>
                      <w:kern w:val="0"/>
                      <w:sz w:val="21"/>
                      <w:szCs w:val="21"/>
                      <w:highlight w:val="none"/>
                    </w:rPr>
                  </w:pPr>
                  <w:r>
                    <w:rPr>
                      <w:color w:val="auto"/>
                      <w:kern w:val="0"/>
                      <w:sz w:val="21"/>
                      <w:szCs w:val="21"/>
                      <w:highlight w:val="none"/>
                    </w:rPr>
                    <w:t>块石回填</w:t>
                  </w:r>
                </w:p>
              </w:tc>
              <w:tc>
                <w:tcPr>
                  <w:tcW w:w="553" w:type="pct"/>
                  <w:tcBorders>
                    <w:tl2br w:val="nil"/>
                    <w:tr2bl w:val="nil"/>
                  </w:tcBorders>
                  <w:shd w:val="clear" w:color="000000" w:fill="FFFFFF"/>
                  <w:noWrap w:val="0"/>
                  <w:vAlign w:val="center"/>
                </w:tcPr>
                <w:p w14:paraId="0AADE779">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57CCE383">
                  <w:pPr>
                    <w:widowControl/>
                    <w:spacing w:line="240" w:lineRule="auto"/>
                    <w:ind w:firstLine="0" w:firstLineChars="0"/>
                    <w:jc w:val="center"/>
                    <w:rPr>
                      <w:color w:val="auto"/>
                      <w:kern w:val="0"/>
                      <w:sz w:val="21"/>
                      <w:szCs w:val="21"/>
                      <w:highlight w:val="none"/>
                    </w:rPr>
                  </w:pPr>
                  <w:r>
                    <w:rPr>
                      <w:color w:val="auto"/>
                      <w:kern w:val="0"/>
                      <w:sz w:val="21"/>
                      <w:szCs w:val="21"/>
                      <w:highlight w:val="none"/>
                    </w:rPr>
                    <w:t>5698.70</w:t>
                  </w:r>
                </w:p>
              </w:tc>
            </w:tr>
            <w:tr w14:paraId="72376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47AA14FE">
                  <w:pPr>
                    <w:widowControl/>
                    <w:spacing w:line="240" w:lineRule="auto"/>
                    <w:ind w:firstLine="0" w:firstLineChars="0"/>
                    <w:jc w:val="center"/>
                    <w:rPr>
                      <w:color w:val="auto"/>
                      <w:kern w:val="0"/>
                      <w:sz w:val="21"/>
                      <w:szCs w:val="21"/>
                      <w:highlight w:val="none"/>
                    </w:rPr>
                  </w:pPr>
                  <w:r>
                    <w:rPr>
                      <w:color w:val="auto"/>
                      <w:kern w:val="0"/>
                      <w:sz w:val="21"/>
                      <w:szCs w:val="21"/>
                      <w:highlight w:val="none"/>
                    </w:rPr>
                    <w:t>7</w:t>
                  </w:r>
                </w:p>
              </w:tc>
              <w:tc>
                <w:tcPr>
                  <w:tcW w:w="2745" w:type="pct"/>
                  <w:tcBorders>
                    <w:tl2br w:val="nil"/>
                    <w:tr2bl w:val="nil"/>
                  </w:tcBorders>
                  <w:shd w:val="clear" w:color="000000" w:fill="FFFFFF"/>
                  <w:noWrap w:val="0"/>
                  <w:vAlign w:val="center"/>
                </w:tcPr>
                <w:p w14:paraId="2943009B">
                  <w:pPr>
                    <w:widowControl/>
                    <w:spacing w:line="240" w:lineRule="auto"/>
                    <w:ind w:firstLine="0" w:firstLineChars="0"/>
                    <w:jc w:val="center"/>
                    <w:rPr>
                      <w:color w:val="auto"/>
                      <w:kern w:val="0"/>
                      <w:sz w:val="21"/>
                      <w:szCs w:val="21"/>
                      <w:highlight w:val="none"/>
                    </w:rPr>
                  </w:pPr>
                  <w:r>
                    <w:rPr>
                      <w:color w:val="auto"/>
                      <w:kern w:val="0"/>
                      <w:sz w:val="21"/>
                      <w:szCs w:val="21"/>
                      <w:highlight w:val="none"/>
                    </w:rPr>
                    <w:t>种植土回填</w:t>
                  </w:r>
                </w:p>
              </w:tc>
              <w:tc>
                <w:tcPr>
                  <w:tcW w:w="553" w:type="pct"/>
                  <w:tcBorders>
                    <w:tl2br w:val="nil"/>
                    <w:tr2bl w:val="nil"/>
                  </w:tcBorders>
                  <w:shd w:val="clear" w:color="000000" w:fill="FFFFFF"/>
                  <w:noWrap w:val="0"/>
                  <w:vAlign w:val="center"/>
                </w:tcPr>
                <w:p w14:paraId="21405EAA">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7B6867E3">
                  <w:pPr>
                    <w:widowControl/>
                    <w:spacing w:line="240" w:lineRule="auto"/>
                    <w:ind w:firstLine="0" w:firstLineChars="0"/>
                    <w:jc w:val="center"/>
                    <w:rPr>
                      <w:color w:val="auto"/>
                      <w:kern w:val="0"/>
                      <w:sz w:val="21"/>
                      <w:szCs w:val="21"/>
                      <w:highlight w:val="none"/>
                    </w:rPr>
                  </w:pPr>
                  <w:r>
                    <w:rPr>
                      <w:color w:val="auto"/>
                      <w:kern w:val="0"/>
                      <w:sz w:val="21"/>
                      <w:szCs w:val="21"/>
                      <w:highlight w:val="none"/>
                    </w:rPr>
                    <w:t>11517.00</w:t>
                  </w:r>
                </w:p>
              </w:tc>
            </w:tr>
            <w:tr w14:paraId="40209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5E73DF08">
                  <w:pPr>
                    <w:widowControl/>
                    <w:spacing w:line="240" w:lineRule="auto"/>
                    <w:ind w:firstLine="0" w:firstLineChars="0"/>
                    <w:jc w:val="center"/>
                    <w:rPr>
                      <w:color w:val="auto"/>
                      <w:kern w:val="0"/>
                      <w:sz w:val="21"/>
                      <w:szCs w:val="21"/>
                      <w:highlight w:val="none"/>
                    </w:rPr>
                  </w:pPr>
                  <w:r>
                    <w:rPr>
                      <w:color w:val="auto"/>
                      <w:kern w:val="0"/>
                      <w:sz w:val="21"/>
                      <w:szCs w:val="21"/>
                      <w:highlight w:val="none"/>
                    </w:rPr>
                    <w:t>8</w:t>
                  </w:r>
                </w:p>
              </w:tc>
              <w:tc>
                <w:tcPr>
                  <w:tcW w:w="2745" w:type="pct"/>
                  <w:tcBorders>
                    <w:tl2br w:val="nil"/>
                    <w:tr2bl w:val="nil"/>
                  </w:tcBorders>
                  <w:shd w:val="clear" w:color="000000" w:fill="FFFFFF"/>
                  <w:noWrap w:val="0"/>
                  <w:vAlign w:val="center"/>
                </w:tcPr>
                <w:p w14:paraId="05C956A1">
                  <w:pPr>
                    <w:widowControl/>
                    <w:spacing w:line="240" w:lineRule="auto"/>
                    <w:ind w:firstLine="0" w:firstLineChars="0"/>
                    <w:jc w:val="center"/>
                    <w:rPr>
                      <w:color w:val="auto"/>
                      <w:kern w:val="0"/>
                      <w:sz w:val="21"/>
                      <w:szCs w:val="21"/>
                      <w:highlight w:val="none"/>
                    </w:rPr>
                  </w:pPr>
                  <w:r>
                    <w:rPr>
                      <w:color w:val="auto"/>
                      <w:kern w:val="0"/>
                      <w:sz w:val="21"/>
                      <w:szCs w:val="21"/>
                      <w:highlight w:val="none"/>
                    </w:rPr>
                    <w:t>镇脚C20砼</w:t>
                  </w:r>
                </w:p>
              </w:tc>
              <w:tc>
                <w:tcPr>
                  <w:tcW w:w="553" w:type="pct"/>
                  <w:tcBorders>
                    <w:tl2br w:val="nil"/>
                    <w:tr2bl w:val="nil"/>
                  </w:tcBorders>
                  <w:shd w:val="clear" w:color="000000" w:fill="FFFFFF"/>
                  <w:noWrap w:val="0"/>
                  <w:vAlign w:val="center"/>
                </w:tcPr>
                <w:p w14:paraId="1C4E7688">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67D99E6A">
                  <w:pPr>
                    <w:widowControl/>
                    <w:spacing w:line="240" w:lineRule="auto"/>
                    <w:ind w:firstLine="0" w:firstLineChars="0"/>
                    <w:jc w:val="center"/>
                    <w:rPr>
                      <w:color w:val="auto"/>
                      <w:kern w:val="0"/>
                      <w:sz w:val="21"/>
                      <w:szCs w:val="21"/>
                      <w:highlight w:val="none"/>
                    </w:rPr>
                  </w:pPr>
                  <w:r>
                    <w:rPr>
                      <w:color w:val="auto"/>
                      <w:kern w:val="0"/>
                      <w:sz w:val="21"/>
                      <w:szCs w:val="21"/>
                      <w:highlight w:val="none"/>
                    </w:rPr>
                    <w:t>5726.95</w:t>
                  </w:r>
                </w:p>
              </w:tc>
            </w:tr>
            <w:tr w14:paraId="117BA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0319371B">
                  <w:pPr>
                    <w:widowControl/>
                    <w:spacing w:line="240" w:lineRule="auto"/>
                    <w:ind w:firstLine="0" w:firstLineChars="0"/>
                    <w:jc w:val="center"/>
                    <w:rPr>
                      <w:color w:val="auto"/>
                      <w:kern w:val="0"/>
                      <w:sz w:val="21"/>
                      <w:szCs w:val="21"/>
                      <w:highlight w:val="none"/>
                    </w:rPr>
                  </w:pPr>
                  <w:r>
                    <w:rPr>
                      <w:color w:val="auto"/>
                      <w:kern w:val="0"/>
                      <w:sz w:val="21"/>
                      <w:szCs w:val="21"/>
                      <w:highlight w:val="none"/>
                    </w:rPr>
                    <w:t>9</w:t>
                  </w:r>
                </w:p>
              </w:tc>
              <w:tc>
                <w:tcPr>
                  <w:tcW w:w="2745" w:type="pct"/>
                  <w:tcBorders>
                    <w:tl2br w:val="nil"/>
                    <w:tr2bl w:val="nil"/>
                  </w:tcBorders>
                  <w:shd w:val="clear" w:color="000000" w:fill="FFFFFF"/>
                  <w:noWrap w:val="0"/>
                  <w:vAlign w:val="center"/>
                </w:tcPr>
                <w:p w14:paraId="1F45D482">
                  <w:pPr>
                    <w:widowControl/>
                    <w:spacing w:line="240" w:lineRule="auto"/>
                    <w:ind w:firstLine="0" w:firstLineChars="0"/>
                    <w:jc w:val="center"/>
                    <w:rPr>
                      <w:color w:val="auto"/>
                      <w:kern w:val="0"/>
                      <w:sz w:val="21"/>
                      <w:szCs w:val="21"/>
                      <w:highlight w:val="none"/>
                    </w:rPr>
                  </w:pPr>
                  <w:r>
                    <w:rPr>
                      <w:color w:val="auto"/>
                      <w:kern w:val="0"/>
                      <w:sz w:val="21"/>
                      <w:szCs w:val="21"/>
                      <w:highlight w:val="none"/>
                    </w:rPr>
                    <w:t>草皮护坡</w:t>
                  </w:r>
                </w:p>
              </w:tc>
              <w:tc>
                <w:tcPr>
                  <w:tcW w:w="553" w:type="pct"/>
                  <w:tcBorders>
                    <w:tl2br w:val="nil"/>
                    <w:tr2bl w:val="nil"/>
                  </w:tcBorders>
                  <w:shd w:val="clear" w:color="000000" w:fill="FFFFFF"/>
                  <w:noWrap w:val="0"/>
                  <w:vAlign w:val="center"/>
                </w:tcPr>
                <w:p w14:paraId="30272E3B">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1146" w:type="pct"/>
                  <w:tcBorders>
                    <w:tl2br w:val="nil"/>
                    <w:tr2bl w:val="nil"/>
                  </w:tcBorders>
                  <w:shd w:val="clear" w:color="000000" w:fill="FFFFFF"/>
                  <w:noWrap w:val="0"/>
                  <w:vAlign w:val="center"/>
                </w:tcPr>
                <w:p w14:paraId="2C0ED7B8">
                  <w:pPr>
                    <w:widowControl/>
                    <w:spacing w:line="240" w:lineRule="auto"/>
                    <w:ind w:firstLine="0" w:firstLineChars="0"/>
                    <w:jc w:val="center"/>
                    <w:rPr>
                      <w:color w:val="auto"/>
                      <w:kern w:val="0"/>
                      <w:sz w:val="21"/>
                      <w:szCs w:val="21"/>
                      <w:highlight w:val="none"/>
                    </w:rPr>
                  </w:pPr>
                  <w:r>
                    <w:rPr>
                      <w:color w:val="auto"/>
                      <w:kern w:val="0"/>
                      <w:sz w:val="21"/>
                      <w:szCs w:val="21"/>
                      <w:highlight w:val="none"/>
                    </w:rPr>
                    <w:t>46069.61</w:t>
                  </w:r>
                </w:p>
              </w:tc>
            </w:tr>
            <w:tr w14:paraId="0B336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360B1F17">
                  <w:pPr>
                    <w:widowControl/>
                    <w:spacing w:line="240" w:lineRule="auto"/>
                    <w:ind w:firstLine="0" w:firstLineChars="0"/>
                    <w:jc w:val="center"/>
                    <w:rPr>
                      <w:color w:val="auto"/>
                      <w:kern w:val="0"/>
                      <w:sz w:val="21"/>
                      <w:szCs w:val="21"/>
                      <w:highlight w:val="none"/>
                    </w:rPr>
                  </w:pPr>
                  <w:r>
                    <w:rPr>
                      <w:color w:val="auto"/>
                      <w:kern w:val="0"/>
                      <w:sz w:val="21"/>
                      <w:szCs w:val="21"/>
                      <w:highlight w:val="none"/>
                    </w:rPr>
                    <w:t>10</w:t>
                  </w:r>
                </w:p>
              </w:tc>
              <w:tc>
                <w:tcPr>
                  <w:tcW w:w="2745" w:type="pct"/>
                  <w:tcBorders>
                    <w:tl2br w:val="nil"/>
                    <w:tr2bl w:val="nil"/>
                  </w:tcBorders>
                  <w:shd w:val="clear" w:color="000000" w:fill="FFFFFF"/>
                  <w:noWrap w:val="0"/>
                  <w:vAlign w:val="center"/>
                </w:tcPr>
                <w:p w14:paraId="5C788038">
                  <w:pPr>
                    <w:widowControl/>
                    <w:spacing w:line="240" w:lineRule="auto"/>
                    <w:ind w:firstLine="0" w:firstLineChars="0"/>
                    <w:jc w:val="center"/>
                    <w:rPr>
                      <w:color w:val="auto"/>
                      <w:kern w:val="0"/>
                      <w:sz w:val="21"/>
                      <w:szCs w:val="21"/>
                      <w:highlight w:val="none"/>
                    </w:rPr>
                  </w:pPr>
                  <w:r>
                    <w:rPr>
                      <w:color w:val="auto"/>
                      <w:kern w:val="0"/>
                      <w:sz w:val="21"/>
                      <w:szCs w:val="21"/>
                      <w:highlight w:val="none"/>
                    </w:rPr>
                    <w:t>三维土工网垫</w:t>
                  </w:r>
                </w:p>
              </w:tc>
              <w:tc>
                <w:tcPr>
                  <w:tcW w:w="553" w:type="pct"/>
                  <w:tcBorders>
                    <w:tl2br w:val="nil"/>
                    <w:tr2bl w:val="nil"/>
                  </w:tcBorders>
                  <w:shd w:val="clear" w:color="000000" w:fill="FFFFFF"/>
                  <w:noWrap w:val="0"/>
                  <w:vAlign w:val="center"/>
                </w:tcPr>
                <w:p w14:paraId="1BF0BDC8">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1146" w:type="pct"/>
                  <w:tcBorders>
                    <w:tl2br w:val="nil"/>
                    <w:tr2bl w:val="nil"/>
                  </w:tcBorders>
                  <w:shd w:val="clear" w:color="000000" w:fill="FFFFFF"/>
                  <w:noWrap w:val="0"/>
                  <w:vAlign w:val="center"/>
                </w:tcPr>
                <w:p w14:paraId="6D045466">
                  <w:pPr>
                    <w:widowControl/>
                    <w:spacing w:line="240" w:lineRule="auto"/>
                    <w:ind w:firstLine="0" w:firstLineChars="0"/>
                    <w:jc w:val="center"/>
                    <w:rPr>
                      <w:color w:val="auto"/>
                      <w:kern w:val="0"/>
                      <w:sz w:val="21"/>
                      <w:szCs w:val="21"/>
                      <w:highlight w:val="none"/>
                    </w:rPr>
                  </w:pPr>
                  <w:r>
                    <w:rPr>
                      <w:color w:val="auto"/>
                      <w:kern w:val="0"/>
                      <w:sz w:val="21"/>
                      <w:szCs w:val="21"/>
                      <w:highlight w:val="none"/>
                    </w:rPr>
                    <w:t>46069.61</w:t>
                  </w:r>
                </w:p>
              </w:tc>
            </w:tr>
            <w:tr w14:paraId="5180B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1A23120D">
                  <w:pPr>
                    <w:widowControl/>
                    <w:spacing w:line="240" w:lineRule="auto"/>
                    <w:ind w:firstLine="0" w:firstLineChars="0"/>
                    <w:jc w:val="center"/>
                    <w:rPr>
                      <w:color w:val="auto"/>
                      <w:kern w:val="0"/>
                      <w:sz w:val="21"/>
                      <w:szCs w:val="21"/>
                      <w:highlight w:val="none"/>
                    </w:rPr>
                  </w:pPr>
                  <w:r>
                    <w:rPr>
                      <w:color w:val="auto"/>
                      <w:kern w:val="0"/>
                      <w:sz w:val="21"/>
                      <w:szCs w:val="21"/>
                      <w:highlight w:val="none"/>
                    </w:rPr>
                    <w:t>11</w:t>
                  </w:r>
                </w:p>
              </w:tc>
              <w:tc>
                <w:tcPr>
                  <w:tcW w:w="2745" w:type="pct"/>
                  <w:tcBorders>
                    <w:tl2br w:val="nil"/>
                    <w:tr2bl w:val="nil"/>
                  </w:tcBorders>
                  <w:shd w:val="clear" w:color="000000" w:fill="FFFFFF"/>
                  <w:noWrap w:val="0"/>
                  <w:vAlign w:val="center"/>
                </w:tcPr>
                <w:p w14:paraId="595FA791">
                  <w:pPr>
                    <w:widowControl/>
                    <w:spacing w:line="240" w:lineRule="auto"/>
                    <w:ind w:firstLine="0" w:firstLineChars="0"/>
                    <w:jc w:val="center"/>
                    <w:rPr>
                      <w:color w:val="auto"/>
                      <w:kern w:val="0"/>
                      <w:sz w:val="21"/>
                      <w:szCs w:val="21"/>
                      <w:highlight w:val="none"/>
                    </w:rPr>
                  </w:pPr>
                  <w:r>
                    <w:rPr>
                      <w:color w:val="auto"/>
                      <w:kern w:val="0"/>
                      <w:sz w:val="21"/>
                      <w:szCs w:val="21"/>
                      <w:highlight w:val="none"/>
                    </w:rPr>
                    <w:t>亲水步道路面C20砼 10cm厚</w:t>
                  </w:r>
                </w:p>
              </w:tc>
              <w:tc>
                <w:tcPr>
                  <w:tcW w:w="553" w:type="pct"/>
                  <w:tcBorders>
                    <w:tl2br w:val="nil"/>
                    <w:tr2bl w:val="nil"/>
                  </w:tcBorders>
                  <w:shd w:val="clear" w:color="000000" w:fill="FFFFFF"/>
                  <w:noWrap w:val="0"/>
                  <w:vAlign w:val="center"/>
                </w:tcPr>
                <w:p w14:paraId="2B6F6296">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1146" w:type="pct"/>
                  <w:tcBorders>
                    <w:tl2br w:val="nil"/>
                    <w:tr2bl w:val="nil"/>
                  </w:tcBorders>
                  <w:shd w:val="clear" w:color="000000" w:fill="FFFFFF"/>
                  <w:noWrap w:val="0"/>
                  <w:vAlign w:val="center"/>
                </w:tcPr>
                <w:p w14:paraId="379631B3">
                  <w:pPr>
                    <w:widowControl/>
                    <w:spacing w:line="240" w:lineRule="auto"/>
                    <w:ind w:firstLine="0" w:firstLineChars="0"/>
                    <w:jc w:val="center"/>
                    <w:rPr>
                      <w:color w:val="auto"/>
                      <w:kern w:val="0"/>
                      <w:sz w:val="21"/>
                      <w:szCs w:val="21"/>
                      <w:highlight w:val="none"/>
                    </w:rPr>
                  </w:pPr>
                  <w:r>
                    <w:rPr>
                      <w:color w:val="auto"/>
                      <w:kern w:val="0"/>
                      <w:sz w:val="21"/>
                      <w:szCs w:val="21"/>
                      <w:highlight w:val="none"/>
                    </w:rPr>
                    <w:t>2739.08</w:t>
                  </w:r>
                </w:p>
              </w:tc>
            </w:tr>
            <w:tr w14:paraId="6B4AC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5FBDA235">
                  <w:pPr>
                    <w:widowControl/>
                    <w:spacing w:line="240" w:lineRule="auto"/>
                    <w:ind w:firstLine="0" w:firstLineChars="0"/>
                    <w:jc w:val="center"/>
                    <w:rPr>
                      <w:color w:val="auto"/>
                      <w:kern w:val="0"/>
                      <w:sz w:val="21"/>
                      <w:szCs w:val="21"/>
                      <w:highlight w:val="none"/>
                    </w:rPr>
                  </w:pPr>
                  <w:r>
                    <w:rPr>
                      <w:color w:val="auto"/>
                      <w:kern w:val="0"/>
                      <w:sz w:val="21"/>
                      <w:szCs w:val="21"/>
                      <w:highlight w:val="none"/>
                    </w:rPr>
                    <w:t>12</w:t>
                  </w:r>
                </w:p>
              </w:tc>
              <w:tc>
                <w:tcPr>
                  <w:tcW w:w="2745" w:type="pct"/>
                  <w:tcBorders>
                    <w:tl2br w:val="nil"/>
                    <w:tr2bl w:val="nil"/>
                  </w:tcBorders>
                  <w:shd w:val="clear" w:color="000000" w:fill="FFFFFF"/>
                  <w:noWrap w:val="0"/>
                  <w:vAlign w:val="center"/>
                </w:tcPr>
                <w:p w14:paraId="5428DDD8">
                  <w:pPr>
                    <w:widowControl/>
                    <w:spacing w:line="240" w:lineRule="auto"/>
                    <w:ind w:firstLine="0" w:firstLineChars="0"/>
                    <w:jc w:val="center"/>
                    <w:rPr>
                      <w:color w:val="auto"/>
                      <w:kern w:val="0"/>
                      <w:sz w:val="21"/>
                      <w:szCs w:val="21"/>
                      <w:highlight w:val="none"/>
                    </w:rPr>
                  </w:pPr>
                  <w:r>
                    <w:rPr>
                      <w:color w:val="auto"/>
                      <w:kern w:val="0"/>
                      <w:sz w:val="21"/>
                      <w:szCs w:val="21"/>
                      <w:highlight w:val="none"/>
                    </w:rPr>
                    <w:t>亲水步道路面碎石垫层 10cm厚</w:t>
                  </w:r>
                </w:p>
              </w:tc>
              <w:tc>
                <w:tcPr>
                  <w:tcW w:w="553" w:type="pct"/>
                  <w:tcBorders>
                    <w:tl2br w:val="nil"/>
                    <w:tr2bl w:val="nil"/>
                  </w:tcBorders>
                  <w:shd w:val="clear" w:color="000000" w:fill="FFFFFF"/>
                  <w:noWrap w:val="0"/>
                  <w:vAlign w:val="center"/>
                </w:tcPr>
                <w:p w14:paraId="0C382449">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1146" w:type="pct"/>
                  <w:tcBorders>
                    <w:tl2br w:val="nil"/>
                    <w:tr2bl w:val="nil"/>
                  </w:tcBorders>
                  <w:shd w:val="clear" w:color="000000" w:fill="FFFFFF"/>
                  <w:noWrap w:val="0"/>
                  <w:vAlign w:val="center"/>
                </w:tcPr>
                <w:p w14:paraId="5E2D23DB">
                  <w:pPr>
                    <w:widowControl/>
                    <w:spacing w:line="240" w:lineRule="auto"/>
                    <w:ind w:firstLine="0" w:firstLineChars="0"/>
                    <w:jc w:val="center"/>
                    <w:rPr>
                      <w:color w:val="auto"/>
                      <w:kern w:val="0"/>
                      <w:sz w:val="21"/>
                      <w:szCs w:val="21"/>
                      <w:highlight w:val="none"/>
                    </w:rPr>
                  </w:pPr>
                  <w:r>
                    <w:rPr>
                      <w:color w:val="auto"/>
                      <w:kern w:val="0"/>
                      <w:sz w:val="21"/>
                      <w:szCs w:val="21"/>
                      <w:highlight w:val="none"/>
                    </w:rPr>
                    <w:t>2739.08</w:t>
                  </w:r>
                </w:p>
              </w:tc>
            </w:tr>
            <w:tr w14:paraId="7B06D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1124608C">
                  <w:pPr>
                    <w:widowControl/>
                    <w:spacing w:line="240" w:lineRule="auto"/>
                    <w:ind w:firstLine="0" w:firstLineChars="0"/>
                    <w:jc w:val="center"/>
                    <w:rPr>
                      <w:color w:val="auto"/>
                      <w:kern w:val="0"/>
                      <w:sz w:val="21"/>
                      <w:szCs w:val="21"/>
                      <w:highlight w:val="none"/>
                    </w:rPr>
                  </w:pPr>
                  <w:r>
                    <w:rPr>
                      <w:color w:val="auto"/>
                      <w:kern w:val="0"/>
                      <w:sz w:val="21"/>
                      <w:szCs w:val="21"/>
                      <w:highlight w:val="none"/>
                    </w:rPr>
                    <w:t>13</w:t>
                  </w:r>
                </w:p>
              </w:tc>
              <w:tc>
                <w:tcPr>
                  <w:tcW w:w="2745" w:type="pct"/>
                  <w:tcBorders>
                    <w:tl2br w:val="nil"/>
                    <w:tr2bl w:val="nil"/>
                  </w:tcBorders>
                  <w:shd w:val="clear" w:color="000000" w:fill="FFFFFF"/>
                  <w:noWrap w:val="0"/>
                  <w:vAlign w:val="center"/>
                </w:tcPr>
                <w:p w14:paraId="6ED72D49">
                  <w:pPr>
                    <w:widowControl/>
                    <w:spacing w:line="240" w:lineRule="auto"/>
                    <w:ind w:firstLine="0" w:firstLineChars="0"/>
                    <w:jc w:val="center"/>
                    <w:rPr>
                      <w:color w:val="auto"/>
                      <w:kern w:val="0"/>
                      <w:sz w:val="21"/>
                      <w:szCs w:val="21"/>
                      <w:highlight w:val="none"/>
                    </w:rPr>
                  </w:pPr>
                  <w:r>
                    <w:rPr>
                      <w:color w:val="auto"/>
                      <w:kern w:val="0"/>
                      <w:sz w:val="21"/>
                      <w:szCs w:val="21"/>
                      <w:highlight w:val="none"/>
                    </w:rPr>
                    <w:t>亲水步道预制路沿石C20砼</w:t>
                  </w:r>
                </w:p>
              </w:tc>
              <w:tc>
                <w:tcPr>
                  <w:tcW w:w="553" w:type="pct"/>
                  <w:tcBorders>
                    <w:tl2br w:val="nil"/>
                    <w:tr2bl w:val="nil"/>
                  </w:tcBorders>
                  <w:shd w:val="clear" w:color="000000" w:fill="FFFFFF"/>
                  <w:noWrap w:val="0"/>
                  <w:vAlign w:val="center"/>
                </w:tcPr>
                <w:p w14:paraId="2ED588A5">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2353D1C1">
                  <w:pPr>
                    <w:widowControl/>
                    <w:spacing w:line="240" w:lineRule="auto"/>
                    <w:ind w:firstLine="0" w:firstLineChars="0"/>
                    <w:jc w:val="center"/>
                    <w:rPr>
                      <w:color w:val="auto"/>
                      <w:kern w:val="0"/>
                      <w:sz w:val="21"/>
                      <w:szCs w:val="21"/>
                      <w:highlight w:val="none"/>
                    </w:rPr>
                  </w:pPr>
                  <w:r>
                    <w:rPr>
                      <w:color w:val="auto"/>
                      <w:kern w:val="0"/>
                      <w:sz w:val="21"/>
                      <w:szCs w:val="21"/>
                      <w:highlight w:val="none"/>
                    </w:rPr>
                    <w:t>79.52</w:t>
                  </w:r>
                </w:p>
              </w:tc>
            </w:tr>
            <w:tr w14:paraId="70477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6D1B27CE">
                  <w:pPr>
                    <w:widowControl/>
                    <w:spacing w:line="240" w:lineRule="auto"/>
                    <w:ind w:firstLine="0" w:firstLineChars="0"/>
                    <w:jc w:val="center"/>
                    <w:rPr>
                      <w:color w:val="auto"/>
                      <w:kern w:val="0"/>
                      <w:sz w:val="21"/>
                      <w:szCs w:val="21"/>
                      <w:highlight w:val="none"/>
                    </w:rPr>
                  </w:pPr>
                  <w:r>
                    <w:rPr>
                      <w:color w:val="auto"/>
                      <w:kern w:val="0"/>
                      <w:sz w:val="21"/>
                      <w:szCs w:val="21"/>
                      <w:highlight w:val="none"/>
                    </w:rPr>
                    <w:t>14</w:t>
                  </w:r>
                </w:p>
              </w:tc>
              <w:tc>
                <w:tcPr>
                  <w:tcW w:w="2745" w:type="pct"/>
                  <w:tcBorders>
                    <w:tl2br w:val="nil"/>
                    <w:tr2bl w:val="nil"/>
                  </w:tcBorders>
                  <w:shd w:val="clear" w:color="000000" w:fill="FFFFFF"/>
                  <w:noWrap w:val="0"/>
                  <w:vAlign w:val="center"/>
                </w:tcPr>
                <w:p w14:paraId="06691FC0">
                  <w:pPr>
                    <w:widowControl/>
                    <w:spacing w:line="240" w:lineRule="auto"/>
                    <w:ind w:firstLine="0" w:firstLineChars="0"/>
                    <w:jc w:val="center"/>
                    <w:rPr>
                      <w:color w:val="auto"/>
                      <w:kern w:val="0"/>
                      <w:sz w:val="21"/>
                      <w:szCs w:val="21"/>
                      <w:highlight w:val="none"/>
                    </w:rPr>
                  </w:pPr>
                  <w:r>
                    <w:rPr>
                      <w:color w:val="auto"/>
                      <w:kern w:val="0"/>
                      <w:sz w:val="21"/>
                      <w:szCs w:val="21"/>
                      <w:highlight w:val="none"/>
                    </w:rPr>
                    <w:t>亲水步道栏杆基础C20砼</w:t>
                  </w:r>
                </w:p>
              </w:tc>
              <w:tc>
                <w:tcPr>
                  <w:tcW w:w="553" w:type="pct"/>
                  <w:tcBorders>
                    <w:tl2br w:val="nil"/>
                    <w:tr2bl w:val="nil"/>
                  </w:tcBorders>
                  <w:shd w:val="clear" w:color="000000" w:fill="FFFFFF"/>
                  <w:noWrap w:val="0"/>
                  <w:vAlign w:val="center"/>
                </w:tcPr>
                <w:p w14:paraId="4AD5AF9C">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51AEB9D1">
                  <w:pPr>
                    <w:widowControl/>
                    <w:spacing w:line="240" w:lineRule="auto"/>
                    <w:ind w:firstLine="0" w:firstLineChars="0"/>
                    <w:jc w:val="center"/>
                    <w:rPr>
                      <w:color w:val="auto"/>
                      <w:kern w:val="0"/>
                      <w:sz w:val="21"/>
                      <w:szCs w:val="21"/>
                      <w:highlight w:val="none"/>
                    </w:rPr>
                  </w:pPr>
                  <w:r>
                    <w:rPr>
                      <w:color w:val="auto"/>
                      <w:kern w:val="0"/>
                      <w:sz w:val="21"/>
                      <w:szCs w:val="21"/>
                      <w:highlight w:val="none"/>
                    </w:rPr>
                    <w:t>159.04</w:t>
                  </w:r>
                </w:p>
              </w:tc>
            </w:tr>
            <w:tr w14:paraId="535D1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5F7E10AA">
                  <w:pPr>
                    <w:widowControl/>
                    <w:spacing w:line="240" w:lineRule="auto"/>
                    <w:ind w:firstLine="0" w:firstLineChars="0"/>
                    <w:jc w:val="center"/>
                    <w:rPr>
                      <w:color w:val="auto"/>
                      <w:kern w:val="0"/>
                      <w:sz w:val="21"/>
                      <w:szCs w:val="21"/>
                      <w:highlight w:val="none"/>
                    </w:rPr>
                  </w:pPr>
                  <w:r>
                    <w:rPr>
                      <w:color w:val="auto"/>
                      <w:kern w:val="0"/>
                      <w:sz w:val="21"/>
                      <w:szCs w:val="21"/>
                      <w:highlight w:val="none"/>
                    </w:rPr>
                    <w:t>15</w:t>
                  </w:r>
                </w:p>
              </w:tc>
              <w:tc>
                <w:tcPr>
                  <w:tcW w:w="2745" w:type="pct"/>
                  <w:tcBorders>
                    <w:tl2br w:val="nil"/>
                    <w:tr2bl w:val="nil"/>
                  </w:tcBorders>
                  <w:shd w:val="clear" w:color="000000" w:fill="FFFFFF"/>
                  <w:noWrap w:val="0"/>
                  <w:vAlign w:val="center"/>
                </w:tcPr>
                <w:p w14:paraId="2928276B">
                  <w:pPr>
                    <w:widowControl/>
                    <w:spacing w:line="240" w:lineRule="auto"/>
                    <w:ind w:firstLine="0" w:firstLineChars="0"/>
                    <w:jc w:val="center"/>
                    <w:rPr>
                      <w:color w:val="auto"/>
                      <w:kern w:val="0"/>
                      <w:sz w:val="21"/>
                      <w:szCs w:val="21"/>
                      <w:highlight w:val="none"/>
                    </w:rPr>
                  </w:pPr>
                  <w:r>
                    <w:rPr>
                      <w:color w:val="auto"/>
                      <w:kern w:val="0"/>
                      <w:sz w:val="21"/>
                      <w:szCs w:val="21"/>
                      <w:highlight w:val="none"/>
                    </w:rPr>
                    <w:t>亲水步道仿木栏杆</w:t>
                  </w:r>
                </w:p>
              </w:tc>
              <w:tc>
                <w:tcPr>
                  <w:tcW w:w="553" w:type="pct"/>
                  <w:tcBorders>
                    <w:tl2br w:val="nil"/>
                    <w:tr2bl w:val="nil"/>
                  </w:tcBorders>
                  <w:shd w:val="clear" w:color="000000" w:fill="FFFFFF"/>
                  <w:noWrap w:val="0"/>
                  <w:vAlign w:val="center"/>
                </w:tcPr>
                <w:p w14:paraId="40DC1AD2">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1146" w:type="pct"/>
                  <w:tcBorders>
                    <w:tl2br w:val="nil"/>
                    <w:tr2bl w:val="nil"/>
                  </w:tcBorders>
                  <w:shd w:val="clear" w:color="000000" w:fill="FFFFFF"/>
                  <w:noWrap w:val="0"/>
                  <w:vAlign w:val="center"/>
                </w:tcPr>
                <w:p w14:paraId="565C9BE3">
                  <w:pPr>
                    <w:widowControl/>
                    <w:spacing w:line="240" w:lineRule="auto"/>
                    <w:ind w:firstLine="0" w:firstLineChars="0"/>
                    <w:jc w:val="center"/>
                    <w:rPr>
                      <w:color w:val="auto"/>
                      <w:kern w:val="0"/>
                      <w:sz w:val="21"/>
                      <w:szCs w:val="21"/>
                      <w:highlight w:val="none"/>
                    </w:rPr>
                  </w:pPr>
                  <w:r>
                    <w:rPr>
                      <w:color w:val="auto"/>
                      <w:kern w:val="0"/>
                      <w:sz w:val="21"/>
                      <w:szCs w:val="21"/>
                      <w:highlight w:val="none"/>
                    </w:rPr>
                    <w:t>1767.15</w:t>
                  </w:r>
                </w:p>
              </w:tc>
            </w:tr>
            <w:tr w14:paraId="4BA6E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2C0CC5B5">
                  <w:pPr>
                    <w:widowControl/>
                    <w:spacing w:line="240" w:lineRule="auto"/>
                    <w:ind w:firstLine="0" w:firstLineChars="0"/>
                    <w:jc w:val="center"/>
                    <w:rPr>
                      <w:color w:val="auto"/>
                      <w:kern w:val="0"/>
                      <w:sz w:val="21"/>
                      <w:szCs w:val="21"/>
                      <w:highlight w:val="none"/>
                    </w:rPr>
                  </w:pPr>
                  <w:r>
                    <w:rPr>
                      <w:color w:val="auto"/>
                      <w:kern w:val="0"/>
                      <w:sz w:val="21"/>
                      <w:szCs w:val="21"/>
                      <w:highlight w:val="none"/>
                    </w:rPr>
                    <w:t>16</w:t>
                  </w:r>
                </w:p>
              </w:tc>
              <w:tc>
                <w:tcPr>
                  <w:tcW w:w="2745" w:type="pct"/>
                  <w:tcBorders>
                    <w:tl2br w:val="nil"/>
                    <w:tr2bl w:val="nil"/>
                  </w:tcBorders>
                  <w:shd w:val="clear" w:color="000000" w:fill="FFFFFF"/>
                  <w:noWrap w:val="0"/>
                  <w:vAlign w:val="center"/>
                </w:tcPr>
                <w:p w14:paraId="133273BF">
                  <w:pPr>
                    <w:widowControl/>
                    <w:spacing w:line="240" w:lineRule="auto"/>
                    <w:ind w:firstLine="0" w:firstLineChars="0"/>
                    <w:jc w:val="center"/>
                    <w:rPr>
                      <w:color w:val="auto"/>
                      <w:kern w:val="0"/>
                      <w:sz w:val="21"/>
                      <w:szCs w:val="21"/>
                      <w:highlight w:val="none"/>
                    </w:rPr>
                  </w:pPr>
                  <w:r>
                    <w:rPr>
                      <w:color w:val="auto"/>
                      <w:kern w:val="0"/>
                      <w:sz w:val="21"/>
                      <w:szCs w:val="21"/>
                      <w:highlight w:val="none"/>
                    </w:rPr>
                    <w:t>堤顶路面C20砼 15cm厚</w:t>
                  </w:r>
                </w:p>
              </w:tc>
              <w:tc>
                <w:tcPr>
                  <w:tcW w:w="553" w:type="pct"/>
                  <w:tcBorders>
                    <w:tl2br w:val="nil"/>
                    <w:tr2bl w:val="nil"/>
                  </w:tcBorders>
                  <w:shd w:val="clear" w:color="000000" w:fill="FFFFFF"/>
                  <w:noWrap w:val="0"/>
                  <w:vAlign w:val="center"/>
                </w:tcPr>
                <w:p w14:paraId="50883864">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1146" w:type="pct"/>
                  <w:tcBorders>
                    <w:tl2br w:val="nil"/>
                    <w:tr2bl w:val="nil"/>
                  </w:tcBorders>
                  <w:shd w:val="clear" w:color="000000" w:fill="FFFFFF"/>
                  <w:noWrap w:val="0"/>
                  <w:vAlign w:val="center"/>
                </w:tcPr>
                <w:p w14:paraId="1A673C76">
                  <w:pPr>
                    <w:widowControl/>
                    <w:spacing w:line="240" w:lineRule="auto"/>
                    <w:ind w:firstLine="0" w:firstLineChars="0"/>
                    <w:jc w:val="center"/>
                    <w:rPr>
                      <w:color w:val="auto"/>
                      <w:kern w:val="0"/>
                      <w:sz w:val="21"/>
                      <w:szCs w:val="21"/>
                      <w:highlight w:val="none"/>
                    </w:rPr>
                  </w:pPr>
                  <w:r>
                    <w:rPr>
                      <w:color w:val="auto"/>
                      <w:kern w:val="0"/>
                      <w:sz w:val="21"/>
                      <w:szCs w:val="21"/>
                      <w:highlight w:val="none"/>
                    </w:rPr>
                    <w:t>4846.28</w:t>
                  </w:r>
                </w:p>
              </w:tc>
            </w:tr>
            <w:tr w14:paraId="615EA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2FF09463">
                  <w:pPr>
                    <w:widowControl/>
                    <w:spacing w:line="240" w:lineRule="auto"/>
                    <w:ind w:firstLine="0" w:firstLineChars="0"/>
                    <w:jc w:val="center"/>
                    <w:rPr>
                      <w:color w:val="auto"/>
                      <w:kern w:val="0"/>
                      <w:sz w:val="21"/>
                      <w:szCs w:val="21"/>
                      <w:highlight w:val="none"/>
                    </w:rPr>
                  </w:pPr>
                  <w:r>
                    <w:rPr>
                      <w:color w:val="auto"/>
                      <w:kern w:val="0"/>
                      <w:sz w:val="21"/>
                      <w:szCs w:val="21"/>
                      <w:highlight w:val="none"/>
                    </w:rPr>
                    <w:t>17</w:t>
                  </w:r>
                </w:p>
              </w:tc>
              <w:tc>
                <w:tcPr>
                  <w:tcW w:w="2745" w:type="pct"/>
                  <w:tcBorders>
                    <w:tl2br w:val="nil"/>
                    <w:tr2bl w:val="nil"/>
                  </w:tcBorders>
                  <w:shd w:val="clear" w:color="000000" w:fill="FFFFFF"/>
                  <w:noWrap w:val="0"/>
                  <w:vAlign w:val="center"/>
                </w:tcPr>
                <w:p w14:paraId="73106BF4">
                  <w:pPr>
                    <w:widowControl/>
                    <w:spacing w:line="240" w:lineRule="auto"/>
                    <w:ind w:firstLine="0" w:firstLineChars="0"/>
                    <w:jc w:val="center"/>
                    <w:rPr>
                      <w:color w:val="auto"/>
                      <w:kern w:val="0"/>
                      <w:sz w:val="21"/>
                      <w:szCs w:val="21"/>
                      <w:highlight w:val="none"/>
                    </w:rPr>
                  </w:pPr>
                  <w:r>
                    <w:rPr>
                      <w:color w:val="auto"/>
                      <w:kern w:val="0"/>
                      <w:sz w:val="21"/>
                      <w:szCs w:val="21"/>
                      <w:highlight w:val="none"/>
                    </w:rPr>
                    <w:t>堤顶路面碎石垫层 15cm厚</w:t>
                  </w:r>
                </w:p>
              </w:tc>
              <w:tc>
                <w:tcPr>
                  <w:tcW w:w="553" w:type="pct"/>
                  <w:tcBorders>
                    <w:tl2br w:val="nil"/>
                    <w:tr2bl w:val="nil"/>
                  </w:tcBorders>
                  <w:shd w:val="clear" w:color="000000" w:fill="FFFFFF"/>
                  <w:noWrap w:val="0"/>
                  <w:vAlign w:val="center"/>
                </w:tcPr>
                <w:p w14:paraId="1EB5A99F">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1146" w:type="pct"/>
                  <w:tcBorders>
                    <w:tl2br w:val="nil"/>
                    <w:tr2bl w:val="nil"/>
                  </w:tcBorders>
                  <w:shd w:val="clear" w:color="000000" w:fill="FFFFFF"/>
                  <w:noWrap w:val="0"/>
                  <w:vAlign w:val="center"/>
                </w:tcPr>
                <w:p w14:paraId="634B746A">
                  <w:pPr>
                    <w:widowControl/>
                    <w:spacing w:line="240" w:lineRule="auto"/>
                    <w:ind w:firstLine="0" w:firstLineChars="0"/>
                    <w:jc w:val="center"/>
                    <w:rPr>
                      <w:color w:val="auto"/>
                      <w:kern w:val="0"/>
                      <w:sz w:val="21"/>
                      <w:szCs w:val="21"/>
                      <w:highlight w:val="none"/>
                    </w:rPr>
                  </w:pPr>
                  <w:r>
                    <w:rPr>
                      <w:color w:val="auto"/>
                      <w:kern w:val="0"/>
                      <w:sz w:val="21"/>
                      <w:szCs w:val="21"/>
                      <w:highlight w:val="none"/>
                    </w:rPr>
                    <w:t>4846.28</w:t>
                  </w:r>
                </w:p>
              </w:tc>
            </w:tr>
            <w:tr w14:paraId="77E2B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45CC9777">
                  <w:pPr>
                    <w:widowControl/>
                    <w:spacing w:line="240" w:lineRule="auto"/>
                    <w:ind w:firstLine="0" w:firstLineChars="0"/>
                    <w:jc w:val="center"/>
                    <w:rPr>
                      <w:color w:val="auto"/>
                      <w:kern w:val="0"/>
                      <w:sz w:val="21"/>
                      <w:szCs w:val="21"/>
                      <w:highlight w:val="none"/>
                    </w:rPr>
                  </w:pPr>
                  <w:r>
                    <w:rPr>
                      <w:color w:val="auto"/>
                      <w:kern w:val="0"/>
                      <w:sz w:val="21"/>
                      <w:szCs w:val="21"/>
                      <w:highlight w:val="none"/>
                    </w:rPr>
                    <w:t>18</w:t>
                  </w:r>
                </w:p>
              </w:tc>
              <w:tc>
                <w:tcPr>
                  <w:tcW w:w="2745" w:type="pct"/>
                  <w:tcBorders>
                    <w:tl2br w:val="nil"/>
                    <w:tr2bl w:val="nil"/>
                  </w:tcBorders>
                  <w:shd w:val="clear" w:color="000000" w:fill="FFFFFF"/>
                  <w:noWrap w:val="0"/>
                  <w:vAlign w:val="center"/>
                </w:tcPr>
                <w:p w14:paraId="744408E8">
                  <w:pPr>
                    <w:widowControl/>
                    <w:spacing w:line="240" w:lineRule="auto"/>
                    <w:ind w:firstLine="0" w:firstLineChars="0"/>
                    <w:jc w:val="center"/>
                    <w:rPr>
                      <w:color w:val="auto"/>
                      <w:kern w:val="0"/>
                      <w:sz w:val="21"/>
                      <w:szCs w:val="21"/>
                      <w:highlight w:val="none"/>
                    </w:rPr>
                  </w:pPr>
                  <w:r>
                    <w:rPr>
                      <w:color w:val="auto"/>
                      <w:kern w:val="0"/>
                      <w:sz w:val="21"/>
                      <w:szCs w:val="21"/>
                      <w:highlight w:val="none"/>
                    </w:rPr>
                    <w:t>堤顶路面预制路沿石C20砼</w:t>
                  </w:r>
                </w:p>
              </w:tc>
              <w:tc>
                <w:tcPr>
                  <w:tcW w:w="553" w:type="pct"/>
                  <w:tcBorders>
                    <w:tl2br w:val="nil"/>
                    <w:tr2bl w:val="nil"/>
                  </w:tcBorders>
                  <w:shd w:val="clear" w:color="000000" w:fill="FFFFFF"/>
                  <w:noWrap w:val="0"/>
                  <w:vAlign w:val="center"/>
                </w:tcPr>
                <w:p w14:paraId="19FE6CDA">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433D8291">
                  <w:pPr>
                    <w:widowControl/>
                    <w:spacing w:line="240" w:lineRule="auto"/>
                    <w:ind w:firstLine="0" w:firstLineChars="0"/>
                    <w:jc w:val="center"/>
                    <w:rPr>
                      <w:color w:val="auto"/>
                      <w:kern w:val="0"/>
                      <w:sz w:val="21"/>
                      <w:szCs w:val="21"/>
                      <w:highlight w:val="none"/>
                    </w:rPr>
                  </w:pPr>
                  <w:r>
                    <w:rPr>
                      <w:color w:val="auto"/>
                      <w:kern w:val="0"/>
                      <w:sz w:val="21"/>
                      <w:szCs w:val="21"/>
                      <w:highlight w:val="none"/>
                    </w:rPr>
                    <w:t>85.52</w:t>
                  </w:r>
                </w:p>
              </w:tc>
            </w:tr>
            <w:tr w14:paraId="0FFE3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39D2DB48">
                  <w:pPr>
                    <w:widowControl/>
                    <w:spacing w:line="240" w:lineRule="auto"/>
                    <w:ind w:firstLine="0" w:firstLineChars="0"/>
                    <w:jc w:val="center"/>
                    <w:rPr>
                      <w:color w:val="auto"/>
                      <w:kern w:val="0"/>
                      <w:sz w:val="21"/>
                      <w:szCs w:val="21"/>
                      <w:highlight w:val="none"/>
                    </w:rPr>
                  </w:pPr>
                  <w:r>
                    <w:rPr>
                      <w:color w:val="auto"/>
                      <w:kern w:val="0"/>
                      <w:sz w:val="21"/>
                      <w:szCs w:val="21"/>
                      <w:highlight w:val="none"/>
                    </w:rPr>
                    <w:t>19</w:t>
                  </w:r>
                </w:p>
              </w:tc>
              <w:tc>
                <w:tcPr>
                  <w:tcW w:w="2745" w:type="pct"/>
                  <w:tcBorders>
                    <w:tl2br w:val="nil"/>
                    <w:tr2bl w:val="nil"/>
                  </w:tcBorders>
                  <w:shd w:val="clear" w:color="000000" w:fill="FFFFFF"/>
                  <w:noWrap w:val="0"/>
                  <w:vAlign w:val="center"/>
                </w:tcPr>
                <w:p w14:paraId="5FE53EFB">
                  <w:pPr>
                    <w:widowControl/>
                    <w:spacing w:line="240" w:lineRule="auto"/>
                    <w:ind w:firstLine="0" w:firstLineChars="0"/>
                    <w:jc w:val="center"/>
                    <w:rPr>
                      <w:color w:val="auto"/>
                      <w:kern w:val="0"/>
                      <w:sz w:val="21"/>
                      <w:szCs w:val="21"/>
                      <w:highlight w:val="none"/>
                    </w:rPr>
                  </w:pPr>
                  <w:r>
                    <w:rPr>
                      <w:color w:val="auto"/>
                      <w:kern w:val="0"/>
                      <w:sz w:val="21"/>
                      <w:szCs w:val="21"/>
                      <w:highlight w:val="none"/>
                    </w:rPr>
                    <w:t>堤顶路面栏杆基础C20砼</w:t>
                  </w:r>
                </w:p>
              </w:tc>
              <w:tc>
                <w:tcPr>
                  <w:tcW w:w="553" w:type="pct"/>
                  <w:tcBorders>
                    <w:tl2br w:val="nil"/>
                    <w:tr2bl w:val="nil"/>
                  </w:tcBorders>
                  <w:shd w:val="clear" w:color="000000" w:fill="FFFFFF"/>
                  <w:noWrap w:val="0"/>
                  <w:vAlign w:val="center"/>
                </w:tcPr>
                <w:p w14:paraId="042632EB">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57E5C74E">
                  <w:pPr>
                    <w:widowControl/>
                    <w:spacing w:line="240" w:lineRule="auto"/>
                    <w:ind w:firstLine="0" w:firstLineChars="0"/>
                    <w:jc w:val="center"/>
                    <w:rPr>
                      <w:color w:val="auto"/>
                      <w:kern w:val="0"/>
                      <w:sz w:val="21"/>
                      <w:szCs w:val="21"/>
                      <w:highlight w:val="none"/>
                    </w:rPr>
                  </w:pPr>
                  <w:r>
                    <w:rPr>
                      <w:color w:val="auto"/>
                      <w:kern w:val="0"/>
                      <w:sz w:val="21"/>
                      <w:szCs w:val="21"/>
                      <w:highlight w:val="none"/>
                    </w:rPr>
                    <w:t>171.05</w:t>
                  </w:r>
                </w:p>
              </w:tc>
            </w:tr>
            <w:tr w14:paraId="0EED5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439A65C4">
                  <w:pPr>
                    <w:widowControl/>
                    <w:spacing w:line="240" w:lineRule="auto"/>
                    <w:ind w:firstLine="0" w:firstLineChars="0"/>
                    <w:jc w:val="center"/>
                    <w:rPr>
                      <w:color w:val="auto"/>
                      <w:kern w:val="0"/>
                      <w:sz w:val="21"/>
                      <w:szCs w:val="21"/>
                      <w:highlight w:val="none"/>
                    </w:rPr>
                  </w:pPr>
                  <w:r>
                    <w:rPr>
                      <w:color w:val="auto"/>
                      <w:kern w:val="0"/>
                      <w:sz w:val="21"/>
                      <w:szCs w:val="21"/>
                      <w:highlight w:val="none"/>
                    </w:rPr>
                    <w:t>20</w:t>
                  </w:r>
                </w:p>
              </w:tc>
              <w:tc>
                <w:tcPr>
                  <w:tcW w:w="2745" w:type="pct"/>
                  <w:tcBorders>
                    <w:tl2br w:val="nil"/>
                    <w:tr2bl w:val="nil"/>
                  </w:tcBorders>
                  <w:shd w:val="clear" w:color="000000" w:fill="FFFFFF"/>
                  <w:noWrap w:val="0"/>
                  <w:vAlign w:val="center"/>
                </w:tcPr>
                <w:p w14:paraId="32DA8B98">
                  <w:pPr>
                    <w:widowControl/>
                    <w:spacing w:line="240" w:lineRule="auto"/>
                    <w:ind w:firstLine="0" w:firstLineChars="0"/>
                    <w:jc w:val="center"/>
                    <w:rPr>
                      <w:color w:val="auto"/>
                      <w:kern w:val="0"/>
                      <w:sz w:val="21"/>
                      <w:szCs w:val="21"/>
                      <w:highlight w:val="none"/>
                    </w:rPr>
                  </w:pPr>
                  <w:r>
                    <w:rPr>
                      <w:color w:val="auto"/>
                      <w:kern w:val="0"/>
                      <w:sz w:val="21"/>
                      <w:szCs w:val="21"/>
                      <w:highlight w:val="none"/>
                    </w:rPr>
                    <w:t>堤顶路面仿木栏杆</w:t>
                  </w:r>
                </w:p>
              </w:tc>
              <w:tc>
                <w:tcPr>
                  <w:tcW w:w="553" w:type="pct"/>
                  <w:tcBorders>
                    <w:tl2br w:val="nil"/>
                    <w:tr2bl w:val="nil"/>
                  </w:tcBorders>
                  <w:shd w:val="clear" w:color="000000" w:fill="FFFFFF"/>
                  <w:noWrap w:val="0"/>
                  <w:vAlign w:val="center"/>
                </w:tcPr>
                <w:p w14:paraId="7F2E8558">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1146" w:type="pct"/>
                  <w:tcBorders>
                    <w:tl2br w:val="nil"/>
                    <w:tr2bl w:val="nil"/>
                  </w:tcBorders>
                  <w:shd w:val="clear" w:color="000000" w:fill="FFFFFF"/>
                  <w:noWrap w:val="0"/>
                  <w:vAlign w:val="center"/>
                </w:tcPr>
                <w:p w14:paraId="323A8390">
                  <w:pPr>
                    <w:widowControl/>
                    <w:spacing w:line="240" w:lineRule="auto"/>
                    <w:ind w:firstLine="0" w:firstLineChars="0"/>
                    <w:jc w:val="center"/>
                    <w:rPr>
                      <w:color w:val="auto"/>
                      <w:kern w:val="0"/>
                      <w:sz w:val="21"/>
                      <w:szCs w:val="21"/>
                      <w:highlight w:val="none"/>
                    </w:rPr>
                  </w:pPr>
                  <w:r>
                    <w:rPr>
                      <w:color w:val="auto"/>
                      <w:kern w:val="0"/>
                      <w:sz w:val="21"/>
                      <w:szCs w:val="21"/>
                      <w:highlight w:val="none"/>
                    </w:rPr>
                    <w:t>1900.50</w:t>
                  </w:r>
                </w:p>
              </w:tc>
            </w:tr>
            <w:tr w14:paraId="0421D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385F7510">
                  <w:pPr>
                    <w:widowControl/>
                    <w:spacing w:line="240" w:lineRule="auto"/>
                    <w:ind w:firstLine="0" w:firstLineChars="0"/>
                    <w:jc w:val="center"/>
                    <w:rPr>
                      <w:color w:val="auto"/>
                      <w:kern w:val="0"/>
                      <w:sz w:val="21"/>
                      <w:szCs w:val="21"/>
                      <w:highlight w:val="none"/>
                    </w:rPr>
                  </w:pPr>
                  <w:r>
                    <w:rPr>
                      <w:color w:val="auto"/>
                      <w:kern w:val="0"/>
                      <w:sz w:val="21"/>
                      <w:szCs w:val="21"/>
                      <w:highlight w:val="none"/>
                    </w:rPr>
                    <w:t>21</w:t>
                  </w:r>
                </w:p>
              </w:tc>
              <w:tc>
                <w:tcPr>
                  <w:tcW w:w="2745" w:type="pct"/>
                  <w:tcBorders>
                    <w:tl2br w:val="nil"/>
                    <w:tr2bl w:val="nil"/>
                  </w:tcBorders>
                  <w:shd w:val="clear" w:color="000000" w:fill="FFFFFF"/>
                  <w:noWrap w:val="0"/>
                  <w:vAlign w:val="center"/>
                </w:tcPr>
                <w:p w14:paraId="2EE978D3">
                  <w:pPr>
                    <w:widowControl/>
                    <w:spacing w:line="240" w:lineRule="auto"/>
                    <w:ind w:firstLine="0" w:firstLineChars="0"/>
                    <w:jc w:val="center"/>
                    <w:rPr>
                      <w:color w:val="auto"/>
                      <w:kern w:val="0"/>
                      <w:sz w:val="21"/>
                      <w:szCs w:val="21"/>
                      <w:highlight w:val="none"/>
                    </w:rPr>
                  </w:pPr>
                  <w:r>
                    <w:rPr>
                      <w:color w:val="auto"/>
                      <w:kern w:val="0"/>
                      <w:sz w:val="21"/>
                      <w:szCs w:val="21"/>
                      <w:highlight w:val="none"/>
                    </w:rPr>
                    <w:t>压顶C20砼</w:t>
                  </w:r>
                </w:p>
              </w:tc>
              <w:tc>
                <w:tcPr>
                  <w:tcW w:w="553" w:type="pct"/>
                  <w:tcBorders>
                    <w:tl2br w:val="nil"/>
                    <w:tr2bl w:val="nil"/>
                  </w:tcBorders>
                  <w:shd w:val="clear" w:color="000000" w:fill="FFFFFF"/>
                  <w:noWrap w:val="0"/>
                  <w:vAlign w:val="center"/>
                </w:tcPr>
                <w:p w14:paraId="15AF1F39">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74B2F43F">
                  <w:pPr>
                    <w:widowControl/>
                    <w:spacing w:line="240" w:lineRule="auto"/>
                    <w:ind w:firstLine="0" w:firstLineChars="0"/>
                    <w:jc w:val="center"/>
                    <w:rPr>
                      <w:color w:val="auto"/>
                      <w:kern w:val="0"/>
                      <w:sz w:val="21"/>
                      <w:szCs w:val="21"/>
                      <w:highlight w:val="none"/>
                    </w:rPr>
                  </w:pPr>
                  <w:r>
                    <w:rPr>
                      <w:color w:val="auto"/>
                      <w:kern w:val="0"/>
                      <w:sz w:val="21"/>
                      <w:szCs w:val="21"/>
                      <w:highlight w:val="none"/>
                    </w:rPr>
                    <w:t>106.97</w:t>
                  </w:r>
                </w:p>
              </w:tc>
            </w:tr>
            <w:tr w14:paraId="43CFB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1A93B7F8">
                  <w:pPr>
                    <w:widowControl/>
                    <w:spacing w:line="240" w:lineRule="auto"/>
                    <w:ind w:firstLine="0" w:firstLineChars="0"/>
                    <w:jc w:val="center"/>
                    <w:rPr>
                      <w:color w:val="auto"/>
                      <w:kern w:val="0"/>
                      <w:sz w:val="21"/>
                      <w:szCs w:val="21"/>
                      <w:highlight w:val="none"/>
                    </w:rPr>
                  </w:pPr>
                  <w:r>
                    <w:rPr>
                      <w:color w:val="auto"/>
                      <w:kern w:val="0"/>
                      <w:sz w:val="21"/>
                      <w:szCs w:val="21"/>
                      <w:highlight w:val="none"/>
                    </w:rPr>
                    <w:t>22</w:t>
                  </w:r>
                </w:p>
              </w:tc>
              <w:tc>
                <w:tcPr>
                  <w:tcW w:w="2745" w:type="pct"/>
                  <w:tcBorders>
                    <w:tl2br w:val="nil"/>
                    <w:tr2bl w:val="nil"/>
                  </w:tcBorders>
                  <w:shd w:val="clear" w:color="000000" w:fill="FFFFFF"/>
                  <w:noWrap w:val="0"/>
                  <w:vAlign w:val="center"/>
                </w:tcPr>
                <w:p w14:paraId="71ED74C3">
                  <w:pPr>
                    <w:widowControl/>
                    <w:spacing w:line="240" w:lineRule="auto"/>
                    <w:ind w:firstLine="0" w:firstLineChars="0"/>
                    <w:jc w:val="center"/>
                    <w:rPr>
                      <w:color w:val="auto"/>
                      <w:kern w:val="0"/>
                      <w:sz w:val="21"/>
                      <w:szCs w:val="21"/>
                      <w:highlight w:val="none"/>
                    </w:rPr>
                  </w:pPr>
                  <w:r>
                    <w:rPr>
                      <w:color w:val="auto"/>
                      <w:kern w:val="0"/>
                      <w:sz w:val="21"/>
                      <w:szCs w:val="21"/>
                      <w:highlight w:val="none"/>
                    </w:rPr>
                    <w:t>模板制安</w:t>
                  </w:r>
                </w:p>
              </w:tc>
              <w:tc>
                <w:tcPr>
                  <w:tcW w:w="553" w:type="pct"/>
                  <w:tcBorders>
                    <w:tl2br w:val="nil"/>
                    <w:tr2bl w:val="nil"/>
                  </w:tcBorders>
                  <w:shd w:val="clear" w:color="000000" w:fill="FFFFFF"/>
                  <w:noWrap w:val="0"/>
                  <w:vAlign w:val="center"/>
                </w:tcPr>
                <w:p w14:paraId="4E76883E">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1146" w:type="pct"/>
                  <w:tcBorders>
                    <w:tl2br w:val="nil"/>
                    <w:tr2bl w:val="nil"/>
                  </w:tcBorders>
                  <w:shd w:val="clear" w:color="000000" w:fill="FFFFFF"/>
                  <w:noWrap w:val="0"/>
                  <w:vAlign w:val="center"/>
                </w:tcPr>
                <w:p w14:paraId="7EB2243B">
                  <w:pPr>
                    <w:widowControl/>
                    <w:spacing w:line="240" w:lineRule="auto"/>
                    <w:ind w:firstLine="0" w:firstLineChars="0"/>
                    <w:jc w:val="center"/>
                    <w:rPr>
                      <w:color w:val="auto"/>
                      <w:kern w:val="0"/>
                      <w:sz w:val="21"/>
                      <w:szCs w:val="21"/>
                      <w:highlight w:val="none"/>
                    </w:rPr>
                  </w:pPr>
                  <w:r>
                    <w:rPr>
                      <w:color w:val="auto"/>
                      <w:kern w:val="0"/>
                      <w:sz w:val="21"/>
                      <w:szCs w:val="21"/>
                      <w:highlight w:val="none"/>
                    </w:rPr>
                    <w:t>17443.44</w:t>
                  </w:r>
                </w:p>
              </w:tc>
            </w:tr>
            <w:tr w14:paraId="2C6F6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0F2A290E">
                  <w:pPr>
                    <w:widowControl/>
                    <w:spacing w:line="240" w:lineRule="auto"/>
                    <w:ind w:firstLine="0" w:firstLineChars="0"/>
                    <w:jc w:val="center"/>
                    <w:rPr>
                      <w:color w:val="auto"/>
                      <w:kern w:val="0"/>
                      <w:sz w:val="21"/>
                      <w:szCs w:val="21"/>
                      <w:highlight w:val="none"/>
                    </w:rPr>
                  </w:pPr>
                  <w:r>
                    <w:rPr>
                      <w:color w:val="auto"/>
                      <w:kern w:val="0"/>
                      <w:sz w:val="21"/>
                      <w:szCs w:val="21"/>
                      <w:highlight w:val="none"/>
                    </w:rPr>
                    <w:t>23</w:t>
                  </w:r>
                </w:p>
              </w:tc>
              <w:tc>
                <w:tcPr>
                  <w:tcW w:w="2745" w:type="pct"/>
                  <w:tcBorders>
                    <w:tl2br w:val="nil"/>
                    <w:tr2bl w:val="nil"/>
                  </w:tcBorders>
                  <w:shd w:val="clear" w:color="000000" w:fill="FFFFFF"/>
                  <w:noWrap w:val="0"/>
                  <w:vAlign w:val="center"/>
                </w:tcPr>
                <w:p w14:paraId="016A976A">
                  <w:pPr>
                    <w:widowControl/>
                    <w:spacing w:line="240" w:lineRule="auto"/>
                    <w:ind w:firstLine="0" w:firstLineChars="0"/>
                    <w:jc w:val="center"/>
                    <w:rPr>
                      <w:color w:val="auto"/>
                      <w:kern w:val="0"/>
                      <w:sz w:val="21"/>
                      <w:szCs w:val="21"/>
                      <w:highlight w:val="none"/>
                    </w:rPr>
                  </w:pPr>
                  <w:r>
                    <w:rPr>
                      <w:color w:val="auto"/>
                      <w:kern w:val="0"/>
                      <w:sz w:val="21"/>
                      <w:szCs w:val="21"/>
                      <w:highlight w:val="none"/>
                    </w:rPr>
                    <w:t>聚乙烯泡沫板分缝 2cm厚</w:t>
                  </w:r>
                </w:p>
              </w:tc>
              <w:tc>
                <w:tcPr>
                  <w:tcW w:w="553" w:type="pct"/>
                  <w:tcBorders>
                    <w:tl2br w:val="nil"/>
                    <w:tr2bl w:val="nil"/>
                  </w:tcBorders>
                  <w:shd w:val="clear" w:color="000000" w:fill="FFFFFF"/>
                  <w:noWrap w:val="0"/>
                  <w:vAlign w:val="center"/>
                </w:tcPr>
                <w:p w14:paraId="1B5771AC">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1146" w:type="pct"/>
                  <w:tcBorders>
                    <w:tl2br w:val="nil"/>
                    <w:tr2bl w:val="nil"/>
                  </w:tcBorders>
                  <w:shd w:val="clear" w:color="000000" w:fill="FFFFFF"/>
                  <w:noWrap w:val="0"/>
                  <w:vAlign w:val="center"/>
                </w:tcPr>
                <w:p w14:paraId="508BFFA6">
                  <w:pPr>
                    <w:widowControl/>
                    <w:spacing w:line="240" w:lineRule="auto"/>
                    <w:ind w:firstLine="0" w:firstLineChars="0"/>
                    <w:jc w:val="center"/>
                    <w:rPr>
                      <w:color w:val="auto"/>
                      <w:kern w:val="0"/>
                      <w:sz w:val="21"/>
                      <w:szCs w:val="21"/>
                      <w:highlight w:val="none"/>
                    </w:rPr>
                  </w:pPr>
                  <w:r>
                    <w:rPr>
                      <w:color w:val="auto"/>
                      <w:kern w:val="0"/>
                      <w:sz w:val="21"/>
                      <w:szCs w:val="21"/>
                      <w:highlight w:val="none"/>
                    </w:rPr>
                    <w:t>716.11</w:t>
                  </w:r>
                </w:p>
              </w:tc>
            </w:tr>
            <w:tr w14:paraId="2D3C1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1E6A1AD9">
                  <w:pPr>
                    <w:widowControl/>
                    <w:spacing w:line="240" w:lineRule="auto"/>
                    <w:ind w:firstLine="0" w:firstLineChars="0"/>
                    <w:jc w:val="center"/>
                    <w:rPr>
                      <w:color w:val="auto"/>
                      <w:kern w:val="0"/>
                      <w:sz w:val="21"/>
                      <w:szCs w:val="21"/>
                      <w:highlight w:val="none"/>
                    </w:rPr>
                  </w:pPr>
                  <w:r>
                    <w:rPr>
                      <w:color w:val="auto"/>
                      <w:kern w:val="0"/>
                      <w:sz w:val="21"/>
                      <w:szCs w:val="21"/>
                      <w:highlight w:val="none"/>
                    </w:rPr>
                    <w:t>24</w:t>
                  </w:r>
                </w:p>
              </w:tc>
              <w:tc>
                <w:tcPr>
                  <w:tcW w:w="2745" w:type="pct"/>
                  <w:tcBorders>
                    <w:tl2br w:val="nil"/>
                    <w:tr2bl w:val="nil"/>
                  </w:tcBorders>
                  <w:shd w:val="clear" w:color="000000" w:fill="FFFFFF"/>
                  <w:noWrap w:val="0"/>
                  <w:vAlign w:val="center"/>
                </w:tcPr>
                <w:p w14:paraId="65D13C88">
                  <w:pPr>
                    <w:widowControl/>
                    <w:spacing w:line="240" w:lineRule="auto"/>
                    <w:ind w:firstLine="0" w:firstLineChars="0"/>
                    <w:jc w:val="center"/>
                    <w:rPr>
                      <w:color w:val="auto"/>
                      <w:kern w:val="0"/>
                      <w:sz w:val="21"/>
                      <w:szCs w:val="21"/>
                      <w:highlight w:val="none"/>
                    </w:rPr>
                  </w:pPr>
                  <w:r>
                    <w:rPr>
                      <w:color w:val="auto"/>
                      <w:kern w:val="0"/>
                      <w:sz w:val="21"/>
                      <w:szCs w:val="21"/>
                      <w:highlight w:val="none"/>
                    </w:rPr>
                    <w:t>挂网喷护C20砼 10cm厚</w:t>
                  </w:r>
                </w:p>
              </w:tc>
              <w:tc>
                <w:tcPr>
                  <w:tcW w:w="553" w:type="pct"/>
                  <w:tcBorders>
                    <w:tl2br w:val="nil"/>
                    <w:tr2bl w:val="nil"/>
                  </w:tcBorders>
                  <w:shd w:val="clear" w:color="000000" w:fill="FFFFFF"/>
                  <w:noWrap w:val="0"/>
                  <w:vAlign w:val="center"/>
                </w:tcPr>
                <w:p w14:paraId="76A0D18A">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523D5E0A">
                  <w:pPr>
                    <w:widowControl/>
                    <w:spacing w:line="240" w:lineRule="auto"/>
                    <w:ind w:firstLine="0" w:firstLineChars="0"/>
                    <w:jc w:val="center"/>
                    <w:rPr>
                      <w:color w:val="auto"/>
                      <w:kern w:val="0"/>
                      <w:sz w:val="21"/>
                      <w:szCs w:val="21"/>
                      <w:highlight w:val="none"/>
                    </w:rPr>
                  </w:pPr>
                  <w:r>
                    <w:rPr>
                      <w:color w:val="auto"/>
                      <w:kern w:val="0"/>
                      <w:sz w:val="21"/>
                      <w:szCs w:val="21"/>
                      <w:highlight w:val="none"/>
                    </w:rPr>
                    <w:t>259.38</w:t>
                  </w:r>
                </w:p>
              </w:tc>
            </w:tr>
            <w:tr w14:paraId="58895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16402498">
                  <w:pPr>
                    <w:widowControl/>
                    <w:spacing w:line="240" w:lineRule="auto"/>
                    <w:ind w:firstLine="0" w:firstLineChars="0"/>
                    <w:jc w:val="center"/>
                    <w:rPr>
                      <w:color w:val="auto"/>
                      <w:kern w:val="0"/>
                      <w:sz w:val="21"/>
                      <w:szCs w:val="21"/>
                      <w:highlight w:val="none"/>
                    </w:rPr>
                  </w:pPr>
                  <w:r>
                    <w:rPr>
                      <w:color w:val="auto"/>
                      <w:kern w:val="0"/>
                      <w:sz w:val="21"/>
                      <w:szCs w:val="21"/>
                      <w:highlight w:val="none"/>
                    </w:rPr>
                    <w:t>25</w:t>
                  </w:r>
                </w:p>
              </w:tc>
              <w:tc>
                <w:tcPr>
                  <w:tcW w:w="2745" w:type="pct"/>
                  <w:tcBorders>
                    <w:tl2br w:val="nil"/>
                    <w:tr2bl w:val="nil"/>
                  </w:tcBorders>
                  <w:shd w:val="clear" w:color="000000" w:fill="FFFFFF"/>
                  <w:noWrap w:val="0"/>
                  <w:vAlign w:val="center"/>
                </w:tcPr>
                <w:p w14:paraId="3B476453">
                  <w:pPr>
                    <w:widowControl/>
                    <w:spacing w:line="240" w:lineRule="auto"/>
                    <w:ind w:firstLine="0" w:firstLineChars="0"/>
                    <w:jc w:val="center"/>
                    <w:rPr>
                      <w:color w:val="auto"/>
                      <w:kern w:val="0"/>
                      <w:sz w:val="21"/>
                      <w:szCs w:val="21"/>
                      <w:highlight w:val="none"/>
                    </w:rPr>
                  </w:pPr>
                  <w:r>
                    <w:rPr>
                      <w:color w:val="auto"/>
                      <w:kern w:val="0"/>
                      <w:sz w:val="21"/>
                      <w:szCs w:val="21"/>
                      <w:highlight w:val="none"/>
                    </w:rPr>
                    <w:t>钢筋网Φ6@200×200</w:t>
                  </w:r>
                </w:p>
              </w:tc>
              <w:tc>
                <w:tcPr>
                  <w:tcW w:w="553" w:type="pct"/>
                  <w:tcBorders>
                    <w:tl2br w:val="nil"/>
                    <w:tr2bl w:val="nil"/>
                  </w:tcBorders>
                  <w:shd w:val="clear" w:color="000000" w:fill="FFFFFF"/>
                  <w:noWrap w:val="0"/>
                  <w:vAlign w:val="center"/>
                </w:tcPr>
                <w:p w14:paraId="13A8E835">
                  <w:pPr>
                    <w:widowControl/>
                    <w:spacing w:line="240" w:lineRule="auto"/>
                    <w:ind w:firstLine="0" w:firstLineChars="0"/>
                    <w:jc w:val="center"/>
                    <w:rPr>
                      <w:color w:val="auto"/>
                      <w:kern w:val="0"/>
                      <w:sz w:val="21"/>
                      <w:szCs w:val="21"/>
                      <w:highlight w:val="none"/>
                    </w:rPr>
                  </w:pPr>
                  <w:r>
                    <w:rPr>
                      <w:color w:val="auto"/>
                      <w:kern w:val="0"/>
                      <w:sz w:val="21"/>
                      <w:szCs w:val="21"/>
                      <w:highlight w:val="none"/>
                    </w:rPr>
                    <w:t>t</w:t>
                  </w:r>
                </w:p>
              </w:tc>
              <w:tc>
                <w:tcPr>
                  <w:tcW w:w="1146" w:type="pct"/>
                  <w:tcBorders>
                    <w:tl2br w:val="nil"/>
                    <w:tr2bl w:val="nil"/>
                  </w:tcBorders>
                  <w:shd w:val="clear" w:color="000000" w:fill="FFFFFF"/>
                  <w:noWrap w:val="0"/>
                  <w:vAlign w:val="center"/>
                </w:tcPr>
                <w:p w14:paraId="71AD8E7F">
                  <w:pPr>
                    <w:widowControl/>
                    <w:spacing w:line="240" w:lineRule="auto"/>
                    <w:ind w:firstLine="0" w:firstLineChars="0"/>
                    <w:jc w:val="center"/>
                    <w:rPr>
                      <w:color w:val="auto"/>
                      <w:kern w:val="0"/>
                      <w:sz w:val="21"/>
                      <w:szCs w:val="21"/>
                      <w:highlight w:val="none"/>
                    </w:rPr>
                  </w:pPr>
                  <w:r>
                    <w:rPr>
                      <w:color w:val="auto"/>
                      <w:kern w:val="0"/>
                      <w:sz w:val="21"/>
                      <w:szCs w:val="21"/>
                      <w:highlight w:val="none"/>
                    </w:rPr>
                    <w:t>5.76</w:t>
                  </w:r>
                </w:p>
              </w:tc>
            </w:tr>
            <w:tr w14:paraId="26433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141203E5">
                  <w:pPr>
                    <w:widowControl/>
                    <w:spacing w:line="240" w:lineRule="auto"/>
                    <w:ind w:firstLine="0" w:firstLineChars="0"/>
                    <w:jc w:val="center"/>
                    <w:rPr>
                      <w:color w:val="auto"/>
                      <w:kern w:val="0"/>
                      <w:sz w:val="21"/>
                      <w:szCs w:val="21"/>
                      <w:highlight w:val="none"/>
                    </w:rPr>
                  </w:pPr>
                  <w:r>
                    <w:rPr>
                      <w:color w:val="auto"/>
                      <w:kern w:val="0"/>
                      <w:sz w:val="21"/>
                      <w:szCs w:val="21"/>
                      <w:highlight w:val="none"/>
                    </w:rPr>
                    <w:t>26</w:t>
                  </w:r>
                </w:p>
              </w:tc>
              <w:tc>
                <w:tcPr>
                  <w:tcW w:w="2745" w:type="pct"/>
                  <w:tcBorders>
                    <w:tl2br w:val="nil"/>
                    <w:tr2bl w:val="nil"/>
                  </w:tcBorders>
                  <w:shd w:val="clear" w:color="000000" w:fill="FFFFFF"/>
                  <w:noWrap w:val="0"/>
                  <w:vAlign w:val="center"/>
                </w:tcPr>
                <w:p w14:paraId="178A1365">
                  <w:pPr>
                    <w:widowControl/>
                    <w:spacing w:line="240" w:lineRule="auto"/>
                    <w:ind w:firstLine="0" w:firstLineChars="0"/>
                    <w:jc w:val="center"/>
                    <w:rPr>
                      <w:color w:val="auto"/>
                      <w:kern w:val="0"/>
                      <w:sz w:val="21"/>
                      <w:szCs w:val="21"/>
                      <w:highlight w:val="none"/>
                    </w:rPr>
                  </w:pPr>
                  <w:r>
                    <w:rPr>
                      <w:color w:val="auto"/>
                      <w:kern w:val="0"/>
                      <w:sz w:val="21"/>
                      <w:szCs w:val="21"/>
                      <w:highlight w:val="none"/>
                    </w:rPr>
                    <w:t>岸坡清理</w:t>
                  </w:r>
                </w:p>
              </w:tc>
              <w:tc>
                <w:tcPr>
                  <w:tcW w:w="553" w:type="pct"/>
                  <w:tcBorders>
                    <w:tl2br w:val="nil"/>
                    <w:tr2bl w:val="nil"/>
                  </w:tcBorders>
                  <w:shd w:val="clear" w:color="000000" w:fill="FFFFFF"/>
                  <w:noWrap w:val="0"/>
                  <w:vAlign w:val="center"/>
                </w:tcPr>
                <w:p w14:paraId="55B2206A">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1146" w:type="pct"/>
                  <w:tcBorders>
                    <w:tl2br w:val="nil"/>
                    <w:tr2bl w:val="nil"/>
                  </w:tcBorders>
                  <w:shd w:val="clear" w:color="000000" w:fill="FFFFFF"/>
                  <w:noWrap w:val="0"/>
                  <w:vAlign w:val="center"/>
                </w:tcPr>
                <w:p w14:paraId="0BE7AC91">
                  <w:pPr>
                    <w:widowControl/>
                    <w:spacing w:line="240" w:lineRule="auto"/>
                    <w:ind w:firstLine="0" w:firstLineChars="0"/>
                    <w:jc w:val="center"/>
                    <w:rPr>
                      <w:color w:val="auto"/>
                      <w:kern w:val="0"/>
                      <w:sz w:val="21"/>
                      <w:szCs w:val="21"/>
                      <w:highlight w:val="none"/>
                    </w:rPr>
                  </w:pPr>
                  <w:r>
                    <w:rPr>
                      <w:color w:val="auto"/>
                      <w:kern w:val="0"/>
                      <w:sz w:val="21"/>
                      <w:szCs w:val="21"/>
                      <w:highlight w:val="none"/>
                    </w:rPr>
                    <w:t>36561.00</w:t>
                  </w:r>
                </w:p>
              </w:tc>
            </w:tr>
            <w:tr w14:paraId="7C299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 w:hRule="atLeast"/>
                <w:jc w:val="center"/>
              </w:trPr>
              <w:tc>
                <w:tcPr>
                  <w:tcW w:w="553" w:type="pct"/>
                  <w:tcBorders>
                    <w:tl2br w:val="nil"/>
                    <w:tr2bl w:val="nil"/>
                  </w:tcBorders>
                  <w:shd w:val="clear" w:color="000000" w:fill="FFFFFF"/>
                  <w:noWrap w:val="0"/>
                  <w:vAlign w:val="center"/>
                </w:tcPr>
                <w:p w14:paraId="41F4ABBC">
                  <w:pPr>
                    <w:widowControl/>
                    <w:spacing w:line="240" w:lineRule="auto"/>
                    <w:ind w:firstLine="0" w:firstLineChars="0"/>
                    <w:jc w:val="center"/>
                    <w:rPr>
                      <w:color w:val="auto"/>
                      <w:kern w:val="0"/>
                      <w:sz w:val="21"/>
                      <w:szCs w:val="21"/>
                      <w:highlight w:val="none"/>
                    </w:rPr>
                  </w:pPr>
                  <w:r>
                    <w:rPr>
                      <w:color w:val="auto"/>
                      <w:kern w:val="0"/>
                      <w:sz w:val="21"/>
                      <w:szCs w:val="21"/>
                      <w:highlight w:val="none"/>
                    </w:rPr>
                    <w:t>27</w:t>
                  </w:r>
                </w:p>
              </w:tc>
              <w:tc>
                <w:tcPr>
                  <w:tcW w:w="2745" w:type="pct"/>
                  <w:tcBorders>
                    <w:tl2br w:val="nil"/>
                    <w:tr2bl w:val="nil"/>
                  </w:tcBorders>
                  <w:shd w:val="clear" w:color="000000" w:fill="FFFFFF"/>
                  <w:noWrap w:val="0"/>
                  <w:vAlign w:val="center"/>
                </w:tcPr>
                <w:p w14:paraId="4659E10D">
                  <w:pPr>
                    <w:widowControl/>
                    <w:spacing w:line="240" w:lineRule="auto"/>
                    <w:ind w:firstLine="0" w:firstLineChars="0"/>
                    <w:jc w:val="center"/>
                    <w:rPr>
                      <w:color w:val="auto"/>
                      <w:kern w:val="0"/>
                      <w:sz w:val="21"/>
                      <w:szCs w:val="21"/>
                      <w:highlight w:val="none"/>
                    </w:rPr>
                  </w:pPr>
                  <w:r>
                    <w:rPr>
                      <w:color w:val="auto"/>
                      <w:kern w:val="0"/>
                      <w:sz w:val="21"/>
                      <w:szCs w:val="21"/>
                      <w:highlight w:val="none"/>
                    </w:rPr>
                    <w:t>Φ800 II级钢筋砼管涵</w:t>
                  </w:r>
                </w:p>
              </w:tc>
              <w:tc>
                <w:tcPr>
                  <w:tcW w:w="553" w:type="pct"/>
                  <w:tcBorders>
                    <w:tl2br w:val="nil"/>
                    <w:tr2bl w:val="nil"/>
                  </w:tcBorders>
                  <w:shd w:val="clear" w:color="000000" w:fill="FFFFFF"/>
                  <w:noWrap w:val="0"/>
                  <w:vAlign w:val="center"/>
                </w:tcPr>
                <w:p w14:paraId="668243B4">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1146" w:type="pct"/>
                  <w:tcBorders>
                    <w:tl2br w:val="nil"/>
                    <w:tr2bl w:val="nil"/>
                  </w:tcBorders>
                  <w:shd w:val="clear" w:color="000000" w:fill="FFFFFF"/>
                  <w:noWrap w:val="0"/>
                  <w:vAlign w:val="center"/>
                </w:tcPr>
                <w:p w14:paraId="23827976">
                  <w:pPr>
                    <w:widowControl/>
                    <w:spacing w:line="240" w:lineRule="auto"/>
                    <w:ind w:firstLine="0" w:firstLineChars="0"/>
                    <w:jc w:val="center"/>
                    <w:rPr>
                      <w:color w:val="auto"/>
                      <w:kern w:val="0"/>
                      <w:sz w:val="21"/>
                      <w:szCs w:val="21"/>
                      <w:highlight w:val="none"/>
                    </w:rPr>
                  </w:pPr>
                  <w:r>
                    <w:rPr>
                      <w:color w:val="auto"/>
                      <w:kern w:val="0"/>
                      <w:sz w:val="21"/>
                      <w:szCs w:val="21"/>
                      <w:highlight w:val="none"/>
                    </w:rPr>
                    <w:t>141.75</w:t>
                  </w:r>
                </w:p>
              </w:tc>
            </w:tr>
            <w:tr w14:paraId="0533A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 w:hRule="atLeast"/>
                <w:jc w:val="center"/>
              </w:trPr>
              <w:tc>
                <w:tcPr>
                  <w:tcW w:w="553" w:type="pct"/>
                  <w:tcBorders>
                    <w:tl2br w:val="nil"/>
                    <w:tr2bl w:val="nil"/>
                  </w:tcBorders>
                  <w:shd w:val="clear" w:color="000000" w:fill="FFFFFF"/>
                  <w:noWrap w:val="0"/>
                  <w:vAlign w:val="center"/>
                </w:tcPr>
                <w:p w14:paraId="0B0A01DA">
                  <w:pPr>
                    <w:widowControl/>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28</w:t>
                  </w:r>
                </w:p>
              </w:tc>
              <w:tc>
                <w:tcPr>
                  <w:tcW w:w="2745" w:type="pct"/>
                  <w:tcBorders>
                    <w:tl2br w:val="nil"/>
                    <w:tr2bl w:val="nil"/>
                  </w:tcBorders>
                  <w:shd w:val="clear" w:color="000000" w:fill="FFFFFF"/>
                  <w:noWrap w:val="0"/>
                  <w:vAlign w:val="center"/>
                </w:tcPr>
                <w:p w14:paraId="68E909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宋体"/>
                      <w:i w:val="0"/>
                      <w:iCs w:val="0"/>
                      <w:color w:val="auto"/>
                      <w:kern w:val="0"/>
                      <w:sz w:val="21"/>
                      <w:szCs w:val="21"/>
                      <w:highlight w:val="none"/>
                      <w:u w:val="none"/>
                      <w:lang w:val="en-US" w:eastAsia="zh-CN" w:bidi="ar"/>
                    </w:rPr>
                    <w:t>河道疏浚</w:t>
                  </w:r>
                </w:p>
              </w:tc>
              <w:tc>
                <w:tcPr>
                  <w:tcW w:w="553" w:type="pct"/>
                  <w:tcBorders>
                    <w:tl2br w:val="nil"/>
                    <w:tr2bl w:val="nil"/>
                  </w:tcBorders>
                  <w:shd w:val="clear" w:color="000000" w:fill="FFFFFF"/>
                  <w:noWrap w:val="0"/>
                  <w:vAlign w:val="center"/>
                </w:tcPr>
                <w:p w14:paraId="79444A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146" w:type="pct"/>
                  <w:tcBorders>
                    <w:tl2br w:val="nil"/>
                    <w:tr2bl w:val="nil"/>
                  </w:tcBorders>
                  <w:shd w:val="clear" w:color="000000" w:fill="FFFFFF"/>
                  <w:noWrap w:val="0"/>
                  <w:vAlign w:val="center"/>
                </w:tcPr>
                <w:p w14:paraId="38F4CB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16532</w:t>
                  </w:r>
                  <w:r>
                    <w:rPr>
                      <w:rFonts w:hint="eastAsia" w:ascii="Times New Roman" w:hAnsi="Times New Roman" w:eastAsia="宋体" w:cs="宋体"/>
                      <w:i w:val="0"/>
                      <w:iCs w:val="0"/>
                      <w:color w:val="auto"/>
                      <w:kern w:val="0"/>
                      <w:sz w:val="21"/>
                      <w:szCs w:val="21"/>
                      <w:highlight w:val="none"/>
                      <w:u w:val="none"/>
                      <w:lang w:val="en-US" w:eastAsia="zh-CN" w:bidi="ar"/>
                    </w:rPr>
                    <w:t>.00</w:t>
                  </w:r>
                </w:p>
              </w:tc>
            </w:tr>
            <w:tr w14:paraId="1894A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60D74D62">
                  <w:pPr>
                    <w:widowControl/>
                    <w:spacing w:line="240" w:lineRule="auto"/>
                    <w:ind w:firstLine="0" w:firstLineChars="0"/>
                    <w:jc w:val="center"/>
                    <w:rPr>
                      <w:color w:val="auto"/>
                      <w:kern w:val="0"/>
                      <w:sz w:val="21"/>
                      <w:szCs w:val="21"/>
                      <w:highlight w:val="none"/>
                    </w:rPr>
                  </w:pPr>
                  <w:r>
                    <w:rPr>
                      <w:color w:val="auto"/>
                      <w:kern w:val="0"/>
                      <w:sz w:val="21"/>
                      <w:szCs w:val="21"/>
                      <w:highlight w:val="none"/>
                    </w:rPr>
                    <w:t>二</w:t>
                  </w:r>
                </w:p>
              </w:tc>
              <w:tc>
                <w:tcPr>
                  <w:tcW w:w="2745" w:type="pct"/>
                  <w:tcBorders>
                    <w:tl2br w:val="nil"/>
                    <w:tr2bl w:val="nil"/>
                  </w:tcBorders>
                  <w:shd w:val="clear" w:color="000000" w:fill="FFFFFF"/>
                  <w:noWrap w:val="0"/>
                  <w:vAlign w:val="center"/>
                </w:tcPr>
                <w:p w14:paraId="7439ADFF">
                  <w:pPr>
                    <w:widowControl/>
                    <w:spacing w:line="240" w:lineRule="auto"/>
                    <w:ind w:firstLine="0" w:firstLineChars="0"/>
                    <w:jc w:val="center"/>
                    <w:rPr>
                      <w:color w:val="auto"/>
                      <w:kern w:val="0"/>
                      <w:sz w:val="21"/>
                      <w:szCs w:val="21"/>
                      <w:highlight w:val="none"/>
                    </w:rPr>
                  </w:pPr>
                  <w:r>
                    <w:rPr>
                      <w:color w:val="auto"/>
                      <w:kern w:val="0"/>
                      <w:sz w:val="21"/>
                      <w:szCs w:val="21"/>
                      <w:highlight w:val="none"/>
                    </w:rPr>
                    <w:t>桥涵工程</w:t>
                  </w:r>
                </w:p>
              </w:tc>
              <w:tc>
                <w:tcPr>
                  <w:tcW w:w="553" w:type="pct"/>
                  <w:tcBorders>
                    <w:tl2br w:val="nil"/>
                    <w:tr2bl w:val="nil"/>
                  </w:tcBorders>
                  <w:shd w:val="clear" w:color="000000" w:fill="FFFFFF"/>
                  <w:noWrap w:val="0"/>
                  <w:vAlign w:val="center"/>
                </w:tcPr>
                <w:p w14:paraId="7E65D26D">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146" w:type="pct"/>
                  <w:tcBorders>
                    <w:tl2br w:val="nil"/>
                    <w:tr2bl w:val="nil"/>
                  </w:tcBorders>
                  <w:shd w:val="clear" w:color="000000" w:fill="FFFFFF"/>
                  <w:noWrap w:val="0"/>
                  <w:vAlign w:val="center"/>
                </w:tcPr>
                <w:p w14:paraId="3E8EACD0">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14:paraId="0CEEE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730BD509">
                  <w:pPr>
                    <w:widowControl/>
                    <w:spacing w:line="240" w:lineRule="auto"/>
                    <w:ind w:firstLine="0" w:firstLineChars="0"/>
                    <w:jc w:val="center"/>
                    <w:rPr>
                      <w:color w:val="auto"/>
                      <w:kern w:val="0"/>
                      <w:sz w:val="21"/>
                      <w:szCs w:val="21"/>
                      <w:highlight w:val="none"/>
                    </w:rPr>
                  </w:pPr>
                  <w:r>
                    <w:rPr>
                      <w:color w:val="auto"/>
                      <w:kern w:val="0"/>
                      <w:sz w:val="21"/>
                      <w:szCs w:val="21"/>
                      <w:highlight w:val="none"/>
                    </w:rPr>
                    <w:t>1</w:t>
                  </w:r>
                </w:p>
              </w:tc>
              <w:tc>
                <w:tcPr>
                  <w:tcW w:w="2745" w:type="pct"/>
                  <w:tcBorders>
                    <w:tl2br w:val="nil"/>
                    <w:tr2bl w:val="nil"/>
                  </w:tcBorders>
                  <w:shd w:val="clear" w:color="000000" w:fill="FFFFFF"/>
                  <w:noWrap w:val="0"/>
                  <w:vAlign w:val="center"/>
                </w:tcPr>
                <w:p w14:paraId="5E1461B1">
                  <w:pPr>
                    <w:widowControl/>
                    <w:spacing w:line="240" w:lineRule="auto"/>
                    <w:ind w:firstLine="0" w:firstLineChars="0"/>
                    <w:jc w:val="center"/>
                    <w:rPr>
                      <w:color w:val="auto"/>
                      <w:kern w:val="0"/>
                      <w:sz w:val="21"/>
                      <w:szCs w:val="21"/>
                      <w:highlight w:val="none"/>
                    </w:rPr>
                  </w:pPr>
                  <w:r>
                    <w:rPr>
                      <w:color w:val="auto"/>
                      <w:kern w:val="0"/>
                      <w:sz w:val="21"/>
                      <w:szCs w:val="21"/>
                      <w:highlight w:val="none"/>
                    </w:rPr>
                    <w:t>桥涵挡墙垫层C15</w:t>
                  </w:r>
                </w:p>
              </w:tc>
              <w:tc>
                <w:tcPr>
                  <w:tcW w:w="553" w:type="pct"/>
                  <w:tcBorders>
                    <w:tl2br w:val="nil"/>
                    <w:tr2bl w:val="nil"/>
                  </w:tcBorders>
                  <w:shd w:val="clear" w:color="000000" w:fill="FFFFFF"/>
                  <w:noWrap w:val="0"/>
                  <w:vAlign w:val="center"/>
                </w:tcPr>
                <w:p w14:paraId="57F3BA12">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61BAEF92">
                  <w:pPr>
                    <w:widowControl/>
                    <w:spacing w:line="240" w:lineRule="auto"/>
                    <w:ind w:firstLine="0" w:firstLineChars="0"/>
                    <w:jc w:val="center"/>
                    <w:rPr>
                      <w:color w:val="auto"/>
                      <w:kern w:val="0"/>
                      <w:sz w:val="21"/>
                      <w:szCs w:val="21"/>
                      <w:highlight w:val="none"/>
                    </w:rPr>
                  </w:pPr>
                  <w:r>
                    <w:rPr>
                      <w:color w:val="auto"/>
                      <w:kern w:val="0"/>
                      <w:sz w:val="21"/>
                      <w:szCs w:val="21"/>
                      <w:highlight w:val="none"/>
                    </w:rPr>
                    <w:t>16.46</w:t>
                  </w:r>
                </w:p>
              </w:tc>
            </w:tr>
            <w:tr w14:paraId="6CE49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544831A6">
                  <w:pPr>
                    <w:widowControl/>
                    <w:spacing w:line="240" w:lineRule="auto"/>
                    <w:ind w:firstLine="0" w:firstLineChars="0"/>
                    <w:jc w:val="center"/>
                    <w:rPr>
                      <w:color w:val="auto"/>
                      <w:kern w:val="0"/>
                      <w:sz w:val="21"/>
                      <w:szCs w:val="21"/>
                      <w:highlight w:val="none"/>
                    </w:rPr>
                  </w:pPr>
                  <w:r>
                    <w:rPr>
                      <w:color w:val="auto"/>
                      <w:kern w:val="0"/>
                      <w:sz w:val="21"/>
                      <w:szCs w:val="21"/>
                      <w:highlight w:val="none"/>
                    </w:rPr>
                    <w:t>2</w:t>
                  </w:r>
                </w:p>
              </w:tc>
              <w:tc>
                <w:tcPr>
                  <w:tcW w:w="2745" w:type="pct"/>
                  <w:tcBorders>
                    <w:tl2br w:val="nil"/>
                    <w:tr2bl w:val="nil"/>
                  </w:tcBorders>
                  <w:shd w:val="clear" w:color="000000" w:fill="FFFFFF"/>
                  <w:noWrap w:val="0"/>
                  <w:vAlign w:val="center"/>
                </w:tcPr>
                <w:p w14:paraId="29BF368D">
                  <w:pPr>
                    <w:widowControl/>
                    <w:spacing w:line="240" w:lineRule="auto"/>
                    <w:ind w:firstLine="0" w:firstLineChars="0"/>
                    <w:jc w:val="center"/>
                    <w:rPr>
                      <w:color w:val="auto"/>
                      <w:kern w:val="0"/>
                      <w:sz w:val="21"/>
                      <w:szCs w:val="21"/>
                      <w:highlight w:val="none"/>
                    </w:rPr>
                  </w:pPr>
                  <w:r>
                    <w:rPr>
                      <w:color w:val="auto"/>
                      <w:kern w:val="0"/>
                      <w:sz w:val="21"/>
                      <w:szCs w:val="21"/>
                      <w:highlight w:val="none"/>
                    </w:rPr>
                    <w:t>桥涵挡墙C20</w:t>
                  </w:r>
                </w:p>
              </w:tc>
              <w:tc>
                <w:tcPr>
                  <w:tcW w:w="553" w:type="pct"/>
                  <w:tcBorders>
                    <w:tl2br w:val="nil"/>
                    <w:tr2bl w:val="nil"/>
                  </w:tcBorders>
                  <w:shd w:val="clear" w:color="000000" w:fill="FFFFFF"/>
                  <w:noWrap w:val="0"/>
                  <w:vAlign w:val="center"/>
                </w:tcPr>
                <w:p w14:paraId="237916D0">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6D7E115D">
                  <w:pPr>
                    <w:widowControl/>
                    <w:spacing w:line="240" w:lineRule="auto"/>
                    <w:ind w:firstLine="0" w:firstLineChars="0"/>
                    <w:jc w:val="center"/>
                    <w:rPr>
                      <w:color w:val="auto"/>
                      <w:kern w:val="0"/>
                      <w:sz w:val="21"/>
                      <w:szCs w:val="21"/>
                      <w:highlight w:val="none"/>
                    </w:rPr>
                  </w:pPr>
                  <w:r>
                    <w:rPr>
                      <w:color w:val="auto"/>
                      <w:kern w:val="0"/>
                      <w:sz w:val="21"/>
                      <w:szCs w:val="21"/>
                      <w:highlight w:val="none"/>
                    </w:rPr>
                    <w:t>532.88</w:t>
                  </w:r>
                </w:p>
              </w:tc>
            </w:tr>
            <w:tr w14:paraId="30810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28C78F72">
                  <w:pPr>
                    <w:widowControl/>
                    <w:spacing w:line="240" w:lineRule="auto"/>
                    <w:ind w:firstLine="0" w:firstLineChars="0"/>
                    <w:jc w:val="center"/>
                    <w:rPr>
                      <w:color w:val="auto"/>
                      <w:kern w:val="0"/>
                      <w:sz w:val="21"/>
                      <w:szCs w:val="21"/>
                      <w:highlight w:val="none"/>
                    </w:rPr>
                  </w:pPr>
                  <w:r>
                    <w:rPr>
                      <w:color w:val="auto"/>
                      <w:kern w:val="0"/>
                      <w:sz w:val="21"/>
                      <w:szCs w:val="21"/>
                      <w:highlight w:val="none"/>
                    </w:rPr>
                    <w:t>3</w:t>
                  </w:r>
                </w:p>
              </w:tc>
              <w:tc>
                <w:tcPr>
                  <w:tcW w:w="2745" w:type="pct"/>
                  <w:tcBorders>
                    <w:tl2br w:val="nil"/>
                    <w:tr2bl w:val="nil"/>
                  </w:tcBorders>
                  <w:shd w:val="clear" w:color="000000" w:fill="FFFFFF"/>
                  <w:noWrap w:val="0"/>
                  <w:vAlign w:val="center"/>
                </w:tcPr>
                <w:p w14:paraId="4C311675">
                  <w:pPr>
                    <w:widowControl/>
                    <w:spacing w:line="240" w:lineRule="auto"/>
                    <w:ind w:firstLine="0" w:firstLineChars="0"/>
                    <w:jc w:val="center"/>
                    <w:rPr>
                      <w:color w:val="auto"/>
                      <w:kern w:val="0"/>
                      <w:sz w:val="21"/>
                      <w:szCs w:val="21"/>
                      <w:highlight w:val="none"/>
                    </w:rPr>
                  </w:pPr>
                  <w:r>
                    <w:rPr>
                      <w:color w:val="auto"/>
                      <w:kern w:val="0"/>
                      <w:sz w:val="21"/>
                      <w:szCs w:val="21"/>
                      <w:highlight w:val="none"/>
                    </w:rPr>
                    <w:t>桥涵底板C20</w:t>
                  </w:r>
                </w:p>
              </w:tc>
              <w:tc>
                <w:tcPr>
                  <w:tcW w:w="553" w:type="pct"/>
                  <w:tcBorders>
                    <w:tl2br w:val="nil"/>
                    <w:tr2bl w:val="nil"/>
                  </w:tcBorders>
                  <w:shd w:val="clear" w:color="000000" w:fill="FFFFFF"/>
                  <w:noWrap w:val="0"/>
                  <w:vAlign w:val="center"/>
                </w:tcPr>
                <w:p w14:paraId="21C098EA">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1C655E98">
                  <w:pPr>
                    <w:widowControl/>
                    <w:spacing w:line="240" w:lineRule="auto"/>
                    <w:ind w:firstLine="0" w:firstLineChars="0"/>
                    <w:jc w:val="center"/>
                    <w:rPr>
                      <w:color w:val="auto"/>
                      <w:kern w:val="0"/>
                      <w:sz w:val="21"/>
                      <w:szCs w:val="21"/>
                      <w:highlight w:val="none"/>
                    </w:rPr>
                  </w:pPr>
                  <w:r>
                    <w:rPr>
                      <w:color w:val="auto"/>
                      <w:kern w:val="0"/>
                      <w:sz w:val="21"/>
                      <w:szCs w:val="21"/>
                      <w:highlight w:val="none"/>
                    </w:rPr>
                    <w:t>32.63</w:t>
                  </w:r>
                </w:p>
              </w:tc>
            </w:tr>
            <w:tr w14:paraId="0DBCF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2288C9D2">
                  <w:pPr>
                    <w:widowControl/>
                    <w:spacing w:line="240" w:lineRule="auto"/>
                    <w:ind w:firstLine="0" w:firstLineChars="0"/>
                    <w:jc w:val="center"/>
                    <w:rPr>
                      <w:color w:val="auto"/>
                      <w:kern w:val="0"/>
                      <w:sz w:val="21"/>
                      <w:szCs w:val="21"/>
                      <w:highlight w:val="none"/>
                    </w:rPr>
                  </w:pPr>
                  <w:r>
                    <w:rPr>
                      <w:color w:val="auto"/>
                      <w:kern w:val="0"/>
                      <w:sz w:val="21"/>
                      <w:szCs w:val="21"/>
                      <w:highlight w:val="none"/>
                    </w:rPr>
                    <w:t>4</w:t>
                  </w:r>
                </w:p>
              </w:tc>
              <w:tc>
                <w:tcPr>
                  <w:tcW w:w="2745" w:type="pct"/>
                  <w:tcBorders>
                    <w:tl2br w:val="nil"/>
                    <w:tr2bl w:val="nil"/>
                  </w:tcBorders>
                  <w:shd w:val="clear" w:color="000000" w:fill="FFFFFF"/>
                  <w:noWrap w:val="0"/>
                  <w:vAlign w:val="center"/>
                </w:tcPr>
                <w:p w14:paraId="5690EC86">
                  <w:pPr>
                    <w:widowControl/>
                    <w:spacing w:line="240" w:lineRule="auto"/>
                    <w:ind w:firstLine="0" w:firstLineChars="0"/>
                    <w:jc w:val="center"/>
                    <w:rPr>
                      <w:color w:val="auto"/>
                      <w:kern w:val="0"/>
                      <w:sz w:val="21"/>
                      <w:szCs w:val="21"/>
                      <w:highlight w:val="none"/>
                    </w:rPr>
                  </w:pPr>
                  <w:r>
                    <w:rPr>
                      <w:color w:val="auto"/>
                      <w:kern w:val="0"/>
                      <w:sz w:val="21"/>
                      <w:szCs w:val="21"/>
                      <w:highlight w:val="none"/>
                    </w:rPr>
                    <w:t>桥板C30钢筋砼</w:t>
                  </w:r>
                </w:p>
              </w:tc>
              <w:tc>
                <w:tcPr>
                  <w:tcW w:w="553" w:type="pct"/>
                  <w:tcBorders>
                    <w:tl2br w:val="nil"/>
                    <w:tr2bl w:val="nil"/>
                  </w:tcBorders>
                  <w:shd w:val="clear" w:color="000000" w:fill="FFFFFF"/>
                  <w:noWrap w:val="0"/>
                  <w:vAlign w:val="center"/>
                </w:tcPr>
                <w:p w14:paraId="73604FA8">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4E7C5F12">
                  <w:pPr>
                    <w:widowControl/>
                    <w:spacing w:line="240" w:lineRule="auto"/>
                    <w:ind w:firstLine="0" w:firstLineChars="0"/>
                    <w:jc w:val="center"/>
                    <w:rPr>
                      <w:color w:val="auto"/>
                      <w:kern w:val="0"/>
                      <w:sz w:val="21"/>
                      <w:szCs w:val="21"/>
                      <w:highlight w:val="none"/>
                    </w:rPr>
                  </w:pPr>
                  <w:r>
                    <w:rPr>
                      <w:color w:val="auto"/>
                      <w:kern w:val="0"/>
                      <w:sz w:val="21"/>
                      <w:szCs w:val="21"/>
                      <w:highlight w:val="none"/>
                    </w:rPr>
                    <w:t>4.03</w:t>
                  </w:r>
                </w:p>
              </w:tc>
            </w:tr>
            <w:tr w14:paraId="5D715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7F3C213A">
                  <w:pPr>
                    <w:widowControl/>
                    <w:spacing w:line="240" w:lineRule="auto"/>
                    <w:ind w:firstLine="0" w:firstLineChars="0"/>
                    <w:jc w:val="center"/>
                    <w:rPr>
                      <w:color w:val="auto"/>
                      <w:kern w:val="0"/>
                      <w:sz w:val="21"/>
                      <w:szCs w:val="21"/>
                      <w:highlight w:val="none"/>
                    </w:rPr>
                  </w:pPr>
                  <w:r>
                    <w:rPr>
                      <w:color w:val="auto"/>
                      <w:kern w:val="0"/>
                      <w:sz w:val="21"/>
                      <w:szCs w:val="21"/>
                      <w:highlight w:val="none"/>
                    </w:rPr>
                    <w:t>5</w:t>
                  </w:r>
                </w:p>
              </w:tc>
              <w:tc>
                <w:tcPr>
                  <w:tcW w:w="2745" w:type="pct"/>
                  <w:tcBorders>
                    <w:tl2br w:val="nil"/>
                    <w:tr2bl w:val="nil"/>
                  </w:tcBorders>
                  <w:shd w:val="clear" w:color="000000" w:fill="FFFFFF"/>
                  <w:noWrap w:val="0"/>
                  <w:vAlign w:val="center"/>
                </w:tcPr>
                <w:p w14:paraId="0FD2F018">
                  <w:pPr>
                    <w:widowControl/>
                    <w:spacing w:line="240" w:lineRule="auto"/>
                    <w:ind w:firstLine="0" w:firstLineChars="0"/>
                    <w:jc w:val="center"/>
                    <w:rPr>
                      <w:color w:val="auto"/>
                      <w:kern w:val="0"/>
                      <w:sz w:val="21"/>
                      <w:szCs w:val="21"/>
                      <w:highlight w:val="none"/>
                    </w:rPr>
                  </w:pPr>
                  <w:r>
                    <w:rPr>
                      <w:color w:val="auto"/>
                      <w:kern w:val="0"/>
                      <w:sz w:val="21"/>
                      <w:szCs w:val="21"/>
                      <w:highlight w:val="none"/>
                    </w:rPr>
                    <w:t>模板制安</w:t>
                  </w:r>
                </w:p>
              </w:tc>
              <w:tc>
                <w:tcPr>
                  <w:tcW w:w="553" w:type="pct"/>
                  <w:tcBorders>
                    <w:tl2br w:val="nil"/>
                    <w:tr2bl w:val="nil"/>
                  </w:tcBorders>
                  <w:shd w:val="clear" w:color="000000" w:fill="FFFFFF"/>
                  <w:noWrap w:val="0"/>
                  <w:vAlign w:val="center"/>
                </w:tcPr>
                <w:p w14:paraId="3912B05D">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1146" w:type="pct"/>
                  <w:tcBorders>
                    <w:tl2br w:val="nil"/>
                    <w:tr2bl w:val="nil"/>
                  </w:tcBorders>
                  <w:shd w:val="clear" w:color="000000" w:fill="FFFFFF"/>
                  <w:noWrap w:val="0"/>
                  <w:vAlign w:val="center"/>
                </w:tcPr>
                <w:p w14:paraId="6FB8F392">
                  <w:pPr>
                    <w:widowControl/>
                    <w:spacing w:line="240" w:lineRule="auto"/>
                    <w:ind w:firstLine="0" w:firstLineChars="0"/>
                    <w:jc w:val="center"/>
                    <w:rPr>
                      <w:color w:val="auto"/>
                      <w:kern w:val="0"/>
                      <w:sz w:val="21"/>
                      <w:szCs w:val="21"/>
                      <w:highlight w:val="none"/>
                    </w:rPr>
                  </w:pPr>
                  <w:r>
                    <w:rPr>
                      <w:color w:val="auto"/>
                      <w:kern w:val="0"/>
                      <w:sz w:val="21"/>
                      <w:szCs w:val="21"/>
                      <w:highlight w:val="none"/>
                    </w:rPr>
                    <w:t>655.08</w:t>
                  </w:r>
                </w:p>
              </w:tc>
            </w:tr>
            <w:tr w14:paraId="0DA8F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61751A25">
                  <w:pPr>
                    <w:widowControl/>
                    <w:spacing w:line="240" w:lineRule="auto"/>
                    <w:ind w:firstLine="0" w:firstLineChars="0"/>
                    <w:jc w:val="center"/>
                    <w:rPr>
                      <w:color w:val="auto"/>
                      <w:kern w:val="0"/>
                      <w:sz w:val="21"/>
                      <w:szCs w:val="21"/>
                      <w:highlight w:val="none"/>
                    </w:rPr>
                  </w:pPr>
                  <w:r>
                    <w:rPr>
                      <w:color w:val="auto"/>
                      <w:kern w:val="0"/>
                      <w:sz w:val="21"/>
                      <w:szCs w:val="21"/>
                      <w:highlight w:val="none"/>
                    </w:rPr>
                    <w:t>6</w:t>
                  </w:r>
                </w:p>
              </w:tc>
              <w:tc>
                <w:tcPr>
                  <w:tcW w:w="2745" w:type="pct"/>
                  <w:tcBorders>
                    <w:tl2br w:val="nil"/>
                    <w:tr2bl w:val="nil"/>
                  </w:tcBorders>
                  <w:shd w:val="clear" w:color="000000" w:fill="FFFFFF"/>
                  <w:noWrap w:val="0"/>
                  <w:vAlign w:val="center"/>
                </w:tcPr>
                <w:p w14:paraId="1A542E67">
                  <w:pPr>
                    <w:widowControl/>
                    <w:spacing w:line="240" w:lineRule="auto"/>
                    <w:ind w:firstLine="0" w:firstLineChars="0"/>
                    <w:jc w:val="center"/>
                    <w:rPr>
                      <w:color w:val="auto"/>
                      <w:kern w:val="0"/>
                      <w:sz w:val="21"/>
                      <w:szCs w:val="21"/>
                      <w:highlight w:val="none"/>
                    </w:rPr>
                  </w:pPr>
                  <w:r>
                    <w:rPr>
                      <w:color w:val="auto"/>
                      <w:kern w:val="0"/>
                      <w:sz w:val="21"/>
                      <w:szCs w:val="21"/>
                      <w:highlight w:val="none"/>
                    </w:rPr>
                    <w:t>聚乙烯泡沫板分缝 2cm厚</w:t>
                  </w:r>
                </w:p>
              </w:tc>
              <w:tc>
                <w:tcPr>
                  <w:tcW w:w="553" w:type="pct"/>
                  <w:tcBorders>
                    <w:tl2br w:val="nil"/>
                    <w:tr2bl w:val="nil"/>
                  </w:tcBorders>
                  <w:shd w:val="clear" w:color="000000" w:fill="FFFFFF"/>
                  <w:noWrap w:val="0"/>
                  <w:vAlign w:val="center"/>
                </w:tcPr>
                <w:p w14:paraId="1B3BD0B5">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1146" w:type="pct"/>
                  <w:tcBorders>
                    <w:tl2br w:val="nil"/>
                    <w:tr2bl w:val="nil"/>
                  </w:tcBorders>
                  <w:shd w:val="clear" w:color="000000" w:fill="FFFFFF"/>
                  <w:noWrap w:val="0"/>
                  <w:vAlign w:val="center"/>
                </w:tcPr>
                <w:p w14:paraId="30E37926">
                  <w:pPr>
                    <w:widowControl/>
                    <w:spacing w:line="240" w:lineRule="auto"/>
                    <w:ind w:firstLine="0" w:firstLineChars="0"/>
                    <w:jc w:val="center"/>
                    <w:rPr>
                      <w:color w:val="auto"/>
                      <w:kern w:val="0"/>
                      <w:sz w:val="21"/>
                      <w:szCs w:val="21"/>
                      <w:highlight w:val="none"/>
                    </w:rPr>
                  </w:pPr>
                  <w:r>
                    <w:rPr>
                      <w:color w:val="auto"/>
                      <w:kern w:val="0"/>
                      <w:sz w:val="21"/>
                      <w:szCs w:val="21"/>
                      <w:highlight w:val="none"/>
                    </w:rPr>
                    <w:t>69.72</w:t>
                  </w:r>
                </w:p>
              </w:tc>
            </w:tr>
            <w:tr w14:paraId="4E664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7FFB6993">
                  <w:pPr>
                    <w:widowControl/>
                    <w:spacing w:line="240" w:lineRule="auto"/>
                    <w:ind w:firstLine="0" w:firstLineChars="0"/>
                    <w:jc w:val="center"/>
                    <w:rPr>
                      <w:color w:val="auto"/>
                      <w:kern w:val="0"/>
                      <w:sz w:val="21"/>
                      <w:szCs w:val="21"/>
                      <w:highlight w:val="none"/>
                    </w:rPr>
                  </w:pPr>
                  <w:r>
                    <w:rPr>
                      <w:color w:val="auto"/>
                      <w:kern w:val="0"/>
                      <w:sz w:val="21"/>
                      <w:szCs w:val="21"/>
                      <w:highlight w:val="none"/>
                    </w:rPr>
                    <w:t>7</w:t>
                  </w:r>
                </w:p>
              </w:tc>
              <w:tc>
                <w:tcPr>
                  <w:tcW w:w="2745" w:type="pct"/>
                  <w:tcBorders>
                    <w:tl2br w:val="nil"/>
                    <w:tr2bl w:val="nil"/>
                  </w:tcBorders>
                  <w:shd w:val="clear" w:color="000000" w:fill="FFFFFF"/>
                  <w:noWrap w:val="0"/>
                  <w:vAlign w:val="center"/>
                </w:tcPr>
                <w:p w14:paraId="0D52E297">
                  <w:pPr>
                    <w:widowControl/>
                    <w:spacing w:line="240" w:lineRule="auto"/>
                    <w:ind w:firstLine="0" w:firstLineChars="0"/>
                    <w:jc w:val="center"/>
                    <w:rPr>
                      <w:color w:val="auto"/>
                      <w:kern w:val="0"/>
                      <w:sz w:val="21"/>
                      <w:szCs w:val="21"/>
                      <w:highlight w:val="none"/>
                    </w:rPr>
                  </w:pPr>
                  <w:r>
                    <w:rPr>
                      <w:color w:val="auto"/>
                      <w:kern w:val="0"/>
                      <w:sz w:val="21"/>
                      <w:szCs w:val="21"/>
                      <w:highlight w:val="none"/>
                    </w:rPr>
                    <w:t>仿木栏杆</w:t>
                  </w:r>
                </w:p>
              </w:tc>
              <w:tc>
                <w:tcPr>
                  <w:tcW w:w="553" w:type="pct"/>
                  <w:tcBorders>
                    <w:tl2br w:val="nil"/>
                    <w:tr2bl w:val="nil"/>
                  </w:tcBorders>
                  <w:shd w:val="clear" w:color="000000" w:fill="FFFFFF"/>
                  <w:noWrap w:val="0"/>
                  <w:vAlign w:val="center"/>
                </w:tcPr>
                <w:p w14:paraId="5035F804">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1146" w:type="pct"/>
                  <w:tcBorders>
                    <w:tl2br w:val="nil"/>
                    <w:tr2bl w:val="nil"/>
                  </w:tcBorders>
                  <w:shd w:val="clear" w:color="000000" w:fill="FFFFFF"/>
                  <w:noWrap w:val="0"/>
                  <w:vAlign w:val="center"/>
                </w:tcPr>
                <w:p w14:paraId="7505D52D">
                  <w:pPr>
                    <w:widowControl/>
                    <w:spacing w:line="240" w:lineRule="auto"/>
                    <w:ind w:firstLine="0" w:firstLineChars="0"/>
                    <w:jc w:val="center"/>
                    <w:rPr>
                      <w:color w:val="auto"/>
                      <w:kern w:val="0"/>
                      <w:sz w:val="21"/>
                      <w:szCs w:val="21"/>
                      <w:highlight w:val="none"/>
                    </w:rPr>
                  </w:pPr>
                  <w:r>
                    <w:rPr>
                      <w:color w:val="auto"/>
                      <w:kern w:val="0"/>
                      <w:sz w:val="21"/>
                      <w:szCs w:val="21"/>
                      <w:highlight w:val="none"/>
                    </w:rPr>
                    <w:t>12.60</w:t>
                  </w:r>
                </w:p>
              </w:tc>
            </w:tr>
            <w:tr w14:paraId="14FC1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1A2D4D59">
                  <w:pPr>
                    <w:widowControl/>
                    <w:spacing w:line="240" w:lineRule="auto"/>
                    <w:ind w:firstLine="0" w:firstLineChars="0"/>
                    <w:jc w:val="center"/>
                    <w:rPr>
                      <w:color w:val="auto"/>
                      <w:kern w:val="0"/>
                      <w:sz w:val="21"/>
                      <w:szCs w:val="21"/>
                      <w:highlight w:val="none"/>
                    </w:rPr>
                  </w:pPr>
                  <w:r>
                    <w:rPr>
                      <w:color w:val="auto"/>
                      <w:kern w:val="0"/>
                      <w:sz w:val="21"/>
                      <w:szCs w:val="21"/>
                      <w:highlight w:val="none"/>
                    </w:rPr>
                    <w:t>8</w:t>
                  </w:r>
                </w:p>
              </w:tc>
              <w:tc>
                <w:tcPr>
                  <w:tcW w:w="2745" w:type="pct"/>
                  <w:tcBorders>
                    <w:tl2br w:val="nil"/>
                    <w:tr2bl w:val="nil"/>
                  </w:tcBorders>
                  <w:shd w:val="clear" w:color="000000" w:fill="FFFFFF"/>
                  <w:noWrap w:val="0"/>
                  <w:vAlign w:val="center"/>
                </w:tcPr>
                <w:p w14:paraId="4C5D255D">
                  <w:pPr>
                    <w:widowControl/>
                    <w:spacing w:line="240" w:lineRule="auto"/>
                    <w:ind w:firstLine="0" w:firstLineChars="0"/>
                    <w:jc w:val="center"/>
                    <w:rPr>
                      <w:color w:val="auto"/>
                      <w:kern w:val="0"/>
                      <w:sz w:val="21"/>
                      <w:szCs w:val="21"/>
                      <w:highlight w:val="none"/>
                    </w:rPr>
                  </w:pPr>
                  <w:r>
                    <w:rPr>
                      <w:color w:val="auto"/>
                      <w:kern w:val="0"/>
                      <w:sz w:val="21"/>
                      <w:szCs w:val="21"/>
                      <w:highlight w:val="none"/>
                    </w:rPr>
                    <w:t>Φ50PVC排水管</w:t>
                  </w:r>
                </w:p>
              </w:tc>
              <w:tc>
                <w:tcPr>
                  <w:tcW w:w="553" w:type="pct"/>
                  <w:tcBorders>
                    <w:tl2br w:val="nil"/>
                    <w:tr2bl w:val="nil"/>
                  </w:tcBorders>
                  <w:shd w:val="clear" w:color="000000" w:fill="FFFFFF"/>
                  <w:noWrap w:val="0"/>
                  <w:vAlign w:val="center"/>
                </w:tcPr>
                <w:p w14:paraId="1F13A35D">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1146" w:type="pct"/>
                  <w:tcBorders>
                    <w:tl2br w:val="nil"/>
                    <w:tr2bl w:val="nil"/>
                  </w:tcBorders>
                  <w:shd w:val="clear" w:color="000000" w:fill="FFFFFF"/>
                  <w:noWrap w:val="0"/>
                  <w:vAlign w:val="center"/>
                </w:tcPr>
                <w:p w14:paraId="44F47420">
                  <w:pPr>
                    <w:widowControl/>
                    <w:spacing w:line="240" w:lineRule="auto"/>
                    <w:ind w:firstLine="0" w:firstLineChars="0"/>
                    <w:jc w:val="center"/>
                    <w:rPr>
                      <w:color w:val="auto"/>
                      <w:kern w:val="0"/>
                      <w:sz w:val="21"/>
                      <w:szCs w:val="21"/>
                      <w:highlight w:val="none"/>
                    </w:rPr>
                  </w:pPr>
                  <w:r>
                    <w:rPr>
                      <w:color w:val="auto"/>
                      <w:kern w:val="0"/>
                      <w:sz w:val="21"/>
                      <w:szCs w:val="21"/>
                      <w:highlight w:val="none"/>
                    </w:rPr>
                    <w:t>123.40</w:t>
                  </w:r>
                </w:p>
              </w:tc>
            </w:tr>
            <w:tr w14:paraId="39B1D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252A2858">
                  <w:pPr>
                    <w:widowControl/>
                    <w:spacing w:line="240" w:lineRule="auto"/>
                    <w:ind w:firstLine="0" w:firstLineChars="0"/>
                    <w:jc w:val="center"/>
                    <w:rPr>
                      <w:color w:val="auto"/>
                      <w:kern w:val="0"/>
                      <w:sz w:val="21"/>
                      <w:szCs w:val="21"/>
                      <w:highlight w:val="none"/>
                    </w:rPr>
                  </w:pPr>
                  <w:r>
                    <w:rPr>
                      <w:color w:val="auto"/>
                      <w:kern w:val="0"/>
                      <w:sz w:val="21"/>
                      <w:szCs w:val="21"/>
                      <w:highlight w:val="none"/>
                    </w:rPr>
                    <w:t>9</w:t>
                  </w:r>
                </w:p>
              </w:tc>
              <w:tc>
                <w:tcPr>
                  <w:tcW w:w="2745" w:type="pct"/>
                  <w:tcBorders>
                    <w:tl2br w:val="nil"/>
                    <w:tr2bl w:val="nil"/>
                  </w:tcBorders>
                  <w:shd w:val="clear" w:color="000000" w:fill="FFFFFF"/>
                  <w:noWrap w:val="0"/>
                  <w:vAlign w:val="center"/>
                </w:tcPr>
                <w:p w14:paraId="2F3A4380">
                  <w:pPr>
                    <w:widowControl/>
                    <w:spacing w:line="240" w:lineRule="auto"/>
                    <w:ind w:firstLine="0" w:firstLineChars="0"/>
                    <w:jc w:val="center"/>
                    <w:rPr>
                      <w:color w:val="auto"/>
                      <w:kern w:val="0"/>
                      <w:sz w:val="21"/>
                      <w:szCs w:val="21"/>
                      <w:highlight w:val="none"/>
                    </w:rPr>
                  </w:pPr>
                  <w:r>
                    <w:rPr>
                      <w:color w:val="auto"/>
                      <w:kern w:val="0"/>
                      <w:sz w:val="21"/>
                      <w:szCs w:val="21"/>
                      <w:highlight w:val="none"/>
                    </w:rPr>
                    <w:t>碎石反滤包</w:t>
                  </w:r>
                </w:p>
              </w:tc>
              <w:tc>
                <w:tcPr>
                  <w:tcW w:w="553" w:type="pct"/>
                  <w:tcBorders>
                    <w:tl2br w:val="nil"/>
                    <w:tr2bl w:val="nil"/>
                  </w:tcBorders>
                  <w:shd w:val="clear" w:color="000000" w:fill="FFFFFF"/>
                  <w:noWrap w:val="0"/>
                  <w:vAlign w:val="center"/>
                </w:tcPr>
                <w:p w14:paraId="4B085F99">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54F5CC04">
                  <w:pPr>
                    <w:widowControl/>
                    <w:spacing w:line="240" w:lineRule="auto"/>
                    <w:ind w:firstLine="0" w:firstLineChars="0"/>
                    <w:jc w:val="center"/>
                    <w:rPr>
                      <w:color w:val="auto"/>
                      <w:kern w:val="0"/>
                      <w:sz w:val="21"/>
                      <w:szCs w:val="21"/>
                      <w:highlight w:val="none"/>
                    </w:rPr>
                  </w:pPr>
                  <w:r>
                    <w:rPr>
                      <w:color w:val="auto"/>
                      <w:kern w:val="0"/>
                      <w:sz w:val="21"/>
                      <w:szCs w:val="21"/>
                      <w:highlight w:val="none"/>
                    </w:rPr>
                    <w:t>1.47</w:t>
                  </w:r>
                </w:p>
              </w:tc>
            </w:tr>
            <w:tr w14:paraId="71595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76EFBBAF">
                  <w:pPr>
                    <w:widowControl/>
                    <w:spacing w:line="240" w:lineRule="auto"/>
                    <w:ind w:firstLine="0" w:firstLineChars="0"/>
                    <w:jc w:val="center"/>
                    <w:rPr>
                      <w:color w:val="auto"/>
                      <w:kern w:val="0"/>
                      <w:sz w:val="21"/>
                      <w:szCs w:val="21"/>
                      <w:highlight w:val="none"/>
                    </w:rPr>
                  </w:pPr>
                  <w:r>
                    <w:rPr>
                      <w:color w:val="auto"/>
                      <w:kern w:val="0"/>
                      <w:sz w:val="21"/>
                      <w:szCs w:val="21"/>
                      <w:highlight w:val="none"/>
                    </w:rPr>
                    <w:t>10</w:t>
                  </w:r>
                </w:p>
              </w:tc>
              <w:tc>
                <w:tcPr>
                  <w:tcW w:w="2745" w:type="pct"/>
                  <w:tcBorders>
                    <w:tl2br w:val="nil"/>
                    <w:tr2bl w:val="nil"/>
                  </w:tcBorders>
                  <w:shd w:val="clear" w:color="000000" w:fill="FFFFFF"/>
                  <w:noWrap w:val="0"/>
                  <w:vAlign w:val="center"/>
                </w:tcPr>
                <w:p w14:paraId="233949D7">
                  <w:pPr>
                    <w:widowControl/>
                    <w:spacing w:line="240" w:lineRule="auto"/>
                    <w:ind w:firstLine="0" w:firstLineChars="0"/>
                    <w:jc w:val="center"/>
                    <w:rPr>
                      <w:color w:val="auto"/>
                      <w:kern w:val="0"/>
                      <w:sz w:val="21"/>
                      <w:szCs w:val="21"/>
                      <w:highlight w:val="none"/>
                    </w:rPr>
                  </w:pPr>
                  <w:r>
                    <w:rPr>
                      <w:color w:val="auto"/>
                      <w:kern w:val="0"/>
                      <w:sz w:val="21"/>
                      <w:szCs w:val="21"/>
                      <w:highlight w:val="none"/>
                    </w:rPr>
                    <w:t>土工布</w:t>
                  </w:r>
                </w:p>
              </w:tc>
              <w:tc>
                <w:tcPr>
                  <w:tcW w:w="553" w:type="pct"/>
                  <w:tcBorders>
                    <w:tl2br w:val="nil"/>
                    <w:tr2bl w:val="nil"/>
                  </w:tcBorders>
                  <w:shd w:val="clear" w:color="000000" w:fill="FFFFFF"/>
                  <w:noWrap w:val="0"/>
                  <w:vAlign w:val="center"/>
                </w:tcPr>
                <w:p w14:paraId="2ACFAC2B">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1146" w:type="pct"/>
                  <w:tcBorders>
                    <w:tl2br w:val="nil"/>
                    <w:tr2bl w:val="nil"/>
                  </w:tcBorders>
                  <w:shd w:val="clear" w:color="000000" w:fill="FFFFFF"/>
                  <w:noWrap w:val="0"/>
                  <w:vAlign w:val="center"/>
                </w:tcPr>
                <w:p w14:paraId="0CD544E1">
                  <w:pPr>
                    <w:widowControl/>
                    <w:spacing w:line="240" w:lineRule="auto"/>
                    <w:ind w:firstLine="0" w:firstLineChars="0"/>
                    <w:jc w:val="center"/>
                    <w:rPr>
                      <w:color w:val="auto"/>
                      <w:kern w:val="0"/>
                      <w:sz w:val="21"/>
                      <w:szCs w:val="21"/>
                      <w:highlight w:val="none"/>
                    </w:rPr>
                  </w:pPr>
                  <w:r>
                    <w:rPr>
                      <w:color w:val="auto"/>
                      <w:kern w:val="0"/>
                      <w:sz w:val="21"/>
                      <w:szCs w:val="21"/>
                      <w:highlight w:val="none"/>
                    </w:rPr>
                    <w:t>29.48</w:t>
                  </w:r>
                </w:p>
              </w:tc>
            </w:tr>
            <w:tr w14:paraId="29484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0C8D2721">
                  <w:pPr>
                    <w:widowControl/>
                    <w:spacing w:line="240" w:lineRule="auto"/>
                    <w:ind w:firstLine="0" w:firstLineChars="0"/>
                    <w:jc w:val="center"/>
                    <w:rPr>
                      <w:color w:val="auto"/>
                      <w:kern w:val="0"/>
                      <w:sz w:val="21"/>
                      <w:szCs w:val="21"/>
                      <w:highlight w:val="none"/>
                    </w:rPr>
                  </w:pPr>
                  <w:r>
                    <w:rPr>
                      <w:color w:val="auto"/>
                      <w:kern w:val="0"/>
                      <w:sz w:val="21"/>
                      <w:szCs w:val="21"/>
                      <w:highlight w:val="none"/>
                    </w:rPr>
                    <w:t>11</w:t>
                  </w:r>
                </w:p>
              </w:tc>
              <w:tc>
                <w:tcPr>
                  <w:tcW w:w="2745" w:type="pct"/>
                  <w:tcBorders>
                    <w:tl2br w:val="nil"/>
                    <w:tr2bl w:val="nil"/>
                  </w:tcBorders>
                  <w:shd w:val="clear" w:color="000000" w:fill="FFFFFF"/>
                  <w:noWrap w:val="0"/>
                  <w:vAlign w:val="center"/>
                </w:tcPr>
                <w:p w14:paraId="5EAD781C">
                  <w:pPr>
                    <w:widowControl/>
                    <w:spacing w:line="240" w:lineRule="auto"/>
                    <w:ind w:firstLine="0" w:firstLineChars="0"/>
                    <w:jc w:val="center"/>
                    <w:rPr>
                      <w:color w:val="auto"/>
                      <w:kern w:val="0"/>
                      <w:sz w:val="21"/>
                      <w:szCs w:val="21"/>
                      <w:highlight w:val="none"/>
                    </w:rPr>
                  </w:pPr>
                  <w:r>
                    <w:rPr>
                      <w:color w:val="auto"/>
                      <w:kern w:val="0"/>
                      <w:sz w:val="21"/>
                      <w:szCs w:val="21"/>
                      <w:highlight w:val="none"/>
                    </w:rPr>
                    <w:t>橡胶支座</w:t>
                  </w:r>
                </w:p>
              </w:tc>
              <w:tc>
                <w:tcPr>
                  <w:tcW w:w="553" w:type="pct"/>
                  <w:tcBorders>
                    <w:tl2br w:val="nil"/>
                    <w:tr2bl w:val="nil"/>
                  </w:tcBorders>
                  <w:shd w:val="clear" w:color="000000" w:fill="FFFFFF"/>
                  <w:noWrap w:val="0"/>
                  <w:vAlign w:val="center"/>
                </w:tcPr>
                <w:p w14:paraId="2E88D084">
                  <w:pPr>
                    <w:widowControl/>
                    <w:spacing w:line="240" w:lineRule="auto"/>
                    <w:ind w:firstLine="0" w:firstLineChars="0"/>
                    <w:jc w:val="center"/>
                    <w:rPr>
                      <w:color w:val="auto"/>
                      <w:kern w:val="0"/>
                      <w:sz w:val="21"/>
                      <w:szCs w:val="21"/>
                      <w:highlight w:val="none"/>
                    </w:rPr>
                  </w:pPr>
                  <w:r>
                    <w:rPr>
                      <w:color w:val="auto"/>
                      <w:kern w:val="0"/>
                      <w:sz w:val="21"/>
                      <w:szCs w:val="21"/>
                      <w:highlight w:val="none"/>
                    </w:rPr>
                    <w:t>个</w:t>
                  </w:r>
                </w:p>
              </w:tc>
              <w:tc>
                <w:tcPr>
                  <w:tcW w:w="1146" w:type="pct"/>
                  <w:tcBorders>
                    <w:tl2br w:val="nil"/>
                    <w:tr2bl w:val="nil"/>
                  </w:tcBorders>
                  <w:shd w:val="clear" w:color="000000" w:fill="FFFFFF"/>
                  <w:noWrap w:val="0"/>
                  <w:vAlign w:val="center"/>
                </w:tcPr>
                <w:p w14:paraId="3502685B">
                  <w:pPr>
                    <w:widowControl/>
                    <w:spacing w:line="240" w:lineRule="auto"/>
                    <w:ind w:firstLine="0" w:firstLineChars="0"/>
                    <w:jc w:val="center"/>
                    <w:rPr>
                      <w:color w:val="auto"/>
                      <w:kern w:val="0"/>
                      <w:sz w:val="21"/>
                      <w:szCs w:val="21"/>
                      <w:highlight w:val="none"/>
                    </w:rPr>
                  </w:pPr>
                  <w:r>
                    <w:rPr>
                      <w:color w:val="auto"/>
                      <w:kern w:val="0"/>
                      <w:sz w:val="21"/>
                      <w:szCs w:val="21"/>
                      <w:highlight w:val="none"/>
                    </w:rPr>
                    <w:t>4.00</w:t>
                  </w:r>
                </w:p>
              </w:tc>
            </w:tr>
            <w:tr w14:paraId="7745A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64292316">
                  <w:pPr>
                    <w:widowControl/>
                    <w:spacing w:line="240" w:lineRule="auto"/>
                    <w:ind w:firstLine="0" w:firstLineChars="0"/>
                    <w:jc w:val="center"/>
                    <w:rPr>
                      <w:color w:val="auto"/>
                      <w:kern w:val="0"/>
                      <w:sz w:val="21"/>
                      <w:szCs w:val="21"/>
                      <w:highlight w:val="none"/>
                    </w:rPr>
                  </w:pPr>
                  <w:r>
                    <w:rPr>
                      <w:color w:val="auto"/>
                      <w:kern w:val="0"/>
                      <w:sz w:val="21"/>
                      <w:szCs w:val="21"/>
                      <w:highlight w:val="none"/>
                    </w:rPr>
                    <w:t>三</w:t>
                  </w:r>
                </w:p>
              </w:tc>
              <w:tc>
                <w:tcPr>
                  <w:tcW w:w="2745" w:type="pct"/>
                  <w:tcBorders>
                    <w:tl2br w:val="nil"/>
                    <w:tr2bl w:val="nil"/>
                  </w:tcBorders>
                  <w:shd w:val="clear" w:color="000000" w:fill="FFFFFF"/>
                  <w:noWrap w:val="0"/>
                  <w:vAlign w:val="center"/>
                </w:tcPr>
                <w:p w14:paraId="6EC19CD5">
                  <w:pPr>
                    <w:widowControl/>
                    <w:spacing w:line="240" w:lineRule="auto"/>
                    <w:ind w:firstLine="0" w:firstLineChars="0"/>
                    <w:jc w:val="center"/>
                    <w:rPr>
                      <w:color w:val="auto"/>
                      <w:kern w:val="0"/>
                      <w:sz w:val="21"/>
                      <w:szCs w:val="21"/>
                      <w:highlight w:val="none"/>
                    </w:rPr>
                  </w:pPr>
                  <w:r>
                    <w:rPr>
                      <w:color w:val="auto"/>
                      <w:kern w:val="0"/>
                      <w:sz w:val="21"/>
                      <w:szCs w:val="21"/>
                      <w:highlight w:val="none"/>
                    </w:rPr>
                    <w:t>人行桥</w:t>
                  </w:r>
                </w:p>
              </w:tc>
              <w:tc>
                <w:tcPr>
                  <w:tcW w:w="553" w:type="pct"/>
                  <w:tcBorders>
                    <w:tl2br w:val="nil"/>
                    <w:tr2bl w:val="nil"/>
                  </w:tcBorders>
                  <w:shd w:val="clear" w:color="000000" w:fill="FFFFFF"/>
                  <w:noWrap w:val="0"/>
                  <w:vAlign w:val="center"/>
                </w:tcPr>
                <w:p w14:paraId="0A8C0F21">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c>
                <w:tcPr>
                  <w:tcW w:w="1146" w:type="pct"/>
                  <w:tcBorders>
                    <w:tl2br w:val="nil"/>
                    <w:tr2bl w:val="nil"/>
                  </w:tcBorders>
                  <w:shd w:val="clear" w:color="000000" w:fill="FFFFFF"/>
                  <w:noWrap w:val="0"/>
                  <w:vAlign w:val="center"/>
                </w:tcPr>
                <w:p w14:paraId="6493E9D4">
                  <w:pPr>
                    <w:widowControl/>
                    <w:spacing w:line="240" w:lineRule="auto"/>
                    <w:ind w:firstLine="0" w:firstLineChars="0"/>
                    <w:jc w:val="center"/>
                    <w:rPr>
                      <w:color w:val="auto"/>
                      <w:kern w:val="0"/>
                      <w:sz w:val="21"/>
                      <w:szCs w:val="21"/>
                      <w:highlight w:val="none"/>
                    </w:rPr>
                  </w:pPr>
                  <w:r>
                    <w:rPr>
                      <w:color w:val="auto"/>
                      <w:kern w:val="0"/>
                      <w:sz w:val="21"/>
                      <w:szCs w:val="21"/>
                      <w:highlight w:val="none"/>
                    </w:rPr>
                    <w:t>　</w:t>
                  </w:r>
                </w:p>
              </w:tc>
            </w:tr>
            <w:tr w14:paraId="483DD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63EE3BB2">
                  <w:pPr>
                    <w:widowControl/>
                    <w:spacing w:line="240" w:lineRule="auto"/>
                    <w:ind w:firstLine="0" w:firstLineChars="0"/>
                    <w:jc w:val="center"/>
                    <w:rPr>
                      <w:color w:val="auto"/>
                      <w:kern w:val="0"/>
                      <w:sz w:val="21"/>
                      <w:szCs w:val="21"/>
                      <w:highlight w:val="none"/>
                    </w:rPr>
                  </w:pPr>
                  <w:r>
                    <w:rPr>
                      <w:color w:val="auto"/>
                      <w:kern w:val="0"/>
                      <w:sz w:val="21"/>
                      <w:szCs w:val="21"/>
                      <w:highlight w:val="none"/>
                    </w:rPr>
                    <w:t>1</w:t>
                  </w:r>
                </w:p>
              </w:tc>
              <w:tc>
                <w:tcPr>
                  <w:tcW w:w="2745" w:type="pct"/>
                  <w:tcBorders>
                    <w:tl2br w:val="nil"/>
                    <w:tr2bl w:val="nil"/>
                  </w:tcBorders>
                  <w:shd w:val="clear" w:color="000000" w:fill="FFFFFF"/>
                  <w:noWrap w:val="0"/>
                  <w:vAlign w:val="center"/>
                </w:tcPr>
                <w:p w14:paraId="2784518A">
                  <w:pPr>
                    <w:widowControl/>
                    <w:spacing w:line="240" w:lineRule="auto"/>
                    <w:ind w:firstLine="0" w:firstLineChars="0"/>
                    <w:jc w:val="center"/>
                    <w:rPr>
                      <w:color w:val="auto"/>
                      <w:kern w:val="0"/>
                      <w:sz w:val="21"/>
                      <w:szCs w:val="21"/>
                      <w:highlight w:val="none"/>
                    </w:rPr>
                  </w:pPr>
                  <w:r>
                    <w:rPr>
                      <w:color w:val="auto"/>
                      <w:kern w:val="0"/>
                      <w:sz w:val="21"/>
                      <w:szCs w:val="21"/>
                      <w:highlight w:val="none"/>
                    </w:rPr>
                    <w:t>桥涵挡墙垫层C15</w:t>
                  </w:r>
                </w:p>
              </w:tc>
              <w:tc>
                <w:tcPr>
                  <w:tcW w:w="553" w:type="pct"/>
                  <w:tcBorders>
                    <w:tl2br w:val="nil"/>
                    <w:tr2bl w:val="nil"/>
                  </w:tcBorders>
                  <w:shd w:val="clear" w:color="000000" w:fill="FFFFFF"/>
                  <w:noWrap w:val="0"/>
                  <w:vAlign w:val="center"/>
                </w:tcPr>
                <w:p w14:paraId="48AEFF2B">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66CEA2A7">
                  <w:pPr>
                    <w:widowControl/>
                    <w:spacing w:line="240" w:lineRule="auto"/>
                    <w:ind w:firstLine="0" w:firstLineChars="0"/>
                    <w:jc w:val="center"/>
                    <w:rPr>
                      <w:color w:val="auto"/>
                      <w:kern w:val="0"/>
                      <w:sz w:val="21"/>
                      <w:szCs w:val="21"/>
                      <w:highlight w:val="none"/>
                    </w:rPr>
                  </w:pPr>
                  <w:r>
                    <w:rPr>
                      <w:color w:val="auto"/>
                      <w:kern w:val="0"/>
                      <w:sz w:val="21"/>
                      <w:szCs w:val="21"/>
                      <w:highlight w:val="none"/>
                    </w:rPr>
                    <w:t>5.37</w:t>
                  </w:r>
                </w:p>
              </w:tc>
            </w:tr>
            <w:tr w14:paraId="3B1D3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36886244">
                  <w:pPr>
                    <w:widowControl/>
                    <w:spacing w:line="240" w:lineRule="auto"/>
                    <w:ind w:firstLine="0" w:firstLineChars="0"/>
                    <w:jc w:val="center"/>
                    <w:rPr>
                      <w:color w:val="auto"/>
                      <w:kern w:val="0"/>
                      <w:sz w:val="21"/>
                      <w:szCs w:val="21"/>
                      <w:highlight w:val="none"/>
                    </w:rPr>
                  </w:pPr>
                  <w:r>
                    <w:rPr>
                      <w:color w:val="auto"/>
                      <w:kern w:val="0"/>
                      <w:sz w:val="21"/>
                      <w:szCs w:val="21"/>
                      <w:highlight w:val="none"/>
                    </w:rPr>
                    <w:t>2</w:t>
                  </w:r>
                </w:p>
              </w:tc>
              <w:tc>
                <w:tcPr>
                  <w:tcW w:w="2745" w:type="pct"/>
                  <w:tcBorders>
                    <w:tl2br w:val="nil"/>
                    <w:tr2bl w:val="nil"/>
                  </w:tcBorders>
                  <w:shd w:val="clear" w:color="000000" w:fill="FFFFFF"/>
                  <w:noWrap w:val="0"/>
                  <w:vAlign w:val="center"/>
                </w:tcPr>
                <w:p w14:paraId="0BB7D669">
                  <w:pPr>
                    <w:widowControl/>
                    <w:spacing w:line="240" w:lineRule="auto"/>
                    <w:ind w:firstLine="0" w:firstLineChars="0"/>
                    <w:jc w:val="center"/>
                    <w:rPr>
                      <w:color w:val="auto"/>
                      <w:kern w:val="0"/>
                      <w:sz w:val="21"/>
                      <w:szCs w:val="21"/>
                      <w:highlight w:val="none"/>
                    </w:rPr>
                  </w:pPr>
                  <w:r>
                    <w:rPr>
                      <w:color w:val="auto"/>
                      <w:kern w:val="0"/>
                      <w:sz w:val="21"/>
                      <w:szCs w:val="21"/>
                      <w:highlight w:val="none"/>
                    </w:rPr>
                    <w:t>桥涵挡墙C20</w:t>
                  </w:r>
                </w:p>
              </w:tc>
              <w:tc>
                <w:tcPr>
                  <w:tcW w:w="553" w:type="pct"/>
                  <w:tcBorders>
                    <w:tl2br w:val="nil"/>
                    <w:tr2bl w:val="nil"/>
                  </w:tcBorders>
                  <w:shd w:val="clear" w:color="000000" w:fill="FFFFFF"/>
                  <w:noWrap w:val="0"/>
                  <w:vAlign w:val="center"/>
                </w:tcPr>
                <w:p w14:paraId="700B3EEC">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5042CFA8">
                  <w:pPr>
                    <w:widowControl/>
                    <w:spacing w:line="240" w:lineRule="auto"/>
                    <w:ind w:firstLine="0" w:firstLineChars="0"/>
                    <w:jc w:val="center"/>
                    <w:rPr>
                      <w:color w:val="auto"/>
                      <w:kern w:val="0"/>
                      <w:sz w:val="21"/>
                      <w:szCs w:val="21"/>
                      <w:highlight w:val="none"/>
                    </w:rPr>
                  </w:pPr>
                  <w:r>
                    <w:rPr>
                      <w:color w:val="auto"/>
                      <w:kern w:val="0"/>
                      <w:sz w:val="21"/>
                      <w:szCs w:val="21"/>
                      <w:highlight w:val="none"/>
                    </w:rPr>
                    <w:t>98.94</w:t>
                  </w:r>
                </w:p>
              </w:tc>
            </w:tr>
            <w:tr w14:paraId="7BFB9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4845085B">
                  <w:pPr>
                    <w:widowControl/>
                    <w:spacing w:line="240" w:lineRule="auto"/>
                    <w:ind w:firstLine="0" w:firstLineChars="0"/>
                    <w:jc w:val="center"/>
                    <w:rPr>
                      <w:color w:val="auto"/>
                      <w:kern w:val="0"/>
                      <w:sz w:val="21"/>
                      <w:szCs w:val="21"/>
                      <w:highlight w:val="none"/>
                    </w:rPr>
                  </w:pPr>
                  <w:r>
                    <w:rPr>
                      <w:color w:val="auto"/>
                      <w:kern w:val="0"/>
                      <w:sz w:val="21"/>
                      <w:szCs w:val="21"/>
                      <w:highlight w:val="none"/>
                    </w:rPr>
                    <w:t>3</w:t>
                  </w:r>
                </w:p>
              </w:tc>
              <w:tc>
                <w:tcPr>
                  <w:tcW w:w="2745" w:type="pct"/>
                  <w:tcBorders>
                    <w:tl2br w:val="nil"/>
                    <w:tr2bl w:val="nil"/>
                  </w:tcBorders>
                  <w:shd w:val="clear" w:color="000000" w:fill="FFFFFF"/>
                  <w:noWrap w:val="0"/>
                  <w:vAlign w:val="center"/>
                </w:tcPr>
                <w:p w14:paraId="7ECAD067">
                  <w:pPr>
                    <w:widowControl/>
                    <w:spacing w:line="240" w:lineRule="auto"/>
                    <w:ind w:firstLine="0" w:firstLineChars="0"/>
                    <w:jc w:val="center"/>
                    <w:rPr>
                      <w:color w:val="auto"/>
                      <w:kern w:val="0"/>
                      <w:sz w:val="21"/>
                      <w:szCs w:val="21"/>
                      <w:highlight w:val="none"/>
                    </w:rPr>
                  </w:pPr>
                  <w:r>
                    <w:rPr>
                      <w:color w:val="auto"/>
                      <w:kern w:val="0"/>
                      <w:sz w:val="21"/>
                      <w:szCs w:val="21"/>
                      <w:highlight w:val="none"/>
                    </w:rPr>
                    <w:t>桥涵底板C20</w:t>
                  </w:r>
                </w:p>
              </w:tc>
              <w:tc>
                <w:tcPr>
                  <w:tcW w:w="553" w:type="pct"/>
                  <w:tcBorders>
                    <w:tl2br w:val="nil"/>
                    <w:tr2bl w:val="nil"/>
                  </w:tcBorders>
                  <w:shd w:val="clear" w:color="000000" w:fill="FFFFFF"/>
                  <w:noWrap w:val="0"/>
                  <w:vAlign w:val="center"/>
                </w:tcPr>
                <w:p w14:paraId="5BA64165">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3F49C203">
                  <w:pPr>
                    <w:widowControl/>
                    <w:spacing w:line="240" w:lineRule="auto"/>
                    <w:ind w:firstLine="0" w:firstLineChars="0"/>
                    <w:jc w:val="center"/>
                    <w:rPr>
                      <w:color w:val="auto"/>
                      <w:kern w:val="0"/>
                      <w:sz w:val="21"/>
                      <w:szCs w:val="21"/>
                      <w:highlight w:val="none"/>
                    </w:rPr>
                  </w:pPr>
                  <w:r>
                    <w:rPr>
                      <w:color w:val="auto"/>
                      <w:kern w:val="0"/>
                      <w:sz w:val="21"/>
                      <w:szCs w:val="21"/>
                      <w:highlight w:val="none"/>
                    </w:rPr>
                    <w:t>9.38</w:t>
                  </w:r>
                </w:p>
              </w:tc>
            </w:tr>
            <w:tr w14:paraId="10ACC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00A82D0D">
                  <w:pPr>
                    <w:widowControl/>
                    <w:spacing w:line="240" w:lineRule="auto"/>
                    <w:ind w:firstLine="0" w:firstLineChars="0"/>
                    <w:jc w:val="center"/>
                    <w:rPr>
                      <w:color w:val="auto"/>
                      <w:kern w:val="0"/>
                      <w:sz w:val="21"/>
                      <w:szCs w:val="21"/>
                      <w:highlight w:val="none"/>
                    </w:rPr>
                  </w:pPr>
                  <w:r>
                    <w:rPr>
                      <w:color w:val="auto"/>
                      <w:kern w:val="0"/>
                      <w:sz w:val="21"/>
                      <w:szCs w:val="21"/>
                      <w:highlight w:val="none"/>
                    </w:rPr>
                    <w:t>4</w:t>
                  </w:r>
                </w:p>
              </w:tc>
              <w:tc>
                <w:tcPr>
                  <w:tcW w:w="2745" w:type="pct"/>
                  <w:tcBorders>
                    <w:tl2br w:val="nil"/>
                    <w:tr2bl w:val="nil"/>
                  </w:tcBorders>
                  <w:shd w:val="clear" w:color="000000" w:fill="FFFFFF"/>
                  <w:noWrap w:val="0"/>
                  <w:vAlign w:val="center"/>
                </w:tcPr>
                <w:p w14:paraId="2541D8A6">
                  <w:pPr>
                    <w:widowControl/>
                    <w:spacing w:line="240" w:lineRule="auto"/>
                    <w:ind w:firstLine="0" w:firstLineChars="0"/>
                    <w:jc w:val="center"/>
                    <w:rPr>
                      <w:color w:val="auto"/>
                      <w:kern w:val="0"/>
                      <w:sz w:val="21"/>
                      <w:szCs w:val="21"/>
                      <w:highlight w:val="none"/>
                    </w:rPr>
                  </w:pPr>
                  <w:r>
                    <w:rPr>
                      <w:color w:val="auto"/>
                      <w:kern w:val="0"/>
                      <w:sz w:val="21"/>
                      <w:szCs w:val="21"/>
                      <w:highlight w:val="none"/>
                    </w:rPr>
                    <w:t>桥板C30钢筋砼</w:t>
                  </w:r>
                </w:p>
              </w:tc>
              <w:tc>
                <w:tcPr>
                  <w:tcW w:w="553" w:type="pct"/>
                  <w:tcBorders>
                    <w:tl2br w:val="nil"/>
                    <w:tr2bl w:val="nil"/>
                  </w:tcBorders>
                  <w:shd w:val="clear" w:color="000000" w:fill="FFFFFF"/>
                  <w:noWrap w:val="0"/>
                  <w:vAlign w:val="center"/>
                </w:tcPr>
                <w:p w14:paraId="203F30D5">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4AEEACDF">
                  <w:pPr>
                    <w:widowControl/>
                    <w:spacing w:line="240" w:lineRule="auto"/>
                    <w:ind w:firstLine="0" w:firstLineChars="0"/>
                    <w:jc w:val="center"/>
                    <w:rPr>
                      <w:color w:val="auto"/>
                      <w:kern w:val="0"/>
                      <w:sz w:val="21"/>
                      <w:szCs w:val="21"/>
                      <w:highlight w:val="none"/>
                    </w:rPr>
                  </w:pPr>
                  <w:r>
                    <w:rPr>
                      <w:color w:val="auto"/>
                      <w:kern w:val="0"/>
                      <w:sz w:val="21"/>
                      <w:szCs w:val="21"/>
                      <w:highlight w:val="none"/>
                    </w:rPr>
                    <w:t>1.81</w:t>
                  </w:r>
                </w:p>
              </w:tc>
            </w:tr>
            <w:tr w14:paraId="2C2E1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307035B1">
                  <w:pPr>
                    <w:widowControl/>
                    <w:spacing w:line="240" w:lineRule="auto"/>
                    <w:ind w:firstLine="0" w:firstLineChars="0"/>
                    <w:jc w:val="center"/>
                    <w:rPr>
                      <w:color w:val="auto"/>
                      <w:kern w:val="0"/>
                      <w:sz w:val="21"/>
                      <w:szCs w:val="21"/>
                      <w:highlight w:val="none"/>
                    </w:rPr>
                  </w:pPr>
                  <w:r>
                    <w:rPr>
                      <w:color w:val="auto"/>
                      <w:kern w:val="0"/>
                      <w:sz w:val="21"/>
                      <w:szCs w:val="21"/>
                      <w:highlight w:val="none"/>
                    </w:rPr>
                    <w:t>5</w:t>
                  </w:r>
                </w:p>
              </w:tc>
              <w:tc>
                <w:tcPr>
                  <w:tcW w:w="2745" w:type="pct"/>
                  <w:tcBorders>
                    <w:tl2br w:val="nil"/>
                    <w:tr2bl w:val="nil"/>
                  </w:tcBorders>
                  <w:shd w:val="clear" w:color="000000" w:fill="FFFFFF"/>
                  <w:noWrap w:val="0"/>
                  <w:vAlign w:val="center"/>
                </w:tcPr>
                <w:p w14:paraId="3654AB97">
                  <w:pPr>
                    <w:widowControl/>
                    <w:spacing w:line="240" w:lineRule="auto"/>
                    <w:ind w:firstLine="0" w:firstLineChars="0"/>
                    <w:jc w:val="center"/>
                    <w:rPr>
                      <w:color w:val="auto"/>
                      <w:kern w:val="0"/>
                      <w:sz w:val="21"/>
                      <w:szCs w:val="21"/>
                      <w:highlight w:val="none"/>
                    </w:rPr>
                  </w:pPr>
                  <w:r>
                    <w:rPr>
                      <w:color w:val="auto"/>
                      <w:kern w:val="0"/>
                      <w:sz w:val="21"/>
                      <w:szCs w:val="21"/>
                      <w:highlight w:val="none"/>
                    </w:rPr>
                    <w:t>模板制安</w:t>
                  </w:r>
                </w:p>
              </w:tc>
              <w:tc>
                <w:tcPr>
                  <w:tcW w:w="553" w:type="pct"/>
                  <w:tcBorders>
                    <w:tl2br w:val="nil"/>
                    <w:tr2bl w:val="nil"/>
                  </w:tcBorders>
                  <w:shd w:val="clear" w:color="000000" w:fill="FFFFFF"/>
                  <w:noWrap w:val="0"/>
                  <w:vAlign w:val="center"/>
                </w:tcPr>
                <w:p w14:paraId="0C1FA1C4">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1146" w:type="pct"/>
                  <w:tcBorders>
                    <w:tl2br w:val="nil"/>
                    <w:tr2bl w:val="nil"/>
                  </w:tcBorders>
                  <w:shd w:val="clear" w:color="000000" w:fill="FFFFFF"/>
                  <w:noWrap w:val="0"/>
                  <w:vAlign w:val="center"/>
                </w:tcPr>
                <w:p w14:paraId="77062852">
                  <w:pPr>
                    <w:widowControl/>
                    <w:spacing w:line="240" w:lineRule="auto"/>
                    <w:ind w:firstLine="0" w:firstLineChars="0"/>
                    <w:jc w:val="center"/>
                    <w:rPr>
                      <w:color w:val="auto"/>
                      <w:kern w:val="0"/>
                      <w:sz w:val="21"/>
                      <w:szCs w:val="21"/>
                      <w:highlight w:val="none"/>
                    </w:rPr>
                  </w:pPr>
                  <w:r>
                    <w:rPr>
                      <w:color w:val="auto"/>
                      <w:kern w:val="0"/>
                      <w:sz w:val="21"/>
                      <w:szCs w:val="21"/>
                      <w:highlight w:val="none"/>
                    </w:rPr>
                    <w:t>193.08</w:t>
                  </w:r>
                </w:p>
              </w:tc>
            </w:tr>
            <w:tr w14:paraId="0EBE4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143A7965">
                  <w:pPr>
                    <w:widowControl/>
                    <w:spacing w:line="240" w:lineRule="auto"/>
                    <w:ind w:firstLine="0" w:firstLineChars="0"/>
                    <w:jc w:val="center"/>
                    <w:rPr>
                      <w:color w:val="auto"/>
                      <w:kern w:val="0"/>
                      <w:sz w:val="21"/>
                      <w:szCs w:val="21"/>
                      <w:highlight w:val="none"/>
                    </w:rPr>
                  </w:pPr>
                  <w:r>
                    <w:rPr>
                      <w:color w:val="auto"/>
                      <w:kern w:val="0"/>
                      <w:sz w:val="21"/>
                      <w:szCs w:val="21"/>
                      <w:highlight w:val="none"/>
                    </w:rPr>
                    <w:t>6</w:t>
                  </w:r>
                </w:p>
              </w:tc>
              <w:tc>
                <w:tcPr>
                  <w:tcW w:w="2745" w:type="pct"/>
                  <w:tcBorders>
                    <w:tl2br w:val="nil"/>
                    <w:tr2bl w:val="nil"/>
                  </w:tcBorders>
                  <w:shd w:val="clear" w:color="000000" w:fill="FFFFFF"/>
                  <w:noWrap w:val="0"/>
                  <w:vAlign w:val="center"/>
                </w:tcPr>
                <w:p w14:paraId="405D0B87">
                  <w:pPr>
                    <w:widowControl/>
                    <w:spacing w:line="240" w:lineRule="auto"/>
                    <w:ind w:firstLine="0" w:firstLineChars="0"/>
                    <w:jc w:val="center"/>
                    <w:rPr>
                      <w:color w:val="auto"/>
                      <w:kern w:val="0"/>
                      <w:sz w:val="21"/>
                      <w:szCs w:val="21"/>
                      <w:highlight w:val="none"/>
                    </w:rPr>
                  </w:pPr>
                  <w:r>
                    <w:rPr>
                      <w:color w:val="auto"/>
                      <w:kern w:val="0"/>
                      <w:sz w:val="21"/>
                      <w:szCs w:val="21"/>
                      <w:highlight w:val="none"/>
                    </w:rPr>
                    <w:t>聚乙烯泡沫板分缝 2cm厚</w:t>
                  </w:r>
                </w:p>
              </w:tc>
              <w:tc>
                <w:tcPr>
                  <w:tcW w:w="553" w:type="pct"/>
                  <w:tcBorders>
                    <w:tl2br w:val="nil"/>
                    <w:tr2bl w:val="nil"/>
                  </w:tcBorders>
                  <w:shd w:val="clear" w:color="000000" w:fill="FFFFFF"/>
                  <w:noWrap w:val="0"/>
                  <w:vAlign w:val="center"/>
                </w:tcPr>
                <w:p w14:paraId="27DFB256">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1146" w:type="pct"/>
                  <w:tcBorders>
                    <w:tl2br w:val="nil"/>
                    <w:tr2bl w:val="nil"/>
                  </w:tcBorders>
                  <w:shd w:val="clear" w:color="000000" w:fill="FFFFFF"/>
                  <w:noWrap w:val="0"/>
                  <w:vAlign w:val="center"/>
                </w:tcPr>
                <w:p w14:paraId="7DE0CC16">
                  <w:pPr>
                    <w:widowControl/>
                    <w:spacing w:line="240" w:lineRule="auto"/>
                    <w:ind w:firstLine="0" w:firstLineChars="0"/>
                    <w:jc w:val="center"/>
                    <w:rPr>
                      <w:color w:val="auto"/>
                      <w:kern w:val="0"/>
                      <w:sz w:val="21"/>
                      <w:szCs w:val="21"/>
                      <w:highlight w:val="none"/>
                    </w:rPr>
                  </w:pPr>
                  <w:r>
                    <w:rPr>
                      <w:color w:val="auto"/>
                      <w:kern w:val="0"/>
                      <w:sz w:val="21"/>
                      <w:szCs w:val="21"/>
                      <w:highlight w:val="none"/>
                    </w:rPr>
                    <w:t>25.20</w:t>
                  </w:r>
                </w:p>
              </w:tc>
            </w:tr>
            <w:tr w14:paraId="62243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2213E604">
                  <w:pPr>
                    <w:widowControl/>
                    <w:spacing w:line="240" w:lineRule="auto"/>
                    <w:ind w:firstLine="0" w:firstLineChars="0"/>
                    <w:jc w:val="center"/>
                    <w:rPr>
                      <w:color w:val="auto"/>
                      <w:kern w:val="0"/>
                      <w:sz w:val="21"/>
                      <w:szCs w:val="21"/>
                      <w:highlight w:val="none"/>
                    </w:rPr>
                  </w:pPr>
                  <w:r>
                    <w:rPr>
                      <w:color w:val="auto"/>
                      <w:kern w:val="0"/>
                      <w:sz w:val="21"/>
                      <w:szCs w:val="21"/>
                      <w:highlight w:val="none"/>
                    </w:rPr>
                    <w:t>7</w:t>
                  </w:r>
                </w:p>
              </w:tc>
              <w:tc>
                <w:tcPr>
                  <w:tcW w:w="2745" w:type="pct"/>
                  <w:tcBorders>
                    <w:tl2br w:val="nil"/>
                    <w:tr2bl w:val="nil"/>
                  </w:tcBorders>
                  <w:shd w:val="clear" w:color="000000" w:fill="FFFFFF"/>
                  <w:noWrap w:val="0"/>
                  <w:vAlign w:val="center"/>
                </w:tcPr>
                <w:p w14:paraId="1660E77C">
                  <w:pPr>
                    <w:widowControl/>
                    <w:spacing w:line="240" w:lineRule="auto"/>
                    <w:ind w:firstLine="0" w:firstLineChars="0"/>
                    <w:jc w:val="center"/>
                    <w:rPr>
                      <w:color w:val="auto"/>
                      <w:kern w:val="0"/>
                      <w:sz w:val="21"/>
                      <w:szCs w:val="21"/>
                      <w:highlight w:val="none"/>
                    </w:rPr>
                  </w:pPr>
                  <w:r>
                    <w:rPr>
                      <w:color w:val="auto"/>
                      <w:kern w:val="0"/>
                      <w:sz w:val="21"/>
                      <w:szCs w:val="21"/>
                      <w:highlight w:val="none"/>
                    </w:rPr>
                    <w:t>仿木栏杆</w:t>
                  </w:r>
                </w:p>
              </w:tc>
              <w:tc>
                <w:tcPr>
                  <w:tcW w:w="553" w:type="pct"/>
                  <w:tcBorders>
                    <w:tl2br w:val="nil"/>
                    <w:tr2bl w:val="nil"/>
                  </w:tcBorders>
                  <w:shd w:val="clear" w:color="000000" w:fill="FFFFFF"/>
                  <w:noWrap w:val="0"/>
                  <w:vAlign w:val="center"/>
                </w:tcPr>
                <w:p w14:paraId="1A66F0A9">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1146" w:type="pct"/>
                  <w:tcBorders>
                    <w:tl2br w:val="nil"/>
                    <w:tr2bl w:val="nil"/>
                  </w:tcBorders>
                  <w:shd w:val="clear" w:color="000000" w:fill="FFFFFF"/>
                  <w:noWrap w:val="0"/>
                  <w:vAlign w:val="center"/>
                </w:tcPr>
                <w:p w14:paraId="181147CF">
                  <w:pPr>
                    <w:widowControl/>
                    <w:spacing w:line="240" w:lineRule="auto"/>
                    <w:ind w:firstLine="0" w:firstLineChars="0"/>
                    <w:jc w:val="center"/>
                    <w:rPr>
                      <w:color w:val="auto"/>
                      <w:kern w:val="0"/>
                      <w:sz w:val="21"/>
                      <w:szCs w:val="21"/>
                      <w:highlight w:val="none"/>
                    </w:rPr>
                  </w:pPr>
                  <w:r>
                    <w:rPr>
                      <w:color w:val="auto"/>
                      <w:kern w:val="0"/>
                      <w:sz w:val="21"/>
                      <w:szCs w:val="21"/>
                      <w:highlight w:val="none"/>
                    </w:rPr>
                    <w:t>9.45</w:t>
                  </w:r>
                </w:p>
              </w:tc>
            </w:tr>
            <w:tr w14:paraId="49390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46EECD62">
                  <w:pPr>
                    <w:widowControl/>
                    <w:spacing w:line="240" w:lineRule="auto"/>
                    <w:ind w:firstLine="0" w:firstLineChars="0"/>
                    <w:jc w:val="center"/>
                    <w:rPr>
                      <w:color w:val="auto"/>
                      <w:kern w:val="0"/>
                      <w:sz w:val="21"/>
                      <w:szCs w:val="21"/>
                      <w:highlight w:val="none"/>
                    </w:rPr>
                  </w:pPr>
                  <w:r>
                    <w:rPr>
                      <w:color w:val="auto"/>
                      <w:kern w:val="0"/>
                      <w:sz w:val="21"/>
                      <w:szCs w:val="21"/>
                      <w:highlight w:val="none"/>
                    </w:rPr>
                    <w:t>8</w:t>
                  </w:r>
                </w:p>
              </w:tc>
              <w:tc>
                <w:tcPr>
                  <w:tcW w:w="2745" w:type="pct"/>
                  <w:tcBorders>
                    <w:tl2br w:val="nil"/>
                    <w:tr2bl w:val="nil"/>
                  </w:tcBorders>
                  <w:shd w:val="clear" w:color="000000" w:fill="FFFFFF"/>
                  <w:noWrap w:val="0"/>
                  <w:vAlign w:val="center"/>
                </w:tcPr>
                <w:p w14:paraId="22FB9FD4">
                  <w:pPr>
                    <w:widowControl/>
                    <w:spacing w:line="240" w:lineRule="auto"/>
                    <w:ind w:firstLine="0" w:firstLineChars="0"/>
                    <w:jc w:val="center"/>
                    <w:rPr>
                      <w:color w:val="auto"/>
                      <w:kern w:val="0"/>
                      <w:sz w:val="21"/>
                      <w:szCs w:val="21"/>
                      <w:highlight w:val="none"/>
                    </w:rPr>
                  </w:pPr>
                  <w:r>
                    <w:rPr>
                      <w:color w:val="auto"/>
                      <w:kern w:val="0"/>
                      <w:sz w:val="21"/>
                      <w:szCs w:val="21"/>
                      <w:highlight w:val="none"/>
                    </w:rPr>
                    <w:t>Φ50PVC排水管</w:t>
                  </w:r>
                </w:p>
              </w:tc>
              <w:tc>
                <w:tcPr>
                  <w:tcW w:w="553" w:type="pct"/>
                  <w:tcBorders>
                    <w:tl2br w:val="nil"/>
                    <w:tr2bl w:val="nil"/>
                  </w:tcBorders>
                  <w:shd w:val="clear" w:color="000000" w:fill="FFFFFF"/>
                  <w:noWrap w:val="0"/>
                  <w:vAlign w:val="center"/>
                </w:tcPr>
                <w:p w14:paraId="36547850">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p>
              </w:tc>
              <w:tc>
                <w:tcPr>
                  <w:tcW w:w="1146" w:type="pct"/>
                  <w:tcBorders>
                    <w:tl2br w:val="nil"/>
                    <w:tr2bl w:val="nil"/>
                  </w:tcBorders>
                  <w:shd w:val="clear" w:color="000000" w:fill="FFFFFF"/>
                  <w:noWrap w:val="0"/>
                  <w:vAlign w:val="center"/>
                </w:tcPr>
                <w:p w14:paraId="6FE1DB8A">
                  <w:pPr>
                    <w:widowControl/>
                    <w:spacing w:line="240" w:lineRule="auto"/>
                    <w:ind w:firstLine="0" w:firstLineChars="0"/>
                    <w:jc w:val="center"/>
                    <w:rPr>
                      <w:color w:val="auto"/>
                      <w:kern w:val="0"/>
                      <w:sz w:val="21"/>
                      <w:szCs w:val="21"/>
                      <w:highlight w:val="none"/>
                    </w:rPr>
                  </w:pPr>
                  <w:r>
                    <w:rPr>
                      <w:color w:val="auto"/>
                      <w:kern w:val="0"/>
                      <w:sz w:val="21"/>
                      <w:szCs w:val="21"/>
                      <w:highlight w:val="none"/>
                    </w:rPr>
                    <w:t>25.41</w:t>
                  </w:r>
                </w:p>
              </w:tc>
            </w:tr>
            <w:tr w14:paraId="41E24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6C237754">
                  <w:pPr>
                    <w:widowControl/>
                    <w:spacing w:line="240" w:lineRule="auto"/>
                    <w:ind w:firstLine="0" w:firstLineChars="0"/>
                    <w:jc w:val="center"/>
                    <w:rPr>
                      <w:color w:val="auto"/>
                      <w:kern w:val="0"/>
                      <w:sz w:val="21"/>
                      <w:szCs w:val="21"/>
                      <w:highlight w:val="none"/>
                    </w:rPr>
                  </w:pPr>
                  <w:r>
                    <w:rPr>
                      <w:color w:val="auto"/>
                      <w:kern w:val="0"/>
                      <w:sz w:val="21"/>
                      <w:szCs w:val="21"/>
                      <w:highlight w:val="none"/>
                    </w:rPr>
                    <w:t>9</w:t>
                  </w:r>
                </w:p>
              </w:tc>
              <w:tc>
                <w:tcPr>
                  <w:tcW w:w="2745" w:type="pct"/>
                  <w:tcBorders>
                    <w:tl2br w:val="nil"/>
                    <w:tr2bl w:val="nil"/>
                  </w:tcBorders>
                  <w:shd w:val="clear" w:color="000000" w:fill="FFFFFF"/>
                  <w:noWrap w:val="0"/>
                  <w:vAlign w:val="center"/>
                </w:tcPr>
                <w:p w14:paraId="71F41F18">
                  <w:pPr>
                    <w:widowControl/>
                    <w:spacing w:line="240" w:lineRule="auto"/>
                    <w:ind w:firstLine="0" w:firstLineChars="0"/>
                    <w:jc w:val="center"/>
                    <w:rPr>
                      <w:color w:val="auto"/>
                      <w:kern w:val="0"/>
                      <w:sz w:val="21"/>
                      <w:szCs w:val="21"/>
                      <w:highlight w:val="none"/>
                    </w:rPr>
                  </w:pPr>
                  <w:r>
                    <w:rPr>
                      <w:color w:val="auto"/>
                      <w:kern w:val="0"/>
                      <w:sz w:val="21"/>
                      <w:szCs w:val="21"/>
                      <w:highlight w:val="none"/>
                    </w:rPr>
                    <w:t>碎石反滤包</w:t>
                  </w:r>
                </w:p>
              </w:tc>
              <w:tc>
                <w:tcPr>
                  <w:tcW w:w="553" w:type="pct"/>
                  <w:tcBorders>
                    <w:tl2br w:val="nil"/>
                    <w:tr2bl w:val="nil"/>
                  </w:tcBorders>
                  <w:shd w:val="clear" w:color="000000" w:fill="FFFFFF"/>
                  <w:noWrap w:val="0"/>
                  <w:vAlign w:val="center"/>
                </w:tcPr>
                <w:p w14:paraId="57D382BC">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3</w:t>
                  </w:r>
                </w:p>
              </w:tc>
              <w:tc>
                <w:tcPr>
                  <w:tcW w:w="1146" w:type="pct"/>
                  <w:tcBorders>
                    <w:tl2br w:val="nil"/>
                    <w:tr2bl w:val="nil"/>
                  </w:tcBorders>
                  <w:shd w:val="clear" w:color="000000" w:fill="FFFFFF"/>
                  <w:noWrap w:val="0"/>
                  <w:vAlign w:val="center"/>
                </w:tcPr>
                <w:p w14:paraId="05DBDE5A">
                  <w:pPr>
                    <w:widowControl/>
                    <w:spacing w:line="240" w:lineRule="auto"/>
                    <w:ind w:firstLine="0" w:firstLineChars="0"/>
                    <w:jc w:val="center"/>
                    <w:rPr>
                      <w:color w:val="auto"/>
                      <w:kern w:val="0"/>
                      <w:sz w:val="21"/>
                      <w:szCs w:val="21"/>
                      <w:highlight w:val="none"/>
                    </w:rPr>
                  </w:pPr>
                  <w:r>
                    <w:rPr>
                      <w:color w:val="auto"/>
                      <w:kern w:val="0"/>
                      <w:sz w:val="21"/>
                      <w:szCs w:val="21"/>
                      <w:highlight w:val="none"/>
                    </w:rPr>
                    <w:t>0.57</w:t>
                  </w:r>
                </w:p>
              </w:tc>
            </w:tr>
            <w:tr w14:paraId="47BD3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553" w:type="pct"/>
                  <w:tcBorders>
                    <w:tl2br w:val="nil"/>
                    <w:tr2bl w:val="nil"/>
                  </w:tcBorders>
                  <w:shd w:val="clear" w:color="000000" w:fill="FFFFFF"/>
                  <w:noWrap w:val="0"/>
                  <w:vAlign w:val="center"/>
                </w:tcPr>
                <w:p w14:paraId="1309B974">
                  <w:pPr>
                    <w:widowControl/>
                    <w:spacing w:line="240" w:lineRule="auto"/>
                    <w:ind w:firstLine="0" w:firstLineChars="0"/>
                    <w:jc w:val="center"/>
                    <w:rPr>
                      <w:color w:val="auto"/>
                      <w:kern w:val="0"/>
                      <w:sz w:val="21"/>
                      <w:szCs w:val="21"/>
                      <w:highlight w:val="none"/>
                    </w:rPr>
                  </w:pPr>
                  <w:r>
                    <w:rPr>
                      <w:color w:val="auto"/>
                      <w:kern w:val="0"/>
                      <w:sz w:val="21"/>
                      <w:szCs w:val="21"/>
                      <w:highlight w:val="none"/>
                    </w:rPr>
                    <w:t>10</w:t>
                  </w:r>
                </w:p>
              </w:tc>
              <w:tc>
                <w:tcPr>
                  <w:tcW w:w="2745" w:type="pct"/>
                  <w:tcBorders>
                    <w:tl2br w:val="nil"/>
                    <w:tr2bl w:val="nil"/>
                  </w:tcBorders>
                  <w:shd w:val="clear" w:color="000000" w:fill="FFFFFF"/>
                  <w:noWrap w:val="0"/>
                  <w:vAlign w:val="center"/>
                </w:tcPr>
                <w:p w14:paraId="35AFC283">
                  <w:pPr>
                    <w:widowControl/>
                    <w:spacing w:line="240" w:lineRule="auto"/>
                    <w:ind w:firstLine="0" w:firstLineChars="0"/>
                    <w:jc w:val="center"/>
                    <w:rPr>
                      <w:color w:val="auto"/>
                      <w:kern w:val="0"/>
                      <w:sz w:val="21"/>
                      <w:szCs w:val="21"/>
                      <w:highlight w:val="none"/>
                    </w:rPr>
                  </w:pPr>
                  <w:r>
                    <w:rPr>
                      <w:color w:val="auto"/>
                      <w:kern w:val="0"/>
                      <w:sz w:val="21"/>
                      <w:szCs w:val="21"/>
                      <w:highlight w:val="none"/>
                    </w:rPr>
                    <w:t>土工布</w:t>
                  </w:r>
                </w:p>
              </w:tc>
              <w:tc>
                <w:tcPr>
                  <w:tcW w:w="553" w:type="pct"/>
                  <w:tcBorders>
                    <w:tl2br w:val="nil"/>
                    <w:tr2bl w:val="nil"/>
                  </w:tcBorders>
                  <w:shd w:val="clear" w:color="000000" w:fill="FFFFFF"/>
                  <w:noWrap w:val="0"/>
                  <w:vAlign w:val="center"/>
                </w:tcPr>
                <w:p w14:paraId="5D3067E1">
                  <w:pPr>
                    <w:widowControl/>
                    <w:spacing w:line="240" w:lineRule="auto"/>
                    <w:ind w:firstLine="0" w:firstLineChars="0"/>
                    <w:jc w:val="center"/>
                    <w:rPr>
                      <w:color w:val="auto"/>
                      <w:kern w:val="0"/>
                      <w:sz w:val="21"/>
                      <w:szCs w:val="21"/>
                      <w:highlight w:val="none"/>
                    </w:rPr>
                  </w:pPr>
                  <w:r>
                    <w:rPr>
                      <w:color w:val="auto"/>
                      <w:kern w:val="0"/>
                      <w:sz w:val="21"/>
                      <w:szCs w:val="21"/>
                      <w:highlight w:val="none"/>
                    </w:rPr>
                    <w:t>m</w:t>
                  </w:r>
                  <w:r>
                    <w:rPr>
                      <w:color w:val="auto"/>
                      <w:kern w:val="0"/>
                      <w:sz w:val="21"/>
                      <w:szCs w:val="21"/>
                      <w:highlight w:val="none"/>
                      <w:vertAlign w:val="superscript"/>
                    </w:rPr>
                    <w:t>2</w:t>
                  </w:r>
                </w:p>
              </w:tc>
              <w:tc>
                <w:tcPr>
                  <w:tcW w:w="1146" w:type="pct"/>
                  <w:tcBorders>
                    <w:tl2br w:val="nil"/>
                    <w:tr2bl w:val="nil"/>
                  </w:tcBorders>
                  <w:shd w:val="clear" w:color="000000" w:fill="FFFFFF"/>
                  <w:noWrap w:val="0"/>
                  <w:vAlign w:val="center"/>
                </w:tcPr>
                <w:p w14:paraId="4B7C73EC">
                  <w:pPr>
                    <w:widowControl/>
                    <w:spacing w:line="240" w:lineRule="auto"/>
                    <w:ind w:firstLine="0" w:firstLineChars="0"/>
                    <w:jc w:val="center"/>
                    <w:rPr>
                      <w:color w:val="auto"/>
                      <w:kern w:val="0"/>
                      <w:sz w:val="21"/>
                      <w:szCs w:val="21"/>
                      <w:highlight w:val="none"/>
                    </w:rPr>
                  </w:pPr>
                  <w:r>
                    <w:rPr>
                      <w:color w:val="auto"/>
                      <w:kern w:val="0"/>
                      <w:sz w:val="21"/>
                      <w:szCs w:val="21"/>
                      <w:highlight w:val="none"/>
                    </w:rPr>
                    <w:t>11.34</w:t>
                  </w:r>
                </w:p>
              </w:tc>
            </w:tr>
            <w:tr w14:paraId="1B99D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553" w:type="pct"/>
                  <w:tcBorders>
                    <w:tl2br w:val="nil"/>
                    <w:tr2bl w:val="nil"/>
                  </w:tcBorders>
                  <w:shd w:val="clear" w:color="000000" w:fill="FFFFFF"/>
                  <w:noWrap w:val="0"/>
                  <w:vAlign w:val="center"/>
                </w:tcPr>
                <w:p w14:paraId="2DB0A485">
                  <w:pPr>
                    <w:widowControl/>
                    <w:spacing w:line="240" w:lineRule="auto"/>
                    <w:ind w:firstLine="0" w:firstLineChars="0"/>
                    <w:jc w:val="center"/>
                    <w:rPr>
                      <w:color w:val="auto"/>
                      <w:kern w:val="0"/>
                      <w:sz w:val="21"/>
                      <w:szCs w:val="21"/>
                      <w:highlight w:val="none"/>
                    </w:rPr>
                  </w:pPr>
                  <w:r>
                    <w:rPr>
                      <w:color w:val="auto"/>
                      <w:kern w:val="0"/>
                      <w:sz w:val="21"/>
                      <w:szCs w:val="21"/>
                      <w:highlight w:val="none"/>
                    </w:rPr>
                    <w:t>11</w:t>
                  </w:r>
                </w:p>
              </w:tc>
              <w:tc>
                <w:tcPr>
                  <w:tcW w:w="2745" w:type="pct"/>
                  <w:tcBorders>
                    <w:tl2br w:val="nil"/>
                    <w:tr2bl w:val="nil"/>
                  </w:tcBorders>
                  <w:shd w:val="clear" w:color="000000" w:fill="FFFFFF"/>
                  <w:noWrap w:val="0"/>
                  <w:vAlign w:val="center"/>
                </w:tcPr>
                <w:p w14:paraId="4A862D10">
                  <w:pPr>
                    <w:widowControl/>
                    <w:spacing w:line="240" w:lineRule="auto"/>
                    <w:ind w:firstLine="0" w:firstLineChars="0"/>
                    <w:jc w:val="center"/>
                    <w:rPr>
                      <w:color w:val="auto"/>
                      <w:kern w:val="0"/>
                      <w:sz w:val="21"/>
                      <w:szCs w:val="21"/>
                      <w:highlight w:val="none"/>
                    </w:rPr>
                  </w:pPr>
                  <w:r>
                    <w:rPr>
                      <w:color w:val="auto"/>
                      <w:kern w:val="0"/>
                      <w:sz w:val="21"/>
                      <w:szCs w:val="21"/>
                      <w:highlight w:val="none"/>
                    </w:rPr>
                    <w:t>橡胶支座</w:t>
                  </w:r>
                </w:p>
              </w:tc>
              <w:tc>
                <w:tcPr>
                  <w:tcW w:w="553" w:type="pct"/>
                  <w:tcBorders>
                    <w:tl2br w:val="nil"/>
                    <w:tr2bl w:val="nil"/>
                  </w:tcBorders>
                  <w:shd w:val="clear" w:color="000000" w:fill="FFFFFF"/>
                  <w:noWrap w:val="0"/>
                  <w:vAlign w:val="center"/>
                </w:tcPr>
                <w:p w14:paraId="25CBD9F7">
                  <w:pPr>
                    <w:widowControl/>
                    <w:spacing w:line="240" w:lineRule="auto"/>
                    <w:ind w:firstLine="0" w:firstLineChars="0"/>
                    <w:jc w:val="center"/>
                    <w:rPr>
                      <w:color w:val="auto"/>
                      <w:kern w:val="0"/>
                      <w:sz w:val="21"/>
                      <w:szCs w:val="21"/>
                      <w:highlight w:val="none"/>
                    </w:rPr>
                  </w:pPr>
                  <w:r>
                    <w:rPr>
                      <w:color w:val="auto"/>
                      <w:kern w:val="0"/>
                      <w:sz w:val="21"/>
                      <w:szCs w:val="21"/>
                      <w:highlight w:val="none"/>
                    </w:rPr>
                    <w:t>个</w:t>
                  </w:r>
                </w:p>
              </w:tc>
              <w:tc>
                <w:tcPr>
                  <w:tcW w:w="1146" w:type="pct"/>
                  <w:tcBorders>
                    <w:tl2br w:val="nil"/>
                    <w:tr2bl w:val="nil"/>
                  </w:tcBorders>
                  <w:shd w:val="clear" w:color="000000" w:fill="FFFFFF"/>
                  <w:noWrap w:val="0"/>
                  <w:vAlign w:val="center"/>
                </w:tcPr>
                <w:p w14:paraId="7EE8B671">
                  <w:pPr>
                    <w:widowControl/>
                    <w:spacing w:line="240" w:lineRule="auto"/>
                    <w:ind w:firstLine="0" w:firstLineChars="0"/>
                    <w:jc w:val="center"/>
                    <w:rPr>
                      <w:color w:val="auto"/>
                      <w:kern w:val="0"/>
                      <w:sz w:val="21"/>
                      <w:szCs w:val="21"/>
                      <w:highlight w:val="none"/>
                    </w:rPr>
                  </w:pPr>
                  <w:r>
                    <w:rPr>
                      <w:color w:val="auto"/>
                      <w:kern w:val="0"/>
                      <w:sz w:val="21"/>
                      <w:szCs w:val="21"/>
                      <w:highlight w:val="none"/>
                    </w:rPr>
                    <w:t>4.00</w:t>
                  </w:r>
                </w:p>
              </w:tc>
            </w:tr>
          </w:tbl>
          <w:p w14:paraId="6B48FCEB">
            <w:pPr>
              <w:keepNext w:val="0"/>
              <w:keepLines w:val="0"/>
              <w:pageBreakBefore w:val="0"/>
              <w:widowControl w:val="0"/>
              <w:kinsoku/>
              <w:wordWrap/>
              <w:overflowPunct/>
              <w:topLinePunct w:val="0"/>
              <w:autoSpaceDE/>
              <w:autoSpaceDN/>
              <w:bidi w:val="0"/>
              <w:adjustRightInd w:val="0"/>
              <w:snapToGrid w:val="0"/>
              <w:spacing w:before="169" w:beforeLines="50" w:line="240" w:lineRule="exact"/>
              <w:jc w:val="center"/>
              <w:textAlignment w:val="auto"/>
              <w:rPr>
                <w:rFonts w:hint="eastAsia" w:ascii="Times New Roman" w:hAnsi="Times New Roman" w:eastAsia="宋体"/>
                <w:b/>
                <w:color w:val="auto"/>
                <w:sz w:val="24"/>
                <w:highlight w:val="none"/>
              </w:rPr>
            </w:pPr>
            <w:r>
              <w:rPr>
                <w:rFonts w:hint="eastAsia" w:ascii="Times New Roman" w:hAnsi="Times New Roman" w:eastAsia="宋体"/>
                <w:b/>
                <w:color w:val="auto"/>
                <w:sz w:val="24"/>
                <w:highlight w:val="none"/>
              </w:rPr>
              <w:t>表2</w:t>
            </w:r>
            <w:r>
              <w:rPr>
                <w:rFonts w:ascii="Times New Roman" w:hAnsi="Times New Roman" w:eastAsia="宋体"/>
                <w:b/>
                <w:color w:val="auto"/>
                <w:sz w:val="24"/>
                <w:highlight w:val="none"/>
              </w:rPr>
              <w:t>.3-</w:t>
            </w:r>
            <w:r>
              <w:rPr>
                <w:rFonts w:hint="eastAsia"/>
                <w:b/>
                <w:color w:val="auto"/>
                <w:sz w:val="24"/>
                <w:highlight w:val="none"/>
                <w:lang w:val="en-US" w:eastAsia="zh-CN"/>
              </w:rPr>
              <w:t>14</w:t>
            </w:r>
            <w:r>
              <w:rPr>
                <w:rFonts w:ascii="Times New Roman" w:hAnsi="Times New Roman" w:eastAsia="宋体"/>
                <w:b/>
                <w:color w:val="auto"/>
                <w:sz w:val="24"/>
                <w:highlight w:val="none"/>
              </w:rPr>
              <w:t xml:space="preserve">  </w:t>
            </w:r>
            <w:r>
              <w:rPr>
                <w:rFonts w:hint="eastAsia" w:ascii="Times New Roman" w:hAnsi="Times New Roman" w:eastAsia="宋体"/>
                <w:b/>
                <w:color w:val="auto"/>
                <w:sz w:val="24"/>
                <w:highlight w:val="none"/>
              </w:rPr>
              <w:t>本项</w:t>
            </w:r>
            <w:r>
              <w:rPr>
                <w:rFonts w:hint="eastAsia" w:ascii="Times New Roman" w:hAnsi="Times New Roman" w:eastAsia="宋体"/>
                <w:b/>
                <w:color w:val="auto"/>
                <w:sz w:val="24"/>
                <w:highlight w:val="none"/>
                <w:lang w:val="en-US" w:eastAsia="zh-CN"/>
              </w:rPr>
              <w:t>目清河镇防洪工程</w:t>
            </w:r>
            <w:r>
              <w:rPr>
                <w:rFonts w:hint="eastAsia" w:ascii="Times New Roman" w:hAnsi="Times New Roman" w:eastAsia="宋体"/>
                <w:b/>
                <w:color w:val="auto"/>
                <w:sz w:val="24"/>
                <w:highlight w:val="none"/>
              </w:rPr>
              <w:t>临时工程量一览表</w:t>
            </w:r>
          </w:p>
          <w:tbl>
            <w:tblPr>
              <w:tblStyle w:val="11"/>
              <w:tblW w:w="4999" w:type="pct"/>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4466"/>
              <w:gridCol w:w="1527"/>
              <w:gridCol w:w="1525"/>
            </w:tblGrid>
            <w:tr w14:paraId="13D36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43" w:type="pct"/>
                  <w:tcBorders>
                    <w:tl2br w:val="nil"/>
                    <w:tr2bl w:val="nil"/>
                  </w:tcBorders>
                  <w:noWrap w:val="0"/>
                  <w:vAlign w:val="center"/>
                </w:tcPr>
                <w:p w14:paraId="636B3654">
                  <w:pPr>
                    <w:widowControl/>
                    <w:spacing w:line="240" w:lineRule="auto"/>
                    <w:ind w:firstLine="0" w:firstLineChars="0"/>
                    <w:jc w:val="center"/>
                    <w:rPr>
                      <w:color w:val="auto"/>
                      <w:kern w:val="0"/>
                      <w:sz w:val="21"/>
                      <w:szCs w:val="21"/>
                      <w:highlight w:val="none"/>
                    </w:rPr>
                  </w:pPr>
                  <w:r>
                    <w:rPr>
                      <w:rFonts w:hint="eastAsia"/>
                      <w:color w:val="auto"/>
                      <w:kern w:val="0"/>
                      <w:sz w:val="21"/>
                      <w:szCs w:val="21"/>
                      <w:highlight w:val="none"/>
                    </w:rPr>
                    <w:t>序号</w:t>
                  </w:r>
                </w:p>
              </w:tc>
              <w:tc>
                <w:tcPr>
                  <w:tcW w:w="2469" w:type="pct"/>
                  <w:tcBorders>
                    <w:tl2br w:val="nil"/>
                    <w:tr2bl w:val="nil"/>
                  </w:tcBorders>
                  <w:noWrap w:val="0"/>
                  <w:vAlign w:val="center"/>
                </w:tcPr>
                <w:p w14:paraId="23A1B695">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 xml:space="preserve">工 程 名 称 </w:t>
                  </w:r>
                </w:p>
              </w:tc>
              <w:tc>
                <w:tcPr>
                  <w:tcW w:w="844" w:type="pct"/>
                  <w:tcBorders>
                    <w:tl2br w:val="nil"/>
                    <w:tr2bl w:val="nil"/>
                  </w:tcBorders>
                  <w:noWrap w:val="0"/>
                  <w:vAlign w:val="center"/>
                </w:tcPr>
                <w:p w14:paraId="48D7AE82">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单位</w:t>
                  </w:r>
                </w:p>
              </w:tc>
              <w:tc>
                <w:tcPr>
                  <w:tcW w:w="843" w:type="pct"/>
                  <w:tcBorders>
                    <w:tl2br w:val="nil"/>
                    <w:tr2bl w:val="nil"/>
                  </w:tcBorders>
                  <w:noWrap w:val="0"/>
                  <w:vAlign w:val="center"/>
                </w:tcPr>
                <w:p w14:paraId="098677B5">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工程量</w:t>
                  </w:r>
                </w:p>
              </w:tc>
            </w:tr>
            <w:tr w14:paraId="125EB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43" w:type="pct"/>
                  <w:tcBorders>
                    <w:tl2br w:val="nil"/>
                    <w:tr2bl w:val="nil"/>
                  </w:tcBorders>
                  <w:noWrap w:val="0"/>
                  <w:vAlign w:val="center"/>
                </w:tcPr>
                <w:p w14:paraId="69E61378">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(一)</w:t>
                  </w:r>
                </w:p>
              </w:tc>
              <w:tc>
                <w:tcPr>
                  <w:tcW w:w="2469" w:type="pct"/>
                  <w:tcBorders>
                    <w:tl2br w:val="nil"/>
                    <w:tr2bl w:val="nil"/>
                  </w:tcBorders>
                  <w:noWrap w:val="0"/>
                  <w:vAlign w:val="center"/>
                </w:tcPr>
                <w:p w14:paraId="4EB98800">
                  <w:pPr>
                    <w:widowControl/>
                    <w:spacing w:line="240" w:lineRule="auto"/>
                    <w:ind w:firstLine="0" w:firstLineChars="0"/>
                    <w:jc w:val="left"/>
                    <w:rPr>
                      <w:rFonts w:hint="eastAsia"/>
                      <w:color w:val="auto"/>
                      <w:kern w:val="0"/>
                      <w:sz w:val="21"/>
                      <w:szCs w:val="21"/>
                      <w:highlight w:val="none"/>
                    </w:rPr>
                  </w:pPr>
                  <w:r>
                    <w:rPr>
                      <w:rFonts w:hint="eastAsia"/>
                      <w:color w:val="auto"/>
                      <w:kern w:val="0"/>
                      <w:sz w:val="21"/>
                      <w:szCs w:val="21"/>
                      <w:highlight w:val="none"/>
                    </w:rPr>
                    <w:t>导流工程</w:t>
                  </w:r>
                </w:p>
              </w:tc>
              <w:tc>
                <w:tcPr>
                  <w:tcW w:w="844" w:type="pct"/>
                  <w:tcBorders>
                    <w:tl2br w:val="nil"/>
                    <w:tr2bl w:val="nil"/>
                  </w:tcBorders>
                  <w:noWrap/>
                  <w:vAlign w:val="center"/>
                </w:tcPr>
                <w:p w14:paraId="4B2E855A">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 xml:space="preserve"> </w:t>
                  </w:r>
                </w:p>
              </w:tc>
              <w:tc>
                <w:tcPr>
                  <w:tcW w:w="843" w:type="pct"/>
                  <w:tcBorders>
                    <w:tl2br w:val="nil"/>
                    <w:tr2bl w:val="nil"/>
                  </w:tcBorders>
                  <w:noWrap/>
                  <w:vAlign w:val="center"/>
                </w:tcPr>
                <w:p w14:paraId="5AA1B685">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 xml:space="preserve"> </w:t>
                  </w:r>
                </w:p>
              </w:tc>
            </w:tr>
            <w:tr w14:paraId="77C62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43" w:type="pct"/>
                  <w:tcBorders>
                    <w:tl2br w:val="nil"/>
                    <w:tr2bl w:val="nil"/>
                  </w:tcBorders>
                  <w:noWrap w:val="0"/>
                  <w:vAlign w:val="center"/>
                </w:tcPr>
                <w:p w14:paraId="6A15A31F">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1</w:t>
                  </w:r>
                </w:p>
              </w:tc>
              <w:tc>
                <w:tcPr>
                  <w:tcW w:w="2469" w:type="pct"/>
                  <w:tcBorders>
                    <w:tl2br w:val="nil"/>
                    <w:tr2bl w:val="nil"/>
                  </w:tcBorders>
                  <w:noWrap w:val="0"/>
                  <w:vAlign w:val="center"/>
                </w:tcPr>
                <w:p w14:paraId="6F4DD414">
                  <w:pPr>
                    <w:widowControl/>
                    <w:spacing w:line="240" w:lineRule="auto"/>
                    <w:ind w:firstLine="0" w:firstLineChars="0"/>
                    <w:jc w:val="left"/>
                    <w:rPr>
                      <w:rFonts w:hint="eastAsia"/>
                      <w:color w:val="auto"/>
                      <w:kern w:val="0"/>
                      <w:sz w:val="21"/>
                      <w:szCs w:val="21"/>
                      <w:highlight w:val="none"/>
                    </w:rPr>
                  </w:pPr>
                  <w:r>
                    <w:rPr>
                      <w:rFonts w:hint="eastAsia"/>
                      <w:color w:val="auto"/>
                      <w:kern w:val="0"/>
                      <w:sz w:val="21"/>
                      <w:szCs w:val="21"/>
                      <w:highlight w:val="none"/>
                    </w:rPr>
                    <w:t>渣料编织袋填筑(围堰利用开挖料)</w:t>
                  </w:r>
                </w:p>
              </w:tc>
              <w:tc>
                <w:tcPr>
                  <w:tcW w:w="844" w:type="pct"/>
                  <w:tcBorders>
                    <w:tl2br w:val="nil"/>
                    <w:tr2bl w:val="nil"/>
                  </w:tcBorders>
                  <w:noWrap w:val="0"/>
                  <w:vAlign w:val="center"/>
                </w:tcPr>
                <w:p w14:paraId="40C8E254">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m</w:t>
                  </w:r>
                  <w:r>
                    <w:rPr>
                      <w:rFonts w:hint="eastAsia"/>
                      <w:color w:val="auto"/>
                      <w:kern w:val="0"/>
                      <w:sz w:val="21"/>
                      <w:szCs w:val="21"/>
                      <w:highlight w:val="none"/>
                      <w:vertAlign w:val="superscript"/>
                    </w:rPr>
                    <w:t>3</w:t>
                  </w:r>
                </w:p>
              </w:tc>
              <w:tc>
                <w:tcPr>
                  <w:tcW w:w="843" w:type="pct"/>
                  <w:tcBorders>
                    <w:tl2br w:val="nil"/>
                    <w:tr2bl w:val="nil"/>
                  </w:tcBorders>
                  <w:noWrap/>
                  <w:vAlign w:val="center"/>
                </w:tcPr>
                <w:p w14:paraId="2A44E37D">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 xml:space="preserve">13.75 </w:t>
                  </w:r>
                </w:p>
              </w:tc>
            </w:tr>
            <w:tr w14:paraId="000DB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43" w:type="pct"/>
                  <w:tcBorders>
                    <w:tl2br w:val="nil"/>
                    <w:tr2bl w:val="nil"/>
                  </w:tcBorders>
                  <w:noWrap w:val="0"/>
                  <w:vAlign w:val="center"/>
                </w:tcPr>
                <w:p w14:paraId="714631F4">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2</w:t>
                  </w:r>
                </w:p>
              </w:tc>
              <w:tc>
                <w:tcPr>
                  <w:tcW w:w="2469" w:type="pct"/>
                  <w:tcBorders>
                    <w:tl2br w:val="nil"/>
                    <w:tr2bl w:val="nil"/>
                  </w:tcBorders>
                  <w:noWrap w:val="0"/>
                  <w:vAlign w:val="center"/>
                </w:tcPr>
                <w:p w14:paraId="37F53533">
                  <w:pPr>
                    <w:widowControl/>
                    <w:spacing w:line="240" w:lineRule="auto"/>
                    <w:ind w:firstLine="0" w:firstLineChars="0"/>
                    <w:jc w:val="left"/>
                    <w:rPr>
                      <w:rFonts w:hint="eastAsia"/>
                      <w:color w:val="auto"/>
                      <w:kern w:val="0"/>
                      <w:sz w:val="21"/>
                      <w:szCs w:val="21"/>
                      <w:highlight w:val="none"/>
                    </w:rPr>
                  </w:pPr>
                  <w:r>
                    <w:rPr>
                      <w:rFonts w:hint="eastAsia"/>
                      <w:color w:val="auto"/>
                      <w:kern w:val="0"/>
                      <w:sz w:val="21"/>
                      <w:szCs w:val="21"/>
                      <w:highlight w:val="none"/>
                    </w:rPr>
                    <w:t>围堰拆除</w:t>
                  </w:r>
                </w:p>
              </w:tc>
              <w:tc>
                <w:tcPr>
                  <w:tcW w:w="844" w:type="pct"/>
                  <w:tcBorders>
                    <w:tl2br w:val="nil"/>
                    <w:tr2bl w:val="nil"/>
                  </w:tcBorders>
                  <w:noWrap w:val="0"/>
                  <w:vAlign w:val="center"/>
                </w:tcPr>
                <w:p w14:paraId="57641166">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m</w:t>
                  </w:r>
                  <w:r>
                    <w:rPr>
                      <w:rFonts w:hint="eastAsia"/>
                      <w:color w:val="auto"/>
                      <w:kern w:val="0"/>
                      <w:sz w:val="21"/>
                      <w:szCs w:val="21"/>
                      <w:highlight w:val="none"/>
                      <w:vertAlign w:val="superscript"/>
                    </w:rPr>
                    <w:t>3</w:t>
                  </w:r>
                </w:p>
              </w:tc>
              <w:tc>
                <w:tcPr>
                  <w:tcW w:w="843" w:type="pct"/>
                  <w:tcBorders>
                    <w:tl2br w:val="nil"/>
                    <w:tr2bl w:val="nil"/>
                  </w:tcBorders>
                  <w:noWrap/>
                  <w:vAlign w:val="center"/>
                </w:tcPr>
                <w:p w14:paraId="557D093D">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 xml:space="preserve">13.75 </w:t>
                  </w:r>
                </w:p>
              </w:tc>
            </w:tr>
            <w:tr w14:paraId="16863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43" w:type="pct"/>
                  <w:tcBorders>
                    <w:tl2br w:val="nil"/>
                    <w:tr2bl w:val="nil"/>
                  </w:tcBorders>
                  <w:noWrap w:val="0"/>
                  <w:vAlign w:val="center"/>
                </w:tcPr>
                <w:p w14:paraId="7502D8ED">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3</w:t>
                  </w:r>
                </w:p>
              </w:tc>
              <w:tc>
                <w:tcPr>
                  <w:tcW w:w="2469" w:type="pct"/>
                  <w:tcBorders>
                    <w:tl2br w:val="nil"/>
                    <w:tr2bl w:val="nil"/>
                  </w:tcBorders>
                  <w:noWrap w:val="0"/>
                  <w:vAlign w:val="center"/>
                </w:tcPr>
                <w:p w14:paraId="6DCA82E4">
                  <w:pPr>
                    <w:widowControl/>
                    <w:spacing w:line="240" w:lineRule="auto"/>
                    <w:ind w:firstLine="0" w:firstLineChars="0"/>
                    <w:jc w:val="left"/>
                    <w:rPr>
                      <w:rFonts w:hint="eastAsia"/>
                      <w:color w:val="auto"/>
                      <w:kern w:val="0"/>
                      <w:sz w:val="21"/>
                      <w:szCs w:val="21"/>
                      <w:highlight w:val="none"/>
                    </w:rPr>
                  </w:pPr>
                  <w:r>
                    <w:rPr>
                      <w:rFonts w:hint="eastAsia"/>
                      <w:color w:val="auto"/>
                      <w:kern w:val="0"/>
                      <w:sz w:val="21"/>
                      <w:szCs w:val="21"/>
                      <w:highlight w:val="none"/>
                    </w:rPr>
                    <w:t>复合土工膜(围堰)</w:t>
                  </w:r>
                </w:p>
              </w:tc>
              <w:tc>
                <w:tcPr>
                  <w:tcW w:w="844" w:type="pct"/>
                  <w:tcBorders>
                    <w:tl2br w:val="nil"/>
                    <w:tr2bl w:val="nil"/>
                  </w:tcBorders>
                  <w:noWrap w:val="0"/>
                  <w:vAlign w:val="center"/>
                </w:tcPr>
                <w:p w14:paraId="65496D24">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m</w:t>
                  </w:r>
                  <w:r>
                    <w:rPr>
                      <w:rFonts w:hint="eastAsia"/>
                      <w:color w:val="auto"/>
                      <w:kern w:val="0"/>
                      <w:sz w:val="21"/>
                      <w:szCs w:val="21"/>
                      <w:highlight w:val="none"/>
                      <w:vertAlign w:val="superscript"/>
                    </w:rPr>
                    <w:t>2</w:t>
                  </w:r>
                </w:p>
              </w:tc>
              <w:tc>
                <w:tcPr>
                  <w:tcW w:w="843" w:type="pct"/>
                  <w:tcBorders>
                    <w:tl2br w:val="nil"/>
                    <w:tr2bl w:val="nil"/>
                  </w:tcBorders>
                  <w:noWrap/>
                  <w:vAlign w:val="center"/>
                </w:tcPr>
                <w:p w14:paraId="01563853">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 xml:space="preserve">9.00 </w:t>
                  </w:r>
                </w:p>
              </w:tc>
            </w:tr>
            <w:tr w14:paraId="17878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43" w:type="pct"/>
                  <w:tcBorders>
                    <w:tl2br w:val="nil"/>
                    <w:tr2bl w:val="nil"/>
                  </w:tcBorders>
                  <w:noWrap w:val="0"/>
                  <w:vAlign w:val="center"/>
                </w:tcPr>
                <w:p w14:paraId="651B4F7A">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4</w:t>
                  </w:r>
                </w:p>
              </w:tc>
              <w:tc>
                <w:tcPr>
                  <w:tcW w:w="2469" w:type="pct"/>
                  <w:tcBorders>
                    <w:tl2br w:val="nil"/>
                    <w:tr2bl w:val="nil"/>
                  </w:tcBorders>
                  <w:noWrap w:val="0"/>
                  <w:vAlign w:val="center"/>
                </w:tcPr>
                <w:p w14:paraId="6B86C3B9">
                  <w:pPr>
                    <w:widowControl/>
                    <w:spacing w:line="240" w:lineRule="auto"/>
                    <w:ind w:firstLine="0" w:firstLineChars="0"/>
                    <w:jc w:val="left"/>
                    <w:rPr>
                      <w:rFonts w:hint="eastAsia"/>
                      <w:color w:val="auto"/>
                      <w:kern w:val="0"/>
                      <w:sz w:val="21"/>
                      <w:szCs w:val="21"/>
                      <w:highlight w:val="none"/>
                    </w:rPr>
                  </w:pPr>
                  <w:r>
                    <w:rPr>
                      <w:rFonts w:hint="eastAsia"/>
                      <w:color w:val="auto"/>
                      <w:kern w:val="0"/>
                      <w:sz w:val="21"/>
                      <w:szCs w:val="21"/>
                      <w:highlight w:val="none"/>
                    </w:rPr>
                    <w:t>φ500波纹管</w:t>
                  </w:r>
                </w:p>
              </w:tc>
              <w:tc>
                <w:tcPr>
                  <w:tcW w:w="844" w:type="pct"/>
                  <w:tcBorders>
                    <w:tl2br w:val="nil"/>
                    <w:tr2bl w:val="nil"/>
                  </w:tcBorders>
                  <w:noWrap w:val="0"/>
                  <w:vAlign w:val="center"/>
                </w:tcPr>
                <w:p w14:paraId="7AE174E4">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m</w:t>
                  </w:r>
                </w:p>
              </w:tc>
              <w:tc>
                <w:tcPr>
                  <w:tcW w:w="843" w:type="pct"/>
                  <w:tcBorders>
                    <w:tl2br w:val="nil"/>
                    <w:tr2bl w:val="nil"/>
                  </w:tcBorders>
                  <w:noWrap/>
                  <w:vAlign w:val="center"/>
                </w:tcPr>
                <w:p w14:paraId="4913610E">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360</w:t>
                  </w:r>
                </w:p>
              </w:tc>
            </w:tr>
            <w:tr w14:paraId="55131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43" w:type="pct"/>
                  <w:tcBorders>
                    <w:tl2br w:val="nil"/>
                    <w:tr2bl w:val="nil"/>
                  </w:tcBorders>
                  <w:noWrap w:val="0"/>
                  <w:vAlign w:val="center"/>
                </w:tcPr>
                <w:p w14:paraId="36114DD2">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5</w:t>
                  </w:r>
                </w:p>
              </w:tc>
              <w:tc>
                <w:tcPr>
                  <w:tcW w:w="2469" w:type="pct"/>
                  <w:tcBorders>
                    <w:tl2br w:val="nil"/>
                    <w:tr2bl w:val="nil"/>
                  </w:tcBorders>
                  <w:noWrap w:val="0"/>
                  <w:vAlign w:val="center"/>
                </w:tcPr>
                <w:p w14:paraId="3DD0234D">
                  <w:pPr>
                    <w:widowControl/>
                    <w:spacing w:line="240" w:lineRule="auto"/>
                    <w:ind w:firstLine="0" w:firstLineChars="0"/>
                    <w:jc w:val="left"/>
                    <w:rPr>
                      <w:rFonts w:hint="eastAsia"/>
                      <w:color w:val="auto"/>
                      <w:kern w:val="0"/>
                      <w:sz w:val="21"/>
                      <w:szCs w:val="21"/>
                      <w:highlight w:val="none"/>
                    </w:rPr>
                  </w:pPr>
                  <w:r>
                    <w:rPr>
                      <w:rFonts w:hint="eastAsia"/>
                      <w:color w:val="auto"/>
                      <w:kern w:val="0"/>
                      <w:sz w:val="21"/>
                      <w:szCs w:val="21"/>
                      <w:highlight w:val="none"/>
                    </w:rPr>
                    <w:t>基坑排水</w:t>
                  </w:r>
                </w:p>
              </w:tc>
              <w:tc>
                <w:tcPr>
                  <w:tcW w:w="844" w:type="pct"/>
                  <w:tcBorders>
                    <w:tl2br w:val="nil"/>
                    <w:tr2bl w:val="nil"/>
                  </w:tcBorders>
                  <w:noWrap w:val="0"/>
                  <w:vAlign w:val="center"/>
                </w:tcPr>
                <w:p w14:paraId="68986C40">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台时</w:t>
                  </w:r>
                </w:p>
              </w:tc>
              <w:tc>
                <w:tcPr>
                  <w:tcW w:w="843" w:type="pct"/>
                  <w:tcBorders>
                    <w:tl2br w:val="nil"/>
                    <w:tr2bl w:val="nil"/>
                  </w:tcBorders>
                  <w:noWrap/>
                  <w:vAlign w:val="center"/>
                </w:tcPr>
                <w:p w14:paraId="5CE74FEC">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600</w:t>
                  </w:r>
                </w:p>
              </w:tc>
            </w:tr>
            <w:tr w14:paraId="28933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43" w:type="pct"/>
                  <w:tcBorders>
                    <w:tl2br w:val="nil"/>
                    <w:tr2bl w:val="nil"/>
                  </w:tcBorders>
                  <w:noWrap w:val="0"/>
                  <w:vAlign w:val="center"/>
                </w:tcPr>
                <w:p w14:paraId="391938AB">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6</w:t>
                  </w:r>
                </w:p>
              </w:tc>
              <w:tc>
                <w:tcPr>
                  <w:tcW w:w="2469" w:type="pct"/>
                  <w:tcBorders>
                    <w:tl2br w:val="nil"/>
                    <w:tr2bl w:val="nil"/>
                  </w:tcBorders>
                  <w:noWrap w:val="0"/>
                  <w:vAlign w:val="center"/>
                </w:tcPr>
                <w:p w14:paraId="78DCB01A">
                  <w:pPr>
                    <w:widowControl/>
                    <w:spacing w:line="240" w:lineRule="auto"/>
                    <w:ind w:firstLine="0" w:firstLineChars="0"/>
                    <w:jc w:val="left"/>
                    <w:rPr>
                      <w:rFonts w:hint="eastAsia"/>
                      <w:color w:val="auto"/>
                      <w:kern w:val="0"/>
                      <w:sz w:val="21"/>
                      <w:szCs w:val="21"/>
                      <w:highlight w:val="none"/>
                    </w:rPr>
                  </w:pPr>
                  <w:r>
                    <w:rPr>
                      <w:rFonts w:hint="eastAsia"/>
                      <w:color w:val="auto"/>
                      <w:kern w:val="0"/>
                      <w:sz w:val="21"/>
                      <w:szCs w:val="21"/>
                      <w:highlight w:val="none"/>
                    </w:rPr>
                    <w:t>石方开挖（QH3+366石滩）</w:t>
                  </w:r>
                </w:p>
              </w:tc>
              <w:tc>
                <w:tcPr>
                  <w:tcW w:w="844" w:type="pct"/>
                  <w:tcBorders>
                    <w:tl2br w:val="nil"/>
                    <w:tr2bl w:val="nil"/>
                  </w:tcBorders>
                  <w:noWrap w:val="0"/>
                  <w:vAlign w:val="center"/>
                </w:tcPr>
                <w:p w14:paraId="5CED481D">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m</w:t>
                  </w:r>
                  <w:r>
                    <w:rPr>
                      <w:rFonts w:hint="eastAsia"/>
                      <w:color w:val="auto"/>
                      <w:kern w:val="0"/>
                      <w:sz w:val="21"/>
                      <w:szCs w:val="21"/>
                      <w:highlight w:val="none"/>
                      <w:vertAlign w:val="superscript"/>
                    </w:rPr>
                    <w:t>3</w:t>
                  </w:r>
                </w:p>
              </w:tc>
              <w:tc>
                <w:tcPr>
                  <w:tcW w:w="843" w:type="pct"/>
                  <w:tcBorders>
                    <w:tl2br w:val="nil"/>
                    <w:tr2bl w:val="nil"/>
                  </w:tcBorders>
                  <w:noWrap/>
                  <w:vAlign w:val="center"/>
                </w:tcPr>
                <w:p w14:paraId="5AE99F54">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79.44</w:t>
                  </w:r>
                </w:p>
              </w:tc>
            </w:tr>
            <w:tr w14:paraId="444E1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43" w:type="pct"/>
                  <w:tcBorders>
                    <w:tl2br w:val="nil"/>
                    <w:tr2bl w:val="nil"/>
                  </w:tcBorders>
                  <w:noWrap w:val="0"/>
                  <w:vAlign w:val="center"/>
                </w:tcPr>
                <w:p w14:paraId="7CD4442E">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7</w:t>
                  </w:r>
                </w:p>
              </w:tc>
              <w:tc>
                <w:tcPr>
                  <w:tcW w:w="2469" w:type="pct"/>
                  <w:tcBorders>
                    <w:tl2br w:val="nil"/>
                    <w:tr2bl w:val="nil"/>
                  </w:tcBorders>
                  <w:noWrap w:val="0"/>
                  <w:vAlign w:val="center"/>
                </w:tcPr>
                <w:p w14:paraId="44702577">
                  <w:pPr>
                    <w:widowControl/>
                    <w:spacing w:line="240" w:lineRule="auto"/>
                    <w:ind w:firstLine="0" w:firstLineChars="0"/>
                    <w:jc w:val="left"/>
                    <w:rPr>
                      <w:rFonts w:hint="eastAsia"/>
                      <w:color w:val="auto"/>
                      <w:kern w:val="0"/>
                      <w:sz w:val="21"/>
                      <w:szCs w:val="21"/>
                      <w:highlight w:val="none"/>
                    </w:rPr>
                  </w:pPr>
                  <w:r>
                    <w:rPr>
                      <w:rFonts w:hint="eastAsia"/>
                      <w:color w:val="auto"/>
                      <w:kern w:val="0"/>
                      <w:sz w:val="21"/>
                      <w:szCs w:val="21"/>
                      <w:highlight w:val="none"/>
                    </w:rPr>
                    <w:t>C20砼恢复（速凝剂及水下砼添加剂）</w:t>
                  </w:r>
                </w:p>
              </w:tc>
              <w:tc>
                <w:tcPr>
                  <w:tcW w:w="844" w:type="pct"/>
                  <w:tcBorders>
                    <w:tl2br w:val="nil"/>
                    <w:tr2bl w:val="nil"/>
                  </w:tcBorders>
                  <w:noWrap w:val="0"/>
                  <w:vAlign w:val="center"/>
                </w:tcPr>
                <w:p w14:paraId="18D8ACD7">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m</w:t>
                  </w:r>
                  <w:r>
                    <w:rPr>
                      <w:rFonts w:hint="eastAsia"/>
                      <w:color w:val="auto"/>
                      <w:kern w:val="0"/>
                      <w:sz w:val="21"/>
                      <w:szCs w:val="21"/>
                      <w:highlight w:val="none"/>
                      <w:vertAlign w:val="superscript"/>
                    </w:rPr>
                    <w:t>3</w:t>
                  </w:r>
                </w:p>
              </w:tc>
              <w:tc>
                <w:tcPr>
                  <w:tcW w:w="843" w:type="pct"/>
                  <w:tcBorders>
                    <w:tl2br w:val="nil"/>
                    <w:tr2bl w:val="nil"/>
                  </w:tcBorders>
                  <w:noWrap/>
                  <w:vAlign w:val="center"/>
                </w:tcPr>
                <w:p w14:paraId="2889C3C1">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79.44</w:t>
                  </w:r>
                </w:p>
              </w:tc>
            </w:tr>
            <w:tr w14:paraId="0100B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43" w:type="pct"/>
                  <w:tcBorders>
                    <w:tl2br w:val="nil"/>
                    <w:tr2bl w:val="nil"/>
                  </w:tcBorders>
                  <w:noWrap w:val="0"/>
                  <w:vAlign w:val="center"/>
                </w:tcPr>
                <w:p w14:paraId="16BFB7F7">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(二)</w:t>
                  </w:r>
                </w:p>
              </w:tc>
              <w:tc>
                <w:tcPr>
                  <w:tcW w:w="2469" w:type="pct"/>
                  <w:tcBorders>
                    <w:tl2br w:val="nil"/>
                    <w:tr2bl w:val="nil"/>
                  </w:tcBorders>
                  <w:noWrap w:val="0"/>
                  <w:vAlign w:val="center"/>
                </w:tcPr>
                <w:p w14:paraId="583F27D0">
                  <w:pPr>
                    <w:widowControl/>
                    <w:spacing w:line="240" w:lineRule="auto"/>
                    <w:ind w:firstLine="0" w:firstLineChars="0"/>
                    <w:jc w:val="left"/>
                    <w:rPr>
                      <w:rFonts w:hint="eastAsia"/>
                      <w:color w:val="auto"/>
                      <w:kern w:val="0"/>
                      <w:sz w:val="21"/>
                      <w:szCs w:val="21"/>
                      <w:highlight w:val="none"/>
                    </w:rPr>
                  </w:pPr>
                  <w:r>
                    <w:rPr>
                      <w:rFonts w:hint="eastAsia"/>
                      <w:color w:val="auto"/>
                      <w:kern w:val="0"/>
                      <w:sz w:val="21"/>
                      <w:szCs w:val="21"/>
                      <w:highlight w:val="none"/>
                    </w:rPr>
                    <w:t>施工交通工程</w:t>
                  </w:r>
                </w:p>
              </w:tc>
              <w:tc>
                <w:tcPr>
                  <w:tcW w:w="844" w:type="pct"/>
                  <w:tcBorders>
                    <w:tl2br w:val="nil"/>
                    <w:tr2bl w:val="nil"/>
                  </w:tcBorders>
                  <w:noWrap/>
                  <w:vAlign w:val="center"/>
                </w:tcPr>
                <w:p w14:paraId="1FC7F921">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 xml:space="preserve"> </w:t>
                  </w:r>
                </w:p>
              </w:tc>
              <w:tc>
                <w:tcPr>
                  <w:tcW w:w="843" w:type="pct"/>
                  <w:tcBorders>
                    <w:tl2br w:val="nil"/>
                    <w:tr2bl w:val="nil"/>
                  </w:tcBorders>
                  <w:noWrap/>
                  <w:vAlign w:val="center"/>
                </w:tcPr>
                <w:p w14:paraId="6232C2BC">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 xml:space="preserve"> </w:t>
                  </w:r>
                </w:p>
              </w:tc>
            </w:tr>
            <w:tr w14:paraId="265C6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43" w:type="pct"/>
                  <w:tcBorders>
                    <w:tl2br w:val="nil"/>
                    <w:tr2bl w:val="nil"/>
                  </w:tcBorders>
                  <w:noWrap w:val="0"/>
                  <w:vAlign w:val="center"/>
                </w:tcPr>
                <w:p w14:paraId="13975BAD">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1</w:t>
                  </w:r>
                </w:p>
              </w:tc>
              <w:tc>
                <w:tcPr>
                  <w:tcW w:w="2469" w:type="pct"/>
                  <w:tcBorders>
                    <w:tl2br w:val="nil"/>
                    <w:tr2bl w:val="nil"/>
                  </w:tcBorders>
                  <w:noWrap w:val="0"/>
                  <w:vAlign w:val="center"/>
                </w:tcPr>
                <w:p w14:paraId="1BBA4D65">
                  <w:pPr>
                    <w:widowControl/>
                    <w:spacing w:line="240" w:lineRule="auto"/>
                    <w:ind w:firstLine="0" w:firstLineChars="0"/>
                    <w:jc w:val="left"/>
                    <w:rPr>
                      <w:rFonts w:hint="eastAsia"/>
                      <w:color w:val="auto"/>
                      <w:kern w:val="0"/>
                      <w:sz w:val="21"/>
                      <w:szCs w:val="21"/>
                      <w:highlight w:val="none"/>
                    </w:rPr>
                  </w:pPr>
                  <w:r>
                    <w:rPr>
                      <w:rFonts w:hint="eastAsia"/>
                      <w:color w:val="auto"/>
                      <w:kern w:val="0"/>
                      <w:sz w:val="21"/>
                      <w:szCs w:val="21"/>
                      <w:highlight w:val="none"/>
                    </w:rPr>
                    <w:t>临时施工道路（宽4.6m）</w:t>
                  </w:r>
                </w:p>
              </w:tc>
              <w:tc>
                <w:tcPr>
                  <w:tcW w:w="844" w:type="pct"/>
                  <w:tcBorders>
                    <w:tl2br w:val="nil"/>
                    <w:tr2bl w:val="nil"/>
                  </w:tcBorders>
                  <w:noWrap/>
                  <w:vAlign w:val="center"/>
                </w:tcPr>
                <w:p w14:paraId="7A7FD6D6">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km</w:t>
                  </w:r>
                </w:p>
              </w:tc>
              <w:tc>
                <w:tcPr>
                  <w:tcW w:w="843" w:type="pct"/>
                  <w:tcBorders>
                    <w:tl2br w:val="nil"/>
                    <w:tr2bl w:val="nil"/>
                  </w:tcBorders>
                  <w:noWrap/>
                  <w:vAlign w:val="center"/>
                </w:tcPr>
                <w:p w14:paraId="5FA6E283">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1</w:t>
                  </w:r>
                </w:p>
              </w:tc>
            </w:tr>
            <w:tr w14:paraId="7B92B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43" w:type="pct"/>
                  <w:tcBorders>
                    <w:tl2br w:val="nil"/>
                    <w:tr2bl w:val="nil"/>
                  </w:tcBorders>
                  <w:noWrap w:val="0"/>
                  <w:vAlign w:val="center"/>
                </w:tcPr>
                <w:p w14:paraId="5229F74D">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(三)</w:t>
                  </w:r>
                </w:p>
              </w:tc>
              <w:tc>
                <w:tcPr>
                  <w:tcW w:w="2469" w:type="pct"/>
                  <w:tcBorders>
                    <w:tl2br w:val="nil"/>
                    <w:tr2bl w:val="nil"/>
                  </w:tcBorders>
                  <w:noWrap w:val="0"/>
                  <w:vAlign w:val="center"/>
                </w:tcPr>
                <w:p w14:paraId="1DC715CA">
                  <w:pPr>
                    <w:widowControl/>
                    <w:spacing w:line="240" w:lineRule="auto"/>
                    <w:ind w:firstLine="0" w:firstLineChars="0"/>
                    <w:jc w:val="left"/>
                    <w:rPr>
                      <w:rFonts w:hint="eastAsia"/>
                      <w:color w:val="auto"/>
                      <w:kern w:val="0"/>
                      <w:sz w:val="21"/>
                      <w:szCs w:val="21"/>
                      <w:highlight w:val="none"/>
                    </w:rPr>
                  </w:pPr>
                  <w:r>
                    <w:rPr>
                      <w:rFonts w:hint="eastAsia"/>
                      <w:color w:val="auto"/>
                      <w:kern w:val="0"/>
                      <w:sz w:val="21"/>
                      <w:szCs w:val="21"/>
                      <w:highlight w:val="none"/>
                    </w:rPr>
                    <w:t>施工场外供电工程</w:t>
                  </w:r>
                </w:p>
              </w:tc>
              <w:tc>
                <w:tcPr>
                  <w:tcW w:w="844" w:type="pct"/>
                  <w:tcBorders>
                    <w:tl2br w:val="nil"/>
                    <w:tr2bl w:val="nil"/>
                  </w:tcBorders>
                  <w:noWrap/>
                  <w:vAlign w:val="center"/>
                </w:tcPr>
                <w:p w14:paraId="120988EE">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 xml:space="preserve"> </w:t>
                  </w:r>
                </w:p>
              </w:tc>
              <w:tc>
                <w:tcPr>
                  <w:tcW w:w="843" w:type="pct"/>
                  <w:tcBorders>
                    <w:tl2br w:val="nil"/>
                    <w:tr2bl w:val="nil"/>
                  </w:tcBorders>
                  <w:noWrap/>
                  <w:vAlign w:val="center"/>
                </w:tcPr>
                <w:p w14:paraId="641610D4">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 xml:space="preserve"> </w:t>
                  </w:r>
                </w:p>
              </w:tc>
            </w:tr>
            <w:tr w14:paraId="12B04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43" w:type="pct"/>
                  <w:tcBorders>
                    <w:tl2br w:val="nil"/>
                    <w:tr2bl w:val="nil"/>
                  </w:tcBorders>
                  <w:noWrap w:val="0"/>
                  <w:vAlign w:val="center"/>
                </w:tcPr>
                <w:p w14:paraId="1C50383D">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1</w:t>
                  </w:r>
                </w:p>
              </w:tc>
              <w:tc>
                <w:tcPr>
                  <w:tcW w:w="2469" w:type="pct"/>
                  <w:tcBorders>
                    <w:tl2br w:val="nil"/>
                    <w:tr2bl w:val="nil"/>
                  </w:tcBorders>
                  <w:noWrap w:val="0"/>
                  <w:vAlign w:val="center"/>
                </w:tcPr>
                <w:p w14:paraId="5B13051B">
                  <w:pPr>
                    <w:widowControl/>
                    <w:spacing w:line="240" w:lineRule="auto"/>
                    <w:ind w:firstLine="0" w:firstLineChars="0"/>
                    <w:jc w:val="left"/>
                    <w:rPr>
                      <w:rFonts w:hint="eastAsia"/>
                      <w:color w:val="auto"/>
                      <w:kern w:val="0"/>
                      <w:sz w:val="21"/>
                      <w:szCs w:val="21"/>
                      <w:highlight w:val="none"/>
                    </w:rPr>
                  </w:pPr>
                  <w:r>
                    <w:rPr>
                      <w:rFonts w:hint="eastAsia"/>
                      <w:color w:val="auto"/>
                      <w:kern w:val="0"/>
                      <w:sz w:val="21"/>
                      <w:szCs w:val="21"/>
                      <w:highlight w:val="none"/>
                    </w:rPr>
                    <w:t>10KV及以下施工用电线路工程</w:t>
                  </w:r>
                </w:p>
              </w:tc>
              <w:tc>
                <w:tcPr>
                  <w:tcW w:w="844" w:type="pct"/>
                  <w:tcBorders>
                    <w:tl2br w:val="nil"/>
                    <w:tr2bl w:val="nil"/>
                  </w:tcBorders>
                  <w:noWrap w:val="0"/>
                  <w:vAlign w:val="center"/>
                </w:tcPr>
                <w:p w14:paraId="2DBD90C8">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km</w:t>
                  </w:r>
                </w:p>
              </w:tc>
              <w:tc>
                <w:tcPr>
                  <w:tcW w:w="843" w:type="pct"/>
                  <w:tcBorders>
                    <w:tl2br w:val="nil"/>
                    <w:tr2bl w:val="nil"/>
                  </w:tcBorders>
                  <w:noWrap/>
                  <w:vAlign w:val="center"/>
                </w:tcPr>
                <w:p w14:paraId="5DBF841C">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0.5</w:t>
                  </w:r>
                </w:p>
              </w:tc>
            </w:tr>
            <w:tr w14:paraId="17AEF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43" w:type="pct"/>
                  <w:tcBorders>
                    <w:tl2br w:val="nil"/>
                    <w:tr2bl w:val="nil"/>
                  </w:tcBorders>
                  <w:noWrap w:val="0"/>
                  <w:vAlign w:val="center"/>
                </w:tcPr>
                <w:p w14:paraId="42A03087">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(四)</w:t>
                  </w:r>
                </w:p>
              </w:tc>
              <w:tc>
                <w:tcPr>
                  <w:tcW w:w="2469" w:type="pct"/>
                  <w:tcBorders>
                    <w:tl2br w:val="nil"/>
                    <w:tr2bl w:val="nil"/>
                  </w:tcBorders>
                  <w:noWrap w:val="0"/>
                  <w:vAlign w:val="center"/>
                </w:tcPr>
                <w:p w14:paraId="2551F86E">
                  <w:pPr>
                    <w:widowControl/>
                    <w:spacing w:line="240" w:lineRule="auto"/>
                    <w:ind w:firstLine="0" w:firstLineChars="0"/>
                    <w:jc w:val="left"/>
                    <w:rPr>
                      <w:rFonts w:hint="eastAsia"/>
                      <w:color w:val="auto"/>
                      <w:kern w:val="0"/>
                      <w:sz w:val="21"/>
                      <w:szCs w:val="21"/>
                      <w:highlight w:val="none"/>
                    </w:rPr>
                  </w:pPr>
                  <w:r>
                    <w:rPr>
                      <w:rFonts w:hint="eastAsia"/>
                      <w:color w:val="auto"/>
                      <w:kern w:val="0"/>
                      <w:sz w:val="21"/>
                      <w:szCs w:val="21"/>
                      <w:highlight w:val="none"/>
                    </w:rPr>
                    <w:t>施工房屋建筑工程</w:t>
                  </w:r>
                </w:p>
              </w:tc>
              <w:tc>
                <w:tcPr>
                  <w:tcW w:w="844" w:type="pct"/>
                  <w:tcBorders>
                    <w:tl2br w:val="nil"/>
                    <w:tr2bl w:val="nil"/>
                  </w:tcBorders>
                  <w:noWrap/>
                  <w:vAlign w:val="center"/>
                </w:tcPr>
                <w:p w14:paraId="3148DCD2">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 xml:space="preserve"> </w:t>
                  </w:r>
                </w:p>
              </w:tc>
              <w:tc>
                <w:tcPr>
                  <w:tcW w:w="843" w:type="pct"/>
                  <w:tcBorders>
                    <w:tl2br w:val="nil"/>
                    <w:tr2bl w:val="nil"/>
                  </w:tcBorders>
                  <w:noWrap/>
                  <w:vAlign w:val="center"/>
                </w:tcPr>
                <w:p w14:paraId="0AC00BC3">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 xml:space="preserve"> </w:t>
                  </w:r>
                </w:p>
              </w:tc>
            </w:tr>
            <w:tr w14:paraId="6AD9A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43" w:type="pct"/>
                  <w:tcBorders>
                    <w:tl2br w:val="nil"/>
                    <w:tr2bl w:val="nil"/>
                  </w:tcBorders>
                  <w:noWrap w:val="0"/>
                  <w:vAlign w:val="center"/>
                </w:tcPr>
                <w:p w14:paraId="39C6806C">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1</w:t>
                  </w:r>
                </w:p>
              </w:tc>
              <w:tc>
                <w:tcPr>
                  <w:tcW w:w="2469" w:type="pct"/>
                  <w:tcBorders>
                    <w:tl2br w:val="nil"/>
                    <w:tr2bl w:val="nil"/>
                  </w:tcBorders>
                  <w:noWrap w:val="0"/>
                  <w:vAlign w:val="center"/>
                </w:tcPr>
                <w:p w14:paraId="27CE35DF">
                  <w:pPr>
                    <w:widowControl/>
                    <w:spacing w:line="240" w:lineRule="auto"/>
                    <w:ind w:firstLine="0" w:firstLineChars="0"/>
                    <w:jc w:val="left"/>
                    <w:rPr>
                      <w:rFonts w:hint="eastAsia"/>
                      <w:color w:val="auto"/>
                      <w:kern w:val="0"/>
                      <w:sz w:val="21"/>
                      <w:szCs w:val="21"/>
                      <w:highlight w:val="none"/>
                    </w:rPr>
                  </w:pPr>
                  <w:r>
                    <w:rPr>
                      <w:rFonts w:hint="eastAsia"/>
                      <w:color w:val="auto"/>
                      <w:kern w:val="0"/>
                      <w:sz w:val="21"/>
                      <w:szCs w:val="21"/>
                      <w:highlight w:val="none"/>
                    </w:rPr>
                    <w:t>施工仓库</w:t>
                  </w:r>
                </w:p>
              </w:tc>
              <w:tc>
                <w:tcPr>
                  <w:tcW w:w="844" w:type="pct"/>
                  <w:tcBorders>
                    <w:tl2br w:val="nil"/>
                    <w:tr2bl w:val="nil"/>
                  </w:tcBorders>
                  <w:noWrap w:val="0"/>
                  <w:vAlign w:val="center"/>
                </w:tcPr>
                <w:p w14:paraId="6FECB5E6">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m</w:t>
                  </w:r>
                  <w:r>
                    <w:rPr>
                      <w:rFonts w:hint="eastAsia"/>
                      <w:color w:val="auto"/>
                      <w:kern w:val="0"/>
                      <w:sz w:val="21"/>
                      <w:szCs w:val="21"/>
                      <w:highlight w:val="none"/>
                      <w:vertAlign w:val="superscript"/>
                    </w:rPr>
                    <w:t>2</w:t>
                  </w:r>
                </w:p>
              </w:tc>
              <w:tc>
                <w:tcPr>
                  <w:tcW w:w="843" w:type="pct"/>
                  <w:tcBorders>
                    <w:tl2br w:val="nil"/>
                    <w:tr2bl w:val="nil"/>
                  </w:tcBorders>
                  <w:noWrap/>
                  <w:vAlign w:val="center"/>
                </w:tcPr>
                <w:p w14:paraId="5D79F956">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150</w:t>
                  </w:r>
                </w:p>
              </w:tc>
            </w:tr>
            <w:tr w14:paraId="6AA42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43" w:type="pct"/>
                  <w:tcBorders>
                    <w:tl2br w:val="nil"/>
                    <w:tr2bl w:val="nil"/>
                  </w:tcBorders>
                  <w:noWrap w:val="0"/>
                  <w:vAlign w:val="center"/>
                </w:tcPr>
                <w:p w14:paraId="601B8CE7">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2</w:t>
                  </w:r>
                </w:p>
              </w:tc>
              <w:tc>
                <w:tcPr>
                  <w:tcW w:w="2469" w:type="pct"/>
                  <w:tcBorders>
                    <w:tl2br w:val="nil"/>
                    <w:tr2bl w:val="nil"/>
                  </w:tcBorders>
                  <w:noWrap w:val="0"/>
                  <w:vAlign w:val="center"/>
                </w:tcPr>
                <w:p w14:paraId="2FC649BE">
                  <w:pPr>
                    <w:widowControl/>
                    <w:spacing w:line="240" w:lineRule="auto"/>
                    <w:ind w:firstLine="0" w:firstLineChars="0"/>
                    <w:jc w:val="left"/>
                    <w:rPr>
                      <w:rFonts w:hint="eastAsia"/>
                      <w:color w:val="auto"/>
                      <w:kern w:val="0"/>
                      <w:sz w:val="21"/>
                      <w:szCs w:val="21"/>
                      <w:highlight w:val="none"/>
                    </w:rPr>
                  </w:pPr>
                  <w:r>
                    <w:rPr>
                      <w:rFonts w:hint="eastAsia"/>
                      <w:color w:val="auto"/>
                      <w:kern w:val="0"/>
                      <w:sz w:val="21"/>
                      <w:szCs w:val="21"/>
                      <w:highlight w:val="none"/>
                    </w:rPr>
                    <w:t>办公、生活及文化福利建筑</w:t>
                  </w:r>
                </w:p>
              </w:tc>
              <w:tc>
                <w:tcPr>
                  <w:tcW w:w="844" w:type="pct"/>
                  <w:tcBorders>
                    <w:tl2br w:val="nil"/>
                    <w:tr2bl w:val="nil"/>
                  </w:tcBorders>
                  <w:noWrap w:val="0"/>
                  <w:vAlign w:val="center"/>
                </w:tcPr>
                <w:p w14:paraId="1BF384E8">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m</w:t>
                  </w:r>
                  <w:r>
                    <w:rPr>
                      <w:rFonts w:hint="eastAsia"/>
                      <w:color w:val="auto"/>
                      <w:kern w:val="0"/>
                      <w:sz w:val="21"/>
                      <w:szCs w:val="21"/>
                      <w:highlight w:val="none"/>
                      <w:vertAlign w:val="superscript"/>
                    </w:rPr>
                    <w:t>2</w:t>
                  </w:r>
                </w:p>
              </w:tc>
              <w:tc>
                <w:tcPr>
                  <w:tcW w:w="843" w:type="pct"/>
                  <w:tcBorders>
                    <w:tl2br w:val="nil"/>
                    <w:tr2bl w:val="nil"/>
                  </w:tcBorders>
                  <w:noWrap/>
                  <w:vAlign w:val="center"/>
                </w:tcPr>
                <w:p w14:paraId="791288C5">
                  <w:pPr>
                    <w:widowControl/>
                    <w:spacing w:line="240" w:lineRule="auto"/>
                    <w:ind w:firstLine="0" w:firstLineChars="0"/>
                    <w:jc w:val="center"/>
                    <w:rPr>
                      <w:rFonts w:hint="eastAsia"/>
                      <w:color w:val="auto"/>
                      <w:kern w:val="0"/>
                      <w:sz w:val="21"/>
                      <w:szCs w:val="21"/>
                      <w:highlight w:val="none"/>
                    </w:rPr>
                  </w:pPr>
                  <w:r>
                    <w:rPr>
                      <w:rFonts w:hint="eastAsia"/>
                      <w:color w:val="auto"/>
                      <w:kern w:val="0"/>
                      <w:sz w:val="21"/>
                      <w:szCs w:val="21"/>
                      <w:highlight w:val="none"/>
                    </w:rPr>
                    <w:t>1000</w:t>
                  </w:r>
                </w:p>
              </w:tc>
            </w:tr>
          </w:tbl>
          <w:p w14:paraId="652A62BA">
            <w:pPr>
              <w:keepNext w:val="0"/>
              <w:keepLines w:val="0"/>
              <w:pageBreakBefore w:val="0"/>
              <w:widowControl w:val="0"/>
              <w:kinsoku/>
              <w:wordWrap/>
              <w:overflowPunct/>
              <w:topLinePunct w:val="0"/>
              <w:autoSpaceDE/>
              <w:autoSpaceDN/>
              <w:bidi w:val="0"/>
              <w:adjustRightInd w:val="0"/>
              <w:snapToGrid w:val="0"/>
              <w:spacing w:before="169" w:beforeLines="50" w:line="240" w:lineRule="exact"/>
              <w:jc w:val="center"/>
              <w:textAlignment w:val="auto"/>
              <w:rPr>
                <w:rFonts w:hint="eastAsia" w:ascii="Times New Roman" w:hAnsi="Times New Roman" w:eastAsia="宋体"/>
                <w:b/>
                <w:color w:val="auto"/>
                <w:sz w:val="24"/>
                <w:highlight w:val="none"/>
              </w:rPr>
            </w:pPr>
            <w:r>
              <w:rPr>
                <w:rFonts w:hint="eastAsia" w:ascii="Times New Roman" w:hAnsi="Times New Roman" w:eastAsia="宋体"/>
                <w:b/>
                <w:color w:val="auto"/>
                <w:sz w:val="24"/>
                <w:highlight w:val="none"/>
              </w:rPr>
              <w:t>表2</w:t>
            </w:r>
            <w:r>
              <w:rPr>
                <w:rFonts w:ascii="Times New Roman" w:hAnsi="Times New Roman" w:eastAsia="宋体"/>
                <w:b/>
                <w:color w:val="auto"/>
                <w:sz w:val="24"/>
                <w:highlight w:val="none"/>
              </w:rPr>
              <w:t>.3-</w:t>
            </w:r>
            <w:r>
              <w:rPr>
                <w:rFonts w:hint="eastAsia"/>
                <w:b/>
                <w:color w:val="auto"/>
                <w:sz w:val="24"/>
                <w:highlight w:val="none"/>
                <w:lang w:val="en-US" w:eastAsia="zh-CN"/>
              </w:rPr>
              <w:t>15</w:t>
            </w:r>
            <w:r>
              <w:rPr>
                <w:rFonts w:ascii="Times New Roman" w:hAnsi="Times New Roman" w:eastAsia="宋体"/>
                <w:b/>
                <w:color w:val="auto"/>
                <w:sz w:val="24"/>
                <w:highlight w:val="none"/>
              </w:rPr>
              <w:t xml:space="preserve">  </w:t>
            </w:r>
            <w:r>
              <w:rPr>
                <w:rFonts w:hint="eastAsia" w:ascii="Times New Roman" w:hAnsi="Times New Roman" w:eastAsia="宋体"/>
                <w:b/>
                <w:color w:val="auto"/>
                <w:sz w:val="24"/>
                <w:highlight w:val="none"/>
                <w:lang w:val="en-US" w:eastAsia="zh-CN"/>
              </w:rPr>
              <w:t>本项目杨家镇</w:t>
            </w:r>
            <w:r>
              <w:rPr>
                <w:rFonts w:hint="eastAsia"/>
                <w:b/>
                <w:color w:val="auto"/>
                <w:sz w:val="24"/>
                <w:highlight w:val="none"/>
                <w:lang w:val="en-US" w:eastAsia="zh-CN"/>
              </w:rPr>
              <w:t>段</w:t>
            </w:r>
            <w:r>
              <w:rPr>
                <w:rFonts w:hint="eastAsia" w:ascii="Times New Roman" w:hAnsi="Times New Roman" w:eastAsia="宋体"/>
                <w:b/>
                <w:color w:val="auto"/>
                <w:sz w:val="24"/>
                <w:highlight w:val="none"/>
              </w:rPr>
              <w:t>工程量一览表</w:t>
            </w:r>
          </w:p>
          <w:tbl>
            <w:tblPr>
              <w:tblStyle w:val="1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8"/>
              <w:gridCol w:w="4702"/>
              <w:gridCol w:w="948"/>
              <w:gridCol w:w="1498"/>
              <w:gridCol w:w="949"/>
            </w:tblGrid>
            <w:tr w14:paraId="4257D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524" w:type="pct"/>
                  <w:tcBorders>
                    <w:tl2br w:val="nil"/>
                    <w:tr2bl w:val="nil"/>
                  </w:tcBorders>
                  <w:shd w:val="clear" w:color="000000" w:fill="FFFFFF"/>
                  <w:noWrap w:val="0"/>
                  <w:vAlign w:val="center"/>
                </w:tcPr>
                <w:p w14:paraId="3BF635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序号</w:t>
                  </w:r>
                </w:p>
              </w:tc>
              <w:tc>
                <w:tcPr>
                  <w:tcW w:w="2599" w:type="pct"/>
                  <w:tcBorders>
                    <w:tl2br w:val="nil"/>
                    <w:tr2bl w:val="nil"/>
                  </w:tcBorders>
                  <w:shd w:val="clear" w:color="000000" w:fill="FFFFFF"/>
                  <w:noWrap w:val="0"/>
                  <w:vAlign w:val="center"/>
                </w:tcPr>
                <w:p w14:paraId="11E983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工程或费用名称</w:t>
                  </w:r>
                </w:p>
              </w:tc>
              <w:tc>
                <w:tcPr>
                  <w:tcW w:w="524" w:type="pct"/>
                  <w:tcBorders>
                    <w:tl2br w:val="nil"/>
                    <w:tr2bl w:val="nil"/>
                  </w:tcBorders>
                  <w:shd w:val="clear" w:color="000000" w:fill="FFFFFF"/>
                  <w:noWrap w:val="0"/>
                  <w:vAlign w:val="center"/>
                </w:tcPr>
                <w:p w14:paraId="530086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单位</w:t>
                  </w:r>
                </w:p>
              </w:tc>
              <w:tc>
                <w:tcPr>
                  <w:tcW w:w="828" w:type="pct"/>
                  <w:tcBorders>
                    <w:tl2br w:val="nil"/>
                    <w:tr2bl w:val="nil"/>
                  </w:tcBorders>
                  <w:shd w:val="clear" w:color="000000" w:fill="FFFFFF"/>
                  <w:noWrap w:val="0"/>
                  <w:vAlign w:val="center"/>
                </w:tcPr>
                <w:p w14:paraId="3ED44D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数量</w:t>
                  </w:r>
                </w:p>
              </w:tc>
              <w:tc>
                <w:tcPr>
                  <w:tcW w:w="524" w:type="pct"/>
                  <w:tcBorders>
                    <w:tl2br w:val="nil"/>
                    <w:tr2bl w:val="nil"/>
                  </w:tcBorders>
                  <w:shd w:val="clear" w:color="000000" w:fill="FFFFFF"/>
                  <w:noWrap w:val="0"/>
                  <w:vAlign w:val="center"/>
                </w:tcPr>
                <w:p w14:paraId="420CED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备注</w:t>
                  </w:r>
                </w:p>
              </w:tc>
            </w:tr>
            <w:tr w14:paraId="45132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4" w:type="pct"/>
                  <w:tcBorders>
                    <w:tl2br w:val="nil"/>
                    <w:tr2bl w:val="nil"/>
                  </w:tcBorders>
                  <w:shd w:val="clear" w:color="000000" w:fill="FFFFFF"/>
                  <w:noWrap w:val="0"/>
                  <w:vAlign w:val="center"/>
                </w:tcPr>
                <w:p w14:paraId="110A9E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c>
                <w:tcPr>
                  <w:tcW w:w="2599" w:type="pct"/>
                  <w:tcBorders>
                    <w:tl2br w:val="nil"/>
                    <w:tr2bl w:val="nil"/>
                  </w:tcBorders>
                  <w:shd w:val="clear" w:color="000000" w:fill="FFFFFF"/>
                  <w:noWrap w:val="0"/>
                  <w:vAlign w:val="center"/>
                </w:tcPr>
                <w:p w14:paraId="589184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第一部分 建筑工程</w:t>
                  </w:r>
                </w:p>
              </w:tc>
              <w:tc>
                <w:tcPr>
                  <w:tcW w:w="524" w:type="pct"/>
                  <w:tcBorders>
                    <w:tl2br w:val="nil"/>
                    <w:tr2bl w:val="nil"/>
                  </w:tcBorders>
                  <w:shd w:val="clear" w:color="000000" w:fill="FFFFFF"/>
                  <w:noWrap w:val="0"/>
                  <w:vAlign w:val="center"/>
                </w:tcPr>
                <w:p w14:paraId="0147DE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c>
                <w:tcPr>
                  <w:tcW w:w="828" w:type="pct"/>
                  <w:tcBorders>
                    <w:tl2br w:val="nil"/>
                    <w:tr2bl w:val="nil"/>
                  </w:tcBorders>
                  <w:shd w:val="clear" w:color="000000" w:fill="FFFFFF"/>
                  <w:noWrap w:val="0"/>
                  <w:vAlign w:val="center"/>
                </w:tcPr>
                <w:p w14:paraId="6DF892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c>
                <w:tcPr>
                  <w:tcW w:w="524" w:type="pct"/>
                  <w:tcBorders>
                    <w:tl2br w:val="nil"/>
                    <w:tr2bl w:val="nil"/>
                  </w:tcBorders>
                  <w:shd w:val="clear" w:color="000000" w:fill="FFFFFF"/>
                  <w:noWrap w:val="0"/>
                  <w:vAlign w:val="center"/>
                </w:tcPr>
                <w:p w14:paraId="52ECCC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6D3ED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2" w:hRule="atLeast"/>
                <w:jc w:val="center"/>
              </w:trPr>
              <w:tc>
                <w:tcPr>
                  <w:tcW w:w="524" w:type="pct"/>
                  <w:tcBorders>
                    <w:tl2br w:val="nil"/>
                    <w:tr2bl w:val="nil"/>
                  </w:tcBorders>
                  <w:shd w:val="clear" w:color="000000" w:fill="FFFFFF"/>
                  <w:noWrap w:val="0"/>
                  <w:vAlign w:val="center"/>
                </w:tcPr>
                <w:p w14:paraId="1A9801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一</w:t>
                  </w:r>
                </w:p>
              </w:tc>
              <w:tc>
                <w:tcPr>
                  <w:tcW w:w="2599" w:type="pct"/>
                  <w:tcBorders>
                    <w:tl2br w:val="nil"/>
                    <w:tr2bl w:val="nil"/>
                  </w:tcBorders>
                  <w:shd w:val="clear" w:color="000000" w:fill="FFFFFF"/>
                  <w:noWrap w:val="0"/>
                  <w:vAlign w:val="center"/>
                </w:tcPr>
                <w:p w14:paraId="3F828E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堤防工程</w:t>
                  </w:r>
                </w:p>
              </w:tc>
              <w:tc>
                <w:tcPr>
                  <w:tcW w:w="524" w:type="pct"/>
                  <w:tcBorders>
                    <w:tl2br w:val="nil"/>
                    <w:tr2bl w:val="nil"/>
                  </w:tcBorders>
                  <w:shd w:val="clear" w:color="000000" w:fill="FFFFFF"/>
                  <w:noWrap w:val="0"/>
                  <w:vAlign w:val="center"/>
                </w:tcPr>
                <w:p w14:paraId="7D8D07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c>
                <w:tcPr>
                  <w:tcW w:w="828" w:type="pct"/>
                  <w:tcBorders>
                    <w:tl2br w:val="nil"/>
                    <w:tr2bl w:val="nil"/>
                  </w:tcBorders>
                  <w:shd w:val="clear" w:color="000000" w:fill="FFFFFF"/>
                  <w:noWrap w:val="0"/>
                  <w:vAlign w:val="center"/>
                </w:tcPr>
                <w:p w14:paraId="4D2877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c>
                <w:tcPr>
                  <w:tcW w:w="524" w:type="pct"/>
                  <w:tcBorders>
                    <w:tl2br w:val="nil"/>
                    <w:tr2bl w:val="nil"/>
                  </w:tcBorders>
                  <w:shd w:val="clear" w:color="000000" w:fill="FFFFFF"/>
                  <w:noWrap w:val="0"/>
                  <w:vAlign w:val="center"/>
                </w:tcPr>
                <w:p w14:paraId="755E2E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3508F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2" w:hRule="atLeast"/>
                <w:jc w:val="center"/>
              </w:trPr>
              <w:tc>
                <w:tcPr>
                  <w:tcW w:w="944" w:type="dxa"/>
                  <w:tcBorders>
                    <w:tl2br w:val="nil"/>
                    <w:tr2bl w:val="nil"/>
                  </w:tcBorders>
                  <w:shd w:val="clear" w:color="000000" w:fill="FFFFFF"/>
                  <w:noWrap w:val="0"/>
                  <w:vAlign w:val="center"/>
                </w:tcPr>
                <w:p w14:paraId="56F0C4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(一)</w:t>
                  </w:r>
                </w:p>
              </w:tc>
              <w:tc>
                <w:tcPr>
                  <w:tcW w:w="4685" w:type="dxa"/>
                  <w:tcBorders>
                    <w:tl2br w:val="nil"/>
                    <w:tr2bl w:val="nil"/>
                  </w:tcBorders>
                  <w:shd w:val="clear" w:color="000000" w:fill="FFFFFF"/>
                  <w:noWrap w:val="0"/>
                  <w:vAlign w:val="center"/>
                </w:tcPr>
                <w:p w14:paraId="12D667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主河道工程</w:t>
                  </w:r>
                </w:p>
              </w:tc>
              <w:tc>
                <w:tcPr>
                  <w:tcW w:w="944" w:type="dxa"/>
                  <w:tcBorders>
                    <w:tl2br w:val="nil"/>
                    <w:tr2bl w:val="nil"/>
                  </w:tcBorders>
                  <w:shd w:val="clear" w:color="000000" w:fill="FFFFFF"/>
                  <w:noWrap w:val="0"/>
                  <w:vAlign w:val="center"/>
                </w:tcPr>
                <w:p w14:paraId="31A872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c>
                <w:tcPr>
                  <w:tcW w:w="1492" w:type="dxa"/>
                  <w:tcBorders>
                    <w:tl2br w:val="nil"/>
                    <w:tr2bl w:val="nil"/>
                  </w:tcBorders>
                  <w:shd w:val="clear" w:color="000000" w:fill="FFFFFF"/>
                  <w:noWrap w:val="0"/>
                  <w:vAlign w:val="center"/>
                </w:tcPr>
                <w:p w14:paraId="10E6A9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c>
                <w:tcPr>
                  <w:tcW w:w="524" w:type="pct"/>
                  <w:tcBorders>
                    <w:tl2br w:val="nil"/>
                    <w:tr2bl w:val="nil"/>
                  </w:tcBorders>
                  <w:shd w:val="clear" w:color="000000" w:fill="FFFFFF"/>
                  <w:noWrap w:val="0"/>
                  <w:vAlign w:val="center"/>
                </w:tcPr>
                <w:p w14:paraId="10CF5B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2BD87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 w:hRule="atLeast"/>
                <w:jc w:val="center"/>
              </w:trPr>
              <w:tc>
                <w:tcPr>
                  <w:tcW w:w="944" w:type="dxa"/>
                  <w:tcBorders>
                    <w:tl2br w:val="nil"/>
                    <w:tr2bl w:val="nil"/>
                  </w:tcBorders>
                  <w:shd w:val="clear" w:color="000000" w:fill="FFFFFF"/>
                  <w:noWrap w:val="0"/>
                  <w:vAlign w:val="center"/>
                </w:tcPr>
                <w:p w14:paraId="0CE2EC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w:t>
                  </w:r>
                </w:p>
              </w:tc>
              <w:tc>
                <w:tcPr>
                  <w:tcW w:w="4685" w:type="dxa"/>
                  <w:tcBorders>
                    <w:tl2br w:val="nil"/>
                    <w:tr2bl w:val="nil"/>
                  </w:tcBorders>
                  <w:shd w:val="clear" w:color="000000" w:fill="FFFFFF"/>
                  <w:noWrap w:val="0"/>
                  <w:vAlign w:val="center"/>
                </w:tcPr>
                <w:p w14:paraId="53E8DA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土方开挖</w:t>
                  </w:r>
                </w:p>
              </w:tc>
              <w:tc>
                <w:tcPr>
                  <w:tcW w:w="944" w:type="dxa"/>
                  <w:tcBorders>
                    <w:tl2br w:val="nil"/>
                    <w:tr2bl w:val="nil"/>
                  </w:tcBorders>
                  <w:shd w:val="clear" w:color="000000" w:fill="FFFFFF"/>
                  <w:noWrap w:val="0"/>
                  <w:vAlign w:val="center"/>
                </w:tcPr>
                <w:p w14:paraId="5C2DCA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61749F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44715.37</w:t>
                  </w:r>
                </w:p>
              </w:tc>
              <w:tc>
                <w:tcPr>
                  <w:tcW w:w="524" w:type="pct"/>
                  <w:tcBorders>
                    <w:tl2br w:val="nil"/>
                    <w:tr2bl w:val="nil"/>
                  </w:tcBorders>
                  <w:shd w:val="clear" w:color="000000" w:fill="FFFFFF"/>
                  <w:noWrap w:val="0"/>
                  <w:vAlign w:val="center"/>
                </w:tcPr>
                <w:p w14:paraId="7C70D6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6A9F6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44" w:type="dxa"/>
                  <w:tcBorders>
                    <w:tl2br w:val="nil"/>
                    <w:tr2bl w:val="nil"/>
                  </w:tcBorders>
                  <w:shd w:val="clear" w:color="000000" w:fill="FFFFFF"/>
                  <w:noWrap w:val="0"/>
                  <w:vAlign w:val="center"/>
                </w:tcPr>
                <w:p w14:paraId="7CA8F9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w:t>
                  </w:r>
                </w:p>
              </w:tc>
              <w:tc>
                <w:tcPr>
                  <w:tcW w:w="4685" w:type="dxa"/>
                  <w:tcBorders>
                    <w:tl2br w:val="nil"/>
                    <w:tr2bl w:val="nil"/>
                  </w:tcBorders>
                  <w:shd w:val="clear" w:color="000000" w:fill="FFFFFF"/>
                  <w:noWrap w:val="0"/>
                  <w:vAlign w:val="center"/>
                </w:tcPr>
                <w:p w14:paraId="1D830C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表土剥离</w:t>
                  </w:r>
                </w:p>
              </w:tc>
              <w:tc>
                <w:tcPr>
                  <w:tcW w:w="944" w:type="dxa"/>
                  <w:tcBorders>
                    <w:tl2br w:val="nil"/>
                    <w:tr2bl w:val="nil"/>
                  </w:tcBorders>
                  <w:shd w:val="clear" w:color="000000" w:fill="FFFFFF"/>
                  <w:noWrap w:val="0"/>
                  <w:vAlign w:val="center"/>
                </w:tcPr>
                <w:p w14:paraId="7EBEFF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714AF7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9356.00</w:t>
                  </w:r>
                </w:p>
              </w:tc>
              <w:tc>
                <w:tcPr>
                  <w:tcW w:w="524" w:type="pct"/>
                  <w:tcBorders>
                    <w:tl2br w:val="nil"/>
                    <w:tr2bl w:val="nil"/>
                  </w:tcBorders>
                  <w:shd w:val="clear" w:color="000000" w:fill="FFFFFF"/>
                  <w:noWrap w:val="0"/>
                  <w:vAlign w:val="center"/>
                </w:tcPr>
                <w:p w14:paraId="453409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70797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44" w:type="dxa"/>
                  <w:tcBorders>
                    <w:tl2br w:val="nil"/>
                    <w:tr2bl w:val="nil"/>
                  </w:tcBorders>
                  <w:shd w:val="clear" w:color="000000" w:fill="FFFFFF"/>
                  <w:noWrap w:val="0"/>
                  <w:vAlign w:val="center"/>
                </w:tcPr>
                <w:p w14:paraId="239FE4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3</w:t>
                  </w:r>
                </w:p>
              </w:tc>
              <w:tc>
                <w:tcPr>
                  <w:tcW w:w="4685" w:type="dxa"/>
                  <w:tcBorders>
                    <w:tl2br w:val="nil"/>
                    <w:tr2bl w:val="nil"/>
                  </w:tcBorders>
                  <w:shd w:val="clear" w:color="000000" w:fill="FFFFFF"/>
                  <w:noWrap w:val="0"/>
                  <w:vAlign w:val="center"/>
                </w:tcPr>
                <w:p w14:paraId="6B88D7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石方开挖</w:t>
                  </w:r>
                </w:p>
              </w:tc>
              <w:tc>
                <w:tcPr>
                  <w:tcW w:w="944" w:type="dxa"/>
                  <w:tcBorders>
                    <w:tl2br w:val="nil"/>
                    <w:tr2bl w:val="nil"/>
                  </w:tcBorders>
                  <w:shd w:val="clear" w:color="000000" w:fill="FFFFFF"/>
                  <w:noWrap w:val="0"/>
                  <w:vAlign w:val="center"/>
                </w:tcPr>
                <w:p w14:paraId="7CD844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043144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2353.44</w:t>
                  </w:r>
                </w:p>
              </w:tc>
              <w:tc>
                <w:tcPr>
                  <w:tcW w:w="524" w:type="pct"/>
                  <w:tcBorders>
                    <w:tl2br w:val="nil"/>
                    <w:tr2bl w:val="nil"/>
                  </w:tcBorders>
                  <w:shd w:val="clear" w:color="000000" w:fill="FFFFFF"/>
                  <w:noWrap w:val="0"/>
                  <w:vAlign w:val="center"/>
                </w:tcPr>
                <w:p w14:paraId="7CBD9D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154C6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44" w:type="dxa"/>
                  <w:tcBorders>
                    <w:tl2br w:val="nil"/>
                    <w:tr2bl w:val="nil"/>
                  </w:tcBorders>
                  <w:shd w:val="clear" w:color="000000" w:fill="FFFFFF"/>
                  <w:noWrap w:val="0"/>
                  <w:vAlign w:val="center"/>
                </w:tcPr>
                <w:p w14:paraId="41464B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4</w:t>
                  </w:r>
                </w:p>
              </w:tc>
              <w:tc>
                <w:tcPr>
                  <w:tcW w:w="4685" w:type="dxa"/>
                  <w:tcBorders>
                    <w:tl2br w:val="nil"/>
                    <w:tr2bl w:val="nil"/>
                  </w:tcBorders>
                  <w:shd w:val="clear" w:color="000000" w:fill="FFFFFF"/>
                  <w:noWrap w:val="0"/>
                  <w:vAlign w:val="center"/>
                </w:tcPr>
                <w:p w14:paraId="6E5A5E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土石方回填</w:t>
                  </w:r>
                </w:p>
              </w:tc>
              <w:tc>
                <w:tcPr>
                  <w:tcW w:w="944" w:type="dxa"/>
                  <w:tcBorders>
                    <w:tl2br w:val="nil"/>
                    <w:tr2bl w:val="nil"/>
                  </w:tcBorders>
                  <w:shd w:val="clear" w:color="000000" w:fill="FFFFFF"/>
                  <w:noWrap w:val="0"/>
                  <w:vAlign w:val="center"/>
                </w:tcPr>
                <w:p w14:paraId="24B956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3BF659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45388.13</w:t>
                  </w:r>
                </w:p>
              </w:tc>
              <w:tc>
                <w:tcPr>
                  <w:tcW w:w="524" w:type="pct"/>
                  <w:tcBorders>
                    <w:tl2br w:val="nil"/>
                    <w:tr2bl w:val="nil"/>
                  </w:tcBorders>
                  <w:shd w:val="clear" w:color="000000" w:fill="FFFFFF"/>
                  <w:noWrap w:val="0"/>
                  <w:vAlign w:val="center"/>
                </w:tcPr>
                <w:p w14:paraId="52D274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292FF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44" w:type="dxa"/>
                  <w:tcBorders>
                    <w:tl2br w:val="nil"/>
                    <w:tr2bl w:val="nil"/>
                  </w:tcBorders>
                  <w:shd w:val="clear" w:color="000000" w:fill="FFFFFF"/>
                  <w:noWrap w:val="0"/>
                  <w:vAlign w:val="center"/>
                </w:tcPr>
                <w:p w14:paraId="53EA39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5</w:t>
                  </w:r>
                </w:p>
              </w:tc>
              <w:tc>
                <w:tcPr>
                  <w:tcW w:w="4685" w:type="dxa"/>
                  <w:tcBorders>
                    <w:tl2br w:val="nil"/>
                    <w:tr2bl w:val="nil"/>
                  </w:tcBorders>
                  <w:shd w:val="clear" w:color="000000" w:fill="FFFFFF"/>
                  <w:noWrap w:val="0"/>
                  <w:vAlign w:val="center"/>
                </w:tcPr>
                <w:p w14:paraId="550E3D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块石护脚</w:t>
                  </w:r>
                </w:p>
              </w:tc>
              <w:tc>
                <w:tcPr>
                  <w:tcW w:w="944" w:type="dxa"/>
                  <w:tcBorders>
                    <w:tl2br w:val="nil"/>
                    <w:tr2bl w:val="nil"/>
                  </w:tcBorders>
                  <w:shd w:val="clear" w:color="000000" w:fill="FFFFFF"/>
                  <w:noWrap w:val="0"/>
                  <w:vAlign w:val="center"/>
                </w:tcPr>
                <w:p w14:paraId="6210B7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24E06F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4135.52</w:t>
                  </w:r>
                </w:p>
              </w:tc>
              <w:tc>
                <w:tcPr>
                  <w:tcW w:w="524" w:type="pct"/>
                  <w:tcBorders>
                    <w:tl2br w:val="nil"/>
                    <w:tr2bl w:val="nil"/>
                  </w:tcBorders>
                  <w:shd w:val="clear" w:color="000000" w:fill="FFFFFF"/>
                  <w:noWrap w:val="0"/>
                  <w:vAlign w:val="center"/>
                </w:tcPr>
                <w:p w14:paraId="6466E1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74DA8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 w:hRule="atLeast"/>
                <w:jc w:val="center"/>
              </w:trPr>
              <w:tc>
                <w:tcPr>
                  <w:tcW w:w="944" w:type="dxa"/>
                  <w:tcBorders>
                    <w:tl2br w:val="nil"/>
                    <w:tr2bl w:val="nil"/>
                  </w:tcBorders>
                  <w:shd w:val="clear" w:color="000000" w:fill="FFFFFF"/>
                  <w:noWrap w:val="0"/>
                  <w:vAlign w:val="center"/>
                </w:tcPr>
                <w:p w14:paraId="1F22C1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6</w:t>
                  </w:r>
                </w:p>
              </w:tc>
              <w:tc>
                <w:tcPr>
                  <w:tcW w:w="4685" w:type="dxa"/>
                  <w:tcBorders>
                    <w:tl2br w:val="nil"/>
                    <w:tr2bl w:val="nil"/>
                  </w:tcBorders>
                  <w:shd w:val="clear" w:color="000000" w:fill="FFFFFF"/>
                  <w:noWrap w:val="0"/>
                  <w:vAlign w:val="center"/>
                </w:tcPr>
                <w:p w14:paraId="33DC37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块石碾压基础</w:t>
                  </w:r>
                </w:p>
              </w:tc>
              <w:tc>
                <w:tcPr>
                  <w:tcW w:w="944" w:type="dxa"/>
                  <w:tcBorders>
                    <w:tl2br w:val="nil"/>
                    <w:tr2bl w:val="nil"/>
                  </w:tcBorders>
                  <w:shd w:val="clear" w:color="000000" w:fill="FFFFFF"/>
                  <w:noWrap w:val="0"/>
                  <w:vAlign w:val="center"/>
                </w:tcPr>
                <w:p w14:paraId="668B8F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278448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4854.68</w:t>
                  </w:r>
                </w:p>
              </w:tc>
              <w:tc>
                <w:tcPr>
                  <w:tcW w:w="524" w:type="pct"/>
                  <w:tcBorders>
                    <w:tl2br w:val="nil"/>
                    <w:tr2bl w:val="nil"/>
                  </w:tcBorders>
                  <w:shd w:val="clear" w:color="000000" w:fill="FFFFFF"/>
                  <w:noWrap w:val="0"/>
                  <w:vAlign w:val="center"/>
                </w:tcPr>
                <w:p w14:paraId="2BCFFA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4ADE0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 w:hRule="atLeast"/>
                <w:jc w:val="center"/>
              </w:trPr>
              <w:tc>
                <w:tcPr>
                  <w:tcW w:w="944" w:type="dxa"/>
                  <w:tcBorders>
                    <w:tl2br w:val="nil"/>
                    <w:tr2bl w:val="nil"/>
                  </w:tcBorders>
                  <w:shd w:val="clear" w:color="000000" w:fill="FFFFFF"/>
                  <w:noWrap w:val="0"/>
                  <w:vAlign w:val="center"/>
                </w:tcPr>
                <w:p w14:paraId="311D84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7</w:t>
                  </w:r>
                </w:p>
              </w:tc>
              <w:tc>
                <w:tcPr>
                  <w:tcW w:w="4685" w:type="dxa"/>
                  <w:tcBorders>
                    <w:tl2br w:val="nil"/>
                    <w:tr2bl w:val="nil"/>
                  </w:tcBorders>
                  <w:shd w:val="clear" w:color="000000" w:fill="FFFFFF"/>
                  <w:noWrap w:val="0"/>
                  <w:vAlign w:val="center"/>
                </w:tcPr>
                <w:p w14:paraId="07EF76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镇脚C20砼</w:t>
                  </w:r>
                </w:p>
              </w:tc>
              <w:tc>
                <w:tcPr>
                  <w:tcW w:w="944" w:type="dxa"/>
                  <w:tcBorders>
                    <w:tl2br w:val="nil"/>
                    <w:tr2bl w:val="nil"/>
                  </w:tcBorders>
                  <w:shd w:val="clear" w:color="000000" w:fill="FFFFFF"/>
                  <w:noWrap w:val="0"/>
                  <w:vAlign w:val="center"/>
                </w:tcPr>
                <w:p w14:paraId="1D8A14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0890A1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8282.67</w:t>
                  </w:r>
                </w:p>
              </w:tc>
              <w:tc>
                <w:tcPr>
                  <w:tcW w:w="524" w:type="pct"/>
                  <w:tcBorders>
                    <w:tl2br w:val="nil"/>
                    <w:tr2bl w:val="nil"/>
                  </w:tcBorders>
                  <w:shd w:val="clear" w:color="000000" w:fill="FFFFFF"/>
                  <w:noWrap w:val="0"/>
                  <w:vAlign w:val="center"/>
                </w:tcPr>
                <w:p w14:paraId="147FAF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5C828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 w:hRule="atLeast"/>
                <w:jc w:val="center"/>
              </w:trPr>
              <w:tc>
                <w:tcPr>
                  <w:tcW w:w="944" w:type="dxa"/>
                  <w:tcBorders>
                    <w:tl2br w:val="nil"/>
                    <w:tr2bl w:val="nil"/>
                  </w:tcBorders>
                  <w:shd w:val="clear" w:color="000000" w:fill="FFFFFF"/>
                  <w:noWrap w:val="0"/>
                  <w:vAlign w:val="center"/>
                </w:tcPr>
                <w:p w14:paraId="3E35A8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8</w:t>
                  </w:r>
                </w:p>
              </w:tc>
              <w:tc>
                <w:tcPr>
                  <w:tcW w:w="4685" w:type="dxa"/>
                  <w:tcBorders>
                    <w:tl2br w:val="nil"/>
                    <w:tr2bl w:val="nil"/>
                  </w:tcBorders>
                  <w:shd w:val="clear" w:color="000000" w:fill="FFFFFF"/>
                  <w:noWrap w:val="0"/>
                  <w:vAlign w:val="center"/>
                </w:tcPr>
                <w:p w14:paraId="5C2FF6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C25钢筋砼框格梁</w:t>
                  </w:r>
                </w:p>
              </w:tc>
              <w:tc>
                <w:tcPr>
                  <w:tcW w:w="944" w:type="dxa"/>
                  <w:tcBorders>
                    <w:tl2br w:val="nil"/>
                    <w:tr2bl w:val="nil"/>
                  </w:tcBorders>
                  <w:shd w:val="clear" w:color="000000" w:fill="FFFFFF"/>
                  <w:noWrap w:val="0"/>
                  <w:vAlign w:val="center"/>
                </w:tcPr>
                <w:p w14:paraId="3EA03A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49B197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203.01</w:t>
                  </w:r>
                </w:p>
              </w:tc>
              <w:tc>
                <w:tcPr>
                  <w:tcW w:w="524" w:type="pct"/>
                  <w:tcBorders>
                    <w:tl2br w:val="nil"/>
                    <w:tr2bl w:val="nil"/>
                  </w:tcBorders>
                  <w:shd w:val="clear" w:color="000000" w:fill="FFFFFF"/>
                  <w:noWrap w:val="0"/>
                  <w:vAlign w:val="center"/>
                </w:tcPr>
                <w:p w14:paraId="45D898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2E9E2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44" w:type="dxa"/>
                  <w:tcBorders>
                    <w:tl2br w:val="nil"/>
                    <w:tr2bl w:val="nil"/>
                  </w:tcBorders>
                  <w:shd w:val="clear" w:color="000000" w:fill="FFFFFF"/>
                  <w:noWrap w:val="0"/>
                  <w:vAlign w:val="center"/>
                </w:tcPr>
                <w:p w14:paraId="082829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9</w:t>
                  </w:r>
                </w:p>
              </w:tc>
              <w:tc>
                <w:tcPr>
                  <w:tcW w:w="4685" w:type="dxa"/>
                  <w:tcBorders>
                    <w:tl2br w:val="nil"/>
                    <w:tr2bl w:val="nil"/>
                  </w:tcBorders>
                  <w:shd w:val="clear" w:color="000000" w:fill="FFFFFF"/>
                  <w:noWrap w:val="0"/>
                  <w:vAlign w:val="center"/>
                </w:tcPr>
                <w:p w14:paraId="60EF9A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C20砼预制六棱块护坡</w:t>
                  </w:r>
                </w:p>
              </w:tc>
              <w:tc>
                <w:tcPr>
                  <w:tcW w:w="944" w:type="dxa"/>
                  <w:tcBorders>
                    <w:tl2br w:val="nil"/>
                    <w:tr2bl w:val="nil"/>
                  </w:tcBorders>
                  <w:shd w:val="clear" w:color="000000" w:fill="FFFFFF"/>
                  <w:noWrap w:val="0"/>
                  <w:vAlign w:val="center"/>
                </w:tcPr>
                <w:p w14:paraId="69CAC0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69D426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1511.26</w:t>
                  </w:r>
                </w:p>
              </w:tc>
              <w:tc>
                <w:tcPr>
                  <w:tcW w:w="524" w:type="pct"/>
                  <w:tcBorders>
                    <w:tl2br w:val="nil"/>
                    <w:tr2bl w:val="nil"/>
                  </w:tcBorders>
                  <w:shd w:val="clear" w:color="000000" w:fill="FFFFFF"/>
                  <w:noWrap w:val="0"/>
                  <w:vAlign w:val="center"/>
                </w:tcPr>
                <w:p w14:paraId="4537D7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24A40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 w:hRule="atLeast"/>
                <w:jc w:val="center"/>
              </w:trPr>
              <w:tc>
                <w:tcPr>
                  <w:tcW w:w="944" w:type="dxa"/>
                  <w:tcBorders>
                    <w:tl2br w:val="nil"/>
                    <w:tr2bl w:val="nil"/>
                  </w:tcBorders>
                  <w:shd w:val="clear" w:color="000000" w:fill="FFFFFF"/>
                  <w:noWrap w:val="0"/>
                  <w:vAlign w:val="center"/>
                </w:tcPr>
                <w:p w14:paraId="1A0E2F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10</w:t>
                  </w:r>
                </w:p>
              </w:tc>
              <w:tc>
                <w:tcPr>
                  <w:tcW w:w="4685" w:type="dxa"/>
                  <w:tcBorders>
                    <w:tl2br w:val="nil"/>
                    <w:tr2bl w:val="nil"/>
                  </w:tcBorders>
                  <w:shd w:val="clear" w:color="000000" w:fill="FFFFFF"/>
                  <w:noWrap w:val="0"/>
                  <w:vAlign w:val="center"/>
                </w:tcPr>
                <w:p w14:paraId="7B7390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亲水马道路面青石板 5cm厚</w:t>
                  </w:r>
                </w:p>
              </w:tc>
              <w:tc>
                <w:tcPr>
                  <w:tcW w:w="944" w:type="dxa"/>
                  <w:tcBorders>
                    <w:tl2br w:val="nil"/>
                    <w:tr2bl w:val="nil"/>
                  </w:tcBorders>
                  <w:shd w:val="clear" w:color="000000" w:fill="FFFFFF"/>
                  <w:noWrap w:val="0"/>
                  <w:vAlign w:val="center"/>
                </w:tcPr>
                <w:p w14:paraId="7095CA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3EF96E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6052.80</w:t>
                  </w:r>
                </w:p>
              </w:tc>
              <w:tc>
                <w:tcPr>
                  <w:tcW w:w="524" w:type="pct"/>
                  <w:tcBorders>
                    <w:tl2br w:val="nil"/>
                    <w:tr2bl w:val="nil"/>
                  </w:tcBorders>
                  <w:shd w:val="clear" w:color="000000" w:fill="FFFFFF"/>
                  <w:noWrap w:val="0"/>
                  <w:vAlign w:val="center"/>
                </w:tcPr>
                <w:p w14:paraId="184826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3A0AC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944" w:type="dxa"/>
                  <w:tcBorders>
                    <w:tl2br w:val="nil"/>
                    <w:tr2bl w:val="nil"/>
                  </w:tcBorders>
                  <w:shd w:val="clear" w:color="000000" w:fill="FFFFFF"/>
                  <w:noWrap w:val="0"/>
                  <w:vAlign w:val="center"/>
                </w:tcPr>
                <w:p w14:paraId="1B1B3C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11</w:t>
                  </w:r>
                </w:p>
              </w:tc>
              <w:tc>
                <w:tcPr>
                  <w:tcW w:w="4685" w:type="dxa"/>
                  <w:tcBorders>
                    <w:tl2br w:val="nil"/>
                    <w:tr2bl w:val="nil"/>
                  </w:tcBorders>
                  <w:shd w:val="clear" w:color="000000" w:fill="FFFFFF"/>
                  <w:noWrap w:val="0"/>
                  <w:vAlign w:val="center"/>
                </w:tcPr>
                <w:p w14:paraId="0D28E0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亲水马道路面水泥砂浆 5cm厚</w:t>
                  </w:r>
                </w:p>
              </w:tc>
              <w:tc>
                <w:tcPr>
                  <w:tcW w:w="944" w:type="dxa"/>
                  <w:tcBorders>
                    <w:tl2br w:val="nil"/>
                    <w:tr2bl w:val="nil"/>
                  </w:tcBorders>
                  <w:shd w:val="clear" w:color="000000" w:fill="FFFFFF"/>
                  <w:noWrap w:val="0"/>
                  <w:vAlign w:val="center"/>
                </w:tcPr>
                <w:p w14:paraId="5A38B4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761BC8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6052.80</w:t>
                  </w:r>
                </w:p>
              </w:tc>
              <w:tc>
                <w:tcPr>
                  <w:tcW w:w="524" w:type="pct"/>
                  <w:tcBorders>
                    <w:tl2br w:val="nil"/>
                    <w:tr2bl w:val="nil"/>
                  </w:tcBorders>
                  <w:shd w:val="clear" w:color="000000" w:fill="FFFFFF"/>
                  <w:noWrap w:val="0"/>
                  <w:vAlign w:val="center"/>
                </w:tcPr>
                <w:p w14:paraId="17BE5A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0BCA7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 w:hRule="atLeast"/>
                <w:jc w:val="center"/>
              </w:trPr>
              <w:tc>
                <w:tcPr>
                  <w:tcW w:w="944" w:type="dxa"/>
                  <w:tcBorders>
                    <w:tl2br w:val="nil"/>
                    <w:tr2bl w:val="nil"/>
                  </w:tcBorders>
                  <w:shd w:val="clear" w:color="000000" w:fill="FFFFFF"/>
                  <w:noWrap w:val="0"/>
                  <w:vAlign w:val="center"/>
                </w:tcPr>
                <w:p w14:paraId="68DB41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12</w:t>
                  </w:r>
                </w:p>
              </w:tc>
              <w:tc>
                <w:tcPr>
                  <w:tcW w:w="4685" w:type="dxa"/>
                  <w:tcBorders>
                    <w:tl2br w:val="nil"/>
                    <w:tr2bl w:val="nil"/>
                  </w:tcBorders>
                  <w:shd w:val="clear" w:color="000000" w:fill="FFFFFF"/>
                  <w:noWrap w:val="0"/>
                  <w:vAlign w:val="center"/>
                </w:tcPr>
                <w:p w14:paraId="206926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亲水马道C20砼垫层 10cm厚</w:t>
                  </w:r>
                </w:p>
              </w:tc>
              <w:tc>
                <w:tcPr>
                  <w:tcW w:w="944" w:type="dxa"/>
                  <w:tcBorders>
                    <w:tl2br w:val="nil"/>
                    <w:tr2bl w:val="nil"/>
                  </w:tcBorders>
                  <w:shd w:val="clear" w:color="000000" w:fill="FFFFFF"/>
                  <w:noWrap w:val="0"/>
                  <w:vAlign w:val="center"/>
                </w:tcPr>
                <w:p w14:paraId="297CB7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451A86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605.28</w:t>
                  </w:r>
                </w:p>
              </w:tc>
              <w:tc>
                <w:tcPr>
                  <w:tcW w:w="524" w:type="pct"/>
                  <w:tcBorders>
                    <w:tl2br w:val="nil"/>
                    <w:tr2bl w:val="nil"/>
                  </w:tcBorders>
                  <w:shd w:val="clear" w:color="000000" w:fill="FFFFFF"/>
                  <w:noWrap w:val="0"/>
                  <w:vAlign w:val="center"/>
                </w:tcPr>
                <w:p w14:paraId="148C52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12664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7" w:hRule="atLeast"/>
                <w:jc w:val="center"/>
              </w:trPr>
              <w:tc>
                <w:tcPr>
                  <w:tcW w:w="944" w:type="dxa"/>
                  <w:tcBorders>
                    <w:tl2br w:val="nil"/>
                    <w:tr2bl w:val="nil"/>
                  </w:tcBorders>
                  <w:shd w:val="clear" w:color="000000" w:fill="FFFFFF"/>
                  <w:noWrap w:val="0"/>
                  <w:vAlign w:val="center"/>
                </w:tcPr>
                <w:p w14:paraId="3D0CB7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13</w:t>
                  </w:r>
                </w:p>
              </w:tc>
              <w:tc>
                <w:tcPr>
                  <w:tcW w:w="4685" w:type="dxa"/>
                  <w:tcBorders>
                    <w:tl2br w:val="nil"/>
                    <w:tr2bl w:val="nil"/>
                  </w:tcBorders>
                  <w:shd w:val="clear" w:color="000000" w:fill="FFFFFF"/>
                  <w:noWrap w:val="0"/>
                  <w:vAlign w:val="center"/>
                </w:tcPr>
                <w:p w14:paraId="6F6EAE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亲水步道路面碎石垫层 10cm厚</w:t>
                  </w:r>
                </w:p>
              </w:tc>
              <w:tc>
                <w:tcPr>
                  <w:tcW w:w="944" w:type="dxa"/>
                  <w:tcBorders>
                    <w:tl2br w:val="nil"/>
                    <w:tr2bl w:val="nil"/>
                  </w:tcBorders>
                  <w:shd w:val="clear" w:color="000000" w:fill="FFFFFF"/>
                  <w:noWrap w:val="0"/>
                  <w:vAlign w:val="center"/>
                </w:tcPr>
                <w:p w14:paraId="06F961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37F340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605.28</w:t>
                  </w:r>
                </w:p>
              </w:tc>
              <w:tc>
                <w:tcPr>
                  <w:tcW w:w="524" w:type="pct"/>
                  <w:tcBorders>
                    <w:tl2br w:val="nil"/>
                    <w:tr2bl w:val="nil"/>
                  </w:tcBorders>
                  <w:shd w:val="clear" w:color="000000" w:fill="FFFFFF"/>
                  <w:noWrap w:val="0"/>
                  <w:vAlign w:val="center"/>
                </w:tcPr>
                <w:p w14:paraId="6C165C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104E0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 w:hRule="atLeast"/>
                <w:jc w:val="center"/>
              </w:trPr>
              <w:tc>
                <w:tcPr>
                  <w:tcW w:w="944" w:type="dxa"/>
                  <w:tcBorders>
                    <w:tl2br w:val="nil"/>
                    <w:tr2bl w:val="nil"/>
                  </w:tcBorders>
                  <w:shd w:val="clear" w:color="000000" w:fill="FFFFFF"/>
                  <w:noWrap w:val="0"/>
                  <w:vAlign w:val="center"/>
                </w:tcPr>
                <w:p w14:paraId="2FBAFA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14</w:t>
                  </w:r>
                </w:p>
              </w:tc>
              <w:tc>
                <w:tcPr>
                  <w:tcW w:w="4685" w:type="dxa"/>
                  <w:tcBorders>
                    <w:tl2br w:val="nil"/>
                    <w:tr2bl w:val="nil"/>
                  </w:tcBorders>
                  <w:shd w:val="clear" w:color="000000" w:fill="FFFFFF"/>
                  <w:noWrap w:val="0"/>
                  <w:vAlign w:val="center"/>
                </w:tcPr>
                <w:p w14:paraId="30048E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亲水步道预制路沿石C20砼</w:t>
                  </w:r>
                </w:p>
              </w:tc>
              <w:tc>
                <w:tcPr>
                  <w:tcW w:w="944" w:type="dxa"/>
                  <w:tcBorders>
                    <w:tl2br w:val="nil"/>
                    <w:tr2bl w:val="nil"/>
                  </w:tcBorders>
                  <w:shd w:val="clear" w:color="000000" w:fill="FFFFFF"/>
                  <w:noWrap w:val="0"/>
                  <w:vAlign w:val="center"/>
                </w:tcPr>
                <w:p w14:paraId="35739B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1B1E68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453.96</w:t>
                  </w:r>
                </w:p>
              </w:tc>
              <w:tc>
                <w:tcPr>
                  <w:tcW w:w="524" w:type="pct"/>
                  <w:tcBorders>
                    <w:tl2br w:val="nil"/>
                    <w:tr2bl w:val="nil"/>
                  </w:tcBorders>
                  <w:shd w:val="clear" w:color="000000" w:fill="FFFFFF"/>
                  <w:noWrap w:val="0"/>
                  <w:vAlign w:val="center"/>
                </w:tcPr>
                <w:p w14:paraId="6EA389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7FA10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 w:hRule="atLeast"/>
                <w:jc w:val="center"/>
              </w:trPr>
              <w:tc>
                <w:tcPr>
                  <w:tcW w:w="944" w:type="dxa"/>
                  <w:tcBorders>
                    <w:tl2br w:val="nil"/>
                    <w:tr2bl w:val="nil"/>
                  </w:tcBorders>
                  <w:shd w:val="clear" w:color="000000" w:fill="FFFFFF"/>
                  <w:noWrap w:val="0"/>
                  <w:vAlign w:val="center"/>
                </w:tcPr>
                <w:p w14:paraId="262516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15</w:t>
                  </w:r>
                </w:p>
              </w:tc>
              <w:tc>
                <w:tcPr>
                  <w:tcW w:w="4685" w:type="dxa"/>
                  <w:tcBorders>
                    <w:tl2br w:val="nil"/>
                    <w:tr2bl w:val="nil"/>
                  </w:tcBorders>
                  <w:shd w:val="clear" w:color="000000" w:fill="FFFFFF"/>
                  <w:noWrap w:val="0"/>
                  <w:vAlign w:val="center"/>
                </w:tcPr>
                <w:p w14:paraId="25CDC4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亲水马道警示桩（含铁链）</w:t>
                  </w:r>
                </w:p>
              </w:tc>
              <w:tc>
                <w:tcPr>
                  <w:tcW w:w="944" w:type="dxa"/>
                  <w:tcBorders>
                    <w:tl2br w:val="nil"/>
                    <w:tr2bl w:val="nil"/>
                  </w:tcBorders>
                  <w:shd w:val="clear" w:color="000000" w:fill="FFFFFF"/>
                  <w:noWrap w:val="0"/>
                  <w:vAlign w:val="center"/>
                </w:tcPr>
                <w:p w14:paraId="339656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74CBE1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3783.00</w:t>
                  </w:r>
                </w:p>
              </w:tc>
              <w:tc>
                <w:tcPr>
                  <w:tcW w:w="524" w:type="pct"/>
                  <w:tcBorders>
                    <w:tl2br w:val="nil"/>
                    <w:tr2bl w:val="nil"/>
                  </w:tcBorders>
                  <w:shd w:val="clear" w:color="000000" w:fill="FFFFFF"/>
                  <w:noWrap w:val="0"/>
                  <w:vAlign w:val="center"/>
                </w:tcPr>
                <w:p w14:paraId="4D32287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5E506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 w:hRule="atLeast"/>
                <w:jc w:val="center"/>
              </w:trPr>
              <w:tc>
                <w:tcPr>
                  <w:tcW w:w="944" w:type="dxa"/>
                  <w:tcBorders>
                    <w:tl2br w:val="nil"/>
                    <w:tr2bl w:val="nil"/>
                  </w:tcBorders>
                  <w:shd w:val="clear" w:color="000000" w:fill="FFFFFF"/>
                  <w:noWrap w:val="0"/>
                  <w:vAlign w:val="center"/>
                </w:tcPr>
                <w:p w14:paraId="2C46A5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16</w:t>
                  </w:r>
                </w:p>
              </w:tc>
              <w:tc>
                <w:tcPr>
                  <w:tcW w:w="4685" w:type="dxa"/>
                  <w:tcBorders>
                    <w:tl2br w:val="nil"/>
                    <w:tr2bl w:val="nil"/>
                  </w:tcBorders>
                  <w:shd w:val="clear" w:color="000000" w:fill="FFFFFF"/>
                  <w:noWrap w:val="0"/>
                  <w:vAlign w:val="center"/>
                </w:tcPr>
                <w:p w14:paraId="5D5371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种植土回填</w:t>
                  </w:r>
                </w:p>
              </w:tc>
              <w:tc>
                <w:tcPr>
                  <w:tcW w:w="944" w:type="dxa"/>
                  <w:tcBorders>
                    <w:tl2br w:val="nil"/>
                    <w:tr2bl w:val="nil"/>
                  </w:tcBorders>
                  <w:shd w:val="clear" w:color="000000" w:fill="FFFFFF"/>
                  <w:noWrap w:val="0"/>
                  <w:vAlign w:val="center"/>
                </w:tcPr>
                <w:p w14:paraId="184746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461CAA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4188.14</w:t>
                  </w:r>
                </w:p>
              </w:tc>
              <w:tc>
                <w:tcPr>
                  <w:tcW w:w="524" w:type="pct"/>
                  <w:tcBorders>
                    <w:tl2br w:val="nil"/>
                    <w:tr2bl w:val="nil"/>
                  </w:tcBorders>
                  <w:shd w:val="clear" w:color="000000" w:fill="FFFFFF"/>
                  <w:noWrap w:val="0"/>
                  <w:vAlign w:val="center"/>
                </w:tcPr>
                <w:p w14:paraId="249519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0DABE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jc w:val="center"/>
              </w:trPr>
              <w:tc>
                <w:tcPr>
                  <w:tcW w:w="944" w:type="dxa"/>
                  <w:tcBorders>
                    <w:tl2br w:val="nil"/>
                    <w:tr2bl w:val="nil"/>
                  </w:tcBorders>
                  <w:shd w:val="clear" w:color="000000" w:fill="FFFFFF"/>
                  <w:noWrap w:val="0"/>
                  <w:vAlign w:val="center"/>
                </w:tcPr>
                <w:p w14:paraId="1932EC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17</w:t>
                  </w:r>
                </w:p>
              </w:tc>
              <w:tc>
                <w:tcPr>
                  <w:tcW w:w="4685" w:type="dxa"/>
                  <w:tcBorders>
                    <w:tl2br w:val="nil"/>
                    <w:tr2bl w:val="nil"/>
                  </w:tcBorders>
                  <w:shd w:val="clear" w:color="000000" w:fill="FFFFFF"/>
                  <w:noWrap w:val="0"/>
                  <w:vAlign w:val="center"/>
                </w:tcPr>
                <w:p w14:paraId="59488B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草皮护坡</w:t>
                  </w:r>
                </w:p>
              </w:tc>
              <w:tc>
                <w:tcPr>
                  <w:tcW w:w="944" w:type="dxa"/>
                  <w:tcBorders>
                    <w:tl2br w:val="nil"/>
                    <w:tr2bl w:val="nil"/>
                  </w:tcBorders>
                  <w:shd w:val="clear" w:color="000000" w:fill="FFFFFF"/>
                  <w:noWrap w:val="0"/>
                  <w:vAlign w:val="center"/>
                </w:tcPr>
                <w:p w14:paraId="05C31B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753D61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20940.68</w:t>
                  </w:r>
                </w:p>
              </w:tc>
              <w:tc>
                <w:tcPr>
                  <w:tcW w:w="524" w:type="pct"/>
                  <w:tcBorders>
                    <w:tl2br w:val="nil"/>
                    <w:tr2bl w:val="nil"/>
                  </w:tcBorders>
                  <w:shd w:val="clear" w:color="000000" w:fill="FFFFFF"/>
                  <w:noWrap w:val="0"/>
                  <w:vAlign w:val="center"/>
                </w:tcPr>
                <w:p w14:paraId="1EB151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2FC86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 w:hRule="atLeast"/>
                <w:jc w:val="center"/>
              </w:trPr>
              <w:tc>
                <w:tcPr>
                  <w:tcW w:w="944" w:type="dxa"/>
                  <w:tcBorders>
                    <w:tl2br w:val="nil"/>
                    <w:tr2bl w:val="nil"/>
                  </w:tcBorders>
                  <w:shd w:val="clear" w:color="000000" w:fill="FFFFFF"/>
                  <w:noWrap w:val="0"/>
                  <w:vAlign w:val="center"/>
                </w:tcPr>
                <w:p w14:paraId="2ABB81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18</w:t>
                  </w:r>
                </w:p>
              </w:tc>
              <w:tc>
                <w:tcPr>
                  <w:tcW w:w="4685" w:type="dxa"/>
                  <w:tcBorders>
                    <w:tl2br w:val="nil"/>
                    <w:tr2bl w:val="nil"/>
                  </w:tcBorders>
                  <w:shd w:val="clear" w:color="000000" w:fill="FFFFFF"/>
                  <w:noWrap w:val="0"/>
                  <w:vAlign w:val="center"/>
                </w:tcPr>
                <w:p w14:paraId="70FB97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堤顶路面C20砼 15cm厚</w:t>
                  </w:r>
                </w:p>
              </w:tc>
              <w:tc>
                <w:tcPr>
                  <w:tcW w:w="944" w:type="dxa"/>
                  <w:tcBorders>
                    <w:tl2br w:val="nil"/>
                    <w:tr2bl w:val="nil"/>
                  </w:tcBorders>
                  <w:shd w:val="clear" w:color="000000" w:fill="FFFFFF"/>
                  <w:noWrap w:val="0"/>
                  <w:vAlign w:val="center"/>
                </w:tcPr>
                <w:p w14:paraId="023553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647E96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1814.49</w:t>
                  </w:r>
                </w:p>
              </w:tc>
              <w:tc>
                <w:tcPr>
                  <w:tcW w:w="524" w:type="pct"/>
                  <w:tcBorders>
                    <w:tl2br w:val="nil"/>
                    <w:tr2bl w:val="nil"/>
                  </w:tcBorders>
                  <w:shd w:val="clear" w:color="000000" w:fill="FFFFFF"/>
                  <w:noWrap w:val="0"/>
                  <w:vAlign w:val="center"/>
                </w:tcPr>
                <w:p w14:paraId="1BD4AE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7B488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jc w:val="center"/>
              </w:trPr>
              <w:tc>
                <w:tcPr>
                  <w:tcW w:w="944" w:type="dxa"/>
                  <w:tcBorders>
                    <w:tl2br w:val="nil"/>
                    <w:tr2bl w:val="nil"/>
                  </w:tcBorders>
                  <w:shd w:val="clear" w:color="000000" w:fill="FFFFFF"/>
                  <w:noWrap w:val="0"/>
                  <w:vAlign w:val="center"/>
                </w:tcPr>
                <w:p w14:paraId="47F342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19</w:t>
                  </w:r>
                </w:p>
              </w:tc>
              <w:tc>
                <w:tcPr>
                  <w:tcW w:w="4685" w:type="dxa"/>
                  <w:tcBorders>
                    <w:tl2br w:val="nil"/>
                    <w:tr2bl w:val="nil"/>
                  </w:tcBorders>
                  <w:shd w:val="clear" w:color="000000" w:fill="FFFFFF"/>
                  <w:noWrap w:val="0"/>
                  <w:vAlign w:val="center"/>
                </w:tcPr>
                <w:p w14:paraId="75B7B4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堤顶路面碎石垫层 15cm厚</w:t>
                  </w:r>
                </w:p>
              </w:tc>
              <w:tc>
                <w:tcPr>
                  <w:tcW w:w="944" w:type="dxa"/>
                  <w:tcBorders>
                    <w:tl2br w:val="nil"/>
                    <w:tr2bl w:val="nil"/>
                  </w:tcBorders>
                  <w:shd w:val="clear" w:color="000000" w:fill="FFFFFF"/>
                  <w:noWrap w:val="0"/>
                  <w:vAlign w:val="center"/>
                </w:tcPr>
                <w:p w14:paraId="10652F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43947D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1814.49</w:t>
                  </w:r>
                </w:p>
              </w:tc>
              <w:tc>
                <w:tcPr>
                  <w:tcW w:w="524" w:type="pct"/>
                  <w:tcBorders>
                    <w:tl2br w:val="nil"/>
                    <w:tr2bl w:val="nil"/>
                  </w:tcBorders>
                  <w:shd w:val="clear" w:color="000000" w:fill="FFFFFF"/>
                  <w:noWrap w:val="0"/>
                  <w:vAlign w:val="center"/>
                </w:tcPr>
                <w:p w14:paraId="1EC720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4F66E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3" w:hRule="atLeast"/>
                <w:jc w:val="center"/>
              </w:trPr>
              <w:tc>
                <w:tcPr>
                  <w:tcW w:w="944" w:type="dxa"/>
                  <w:tcBorders>
                    <w:tl2br w:val="nil"/>
                    <w:tr2bl w:val="nil"/>
                  </w:tcBorders>
                  <w:shd w:val="clear" w:color="000000" w:fill="FFFFFF"/>
                  <w:noWrap w:val="0"/>
                  <w:vAlign w:val="center"/>
                </w:tcPr>
                <w:p w14:paraId="1A94AE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20</w:t>
                  </w:r>
                </w:p>
              </w:tc>
              <w:tc>
                <w:tcPr>
                  <w:tcW w:w="4685" w:type="dxa"/>
                  <w:tcBorders>
                    <w:tl2br w:val="nil"/>
                    <w:tr2bl w:val="nil"/>
                  </w:tcBorders>
                  <w:shd w:val="clear" w:color="000000" w:fill="FFFFFF"/>
                  <w:noWrap w:val="0"/>
                  <w:vAlign w:val="center"/>
                </w:tcPr>
                <w:p w14:paraId="6ED912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堤顶路面预制路沿石C20砼</w:t>
                  </w:r>
                </w:p>
              </w:tc>
              <w:tc>
                <w:tcPr>
                  <w:tcW w:w="944" w:type="dxa"/>
                  <w:tcBorders>
                    <w:tl2br w:val="nil"/>
                    <w:tr2bl w:val="nil"/>
                  </w:tcBorders>
                  <w:shd w:val="clear" w:color="000000" w:fill="FFFFFF"/>
                  <w:noWrap w:val="0"/>
                  <w:vAlign w:val="center"/>
                </w:tcPr>
                <w:p w14:paraId="4B1427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690F1A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75.04</w:t>
                  </w:r>
                </w:p>
              </w:tc>
              <w:tc>
                <w:tcPr>
                  <w:tcW w:w="524" w:type="pct"/>
                  <w:tcBorders>
                    <w:tl2br w:val="nil"/>
                    <w:tr2bl w:val="nil"/>
                  </w:tcBorders>
                  <w:shd w:val="clear" w:color="000000" w:fill="FFFFFF"/>
                  <w:noWrap w:val="0"/>
                  <w:vAlign w:val="center"/>
                </w:tcPr>
                <w:p w14:paraId="166C69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73553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jc w:val="center"/>
              </w:trPr>
              <w:tc>
                <w:tcPr>
                  <w:tcW w:w="944" w:type="dxa"/>
                  <w:tcBorders>
                    <w:tl2br w:val="nil"/>
                    <w:tr2bl w:val="nil"/>
                  </w:tcBorders>
                  <w:shd w:val="clear" w:color="000000" w:fill="FFFFFF"/>
                  <w:noWrap w:val="0"/>
                  <w:vAlign w:val="center"/>
                </w:tcPr>
                <w:p w14:paraId="691E27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21</w:t>
                  </w:r>
                </w:p>
              </w:tc>
              <w:tc>
                <w:tcPr>
                  <w:tcW w:w="4685" w:type="dxa"/>
                  <w:tcBorders>
                    <w:tl2br w:val="nil"/>
                    <w:tr2bl w:val="nil"/>
                  </w:tcBorders>
                  <w:shd w:val="clear" w:color="000000" w:fill="FFFFFF"/>
                  <w:noWrap w:val="0"/>
                  <w:vAlign w:val="center"/>
                </w:tcPr>
                <w:p w14:paraId="499E83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堤顶栏杆基础C20砼</w:t>
                  </w:r>
                </w:p>
              </w:tc>
              <w:tc>
                <w:tcPr>
                  <w:tcW w:w="944" w:type="dxa"/>
                  <w:tcBorders>
                    <w:tl2br w:val="nil"/>
                    <w:tr2bl w:val="nil"/>
                  </w:tcBorders>
                  <w:shd w:val="clear" w:color="000000" w:fill="FFFFFF"/>
                  <w:noWrap w:val="0"/>
                  <w:vAlign w:val="center"/>
                </w:tcPr>
                <w:p w14:paraId="393F1D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1CF62B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6.08</w:t>
                  </w:r>
                </w:p>
              </w:tc>
              <w:tc>
                <w:tcPr>
                  <w:tcW w:w="524" w:type="pct"/>
                  <w:tcBorders>
                    <w:tl2br w:val="nil"/>
                    <w:tr2bl w:val="nil"/>
                  </w:tcBorders>
                  <w:shd w:val="clear" w:color="000000" w:fill="FFFFFF"/>
                  <w:noWrap w:val="0"/>
                  <w:vAlign w:val="center"/>
                </w:tcPr>
                <w:p w14:paraId="5E2E3E4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0478B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 w:hRule="atLeast"/>
                <w:jc w:val="center"/>
              </w:trPr>
              <w:tc>
                <w:tcPr>
                  <w:tcW w:w="944" w:type="dxa"/>
                  <w:tcBorders>
                    <w:tl2br w:val="nil"/>
                    <w:tr2bl w:val="nil"/>
                  </w:tcBorders>
                  <w:shd w:val="clear" w:color="000000" w:fill="FFFFFF"/>
                  <w:noWrap w:val="0"/>
                  <w:vAlign w:val="center"/>
                </w:tcPr>
                <w:p w14:paraId="6CD654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22</w:t>
                  </w:r>
                </w:p>
              </w:tc>
              <w:tc>
                <w:tcPr>
                  <w:tcW w:w="4685" w:type="dxa"/>
                  <w:tcBorders>
                    <w:tl2br w:val="nil"/>
                    <w:tr2bl w:val="nil"/>
                  </w:tcBorders>
                  <w:shd w:val="clear" w:color="000000" w:fill="FFFFFF"/>
                  <w:noWrap w:val="0"/>
                  <w:vAlign w:val="center"/>
                </w:tcPr>
                <w:p w14:paraId="5320C9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C20砼仿木栏杆</w:t>
                  </w:r>
                </w:p>
              </w:tc>
              <w:tc>
                <w:tcPr>
                  <w:tcW w:w="944" w:type="dxa"/>
                  <w:tcBorders>
                    <w:tl2br w:val="nil"/>
                    <w:tr2bl w:val="nil"/>
                  </w:tcBorders>
                  <w:shd w:val="clear" w:color="000000" w:fill="FFFFFF"/>
                  <w:noWrap w:val="0"/>
                  <w:vAlign w:val="center"/>
                </w:tcPr>
                <w:p w14:paraId="0AF669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p>
              </w:tc>
              <w:tc>
                <w:tcPr>
                  <w:tcW w:w="1492" w:type="dxa"/>
                  <w:tcBorders>
                    <w:tl2br w:val="nil"/>
                    <w:tr2bl w:val="nil"/>
                  </w:tcBorders>
                  <w:shd w:val="clear" w:color="000000" w:fill="FFFFFF"/>
                  <w:noWrap w:val="0"/>
                  <w:vAlign w:val="center"/>
                </w:tcPr>
                <w:p w14:paraId="7914F3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676.00</w:t>
                  </w:r>
                </w:p>
              </w:tc>
              <w:tc>
                <w:tcPr>
                  <w:tcW w:w="524" w:type="pct"/>
                  <w:tcBorders>
                    <w:tl2br w:val="nil"/>
                    <w:tr2bl w:val="nil"/>
                  </w:tcBorders>
                  <w:shd w:val="clear" w:color="000000" w:fill="FFFFFF"/>
                  <w:noWrap w:val="0"/>
                  <w:vAlign w:val="center"/>
                </w:tcPr>
                <w:p w14:paraId="24B8E1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3484D2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 w:hRule="atLeast"/>
                <w:jc w:val="center"/>
              </w:trPr>
              <w:tc>
                <w:tcPr>
                  <w:tcW w:w="944" w:type="dxa"/>
                  <w:tcBorders>
                    <w:tl2br w:val="nil"/>
                    <w:tr2bl w:val="nil"/>
                  </w:tcBorders>
                  <w:shd w:val="clear" w:color="000000" w:fill="FFFFFF"/>
                  <w:noWrap w:val="0"/>
                  <w:vAlign w:val="center"/>
                </w:tcPr>
                <w:p w14:paraId="5EFBA8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23</w:t>
                  </w:r>
                </w:p>
              </w:tc>
              <w:tc>
                <w:tcPr>
                  <w:tcW w:w="4685" w:type="dxa"/>
                  <w:tcBorders>
                    <w:tl2br w:val="nil"/>
                    <w:tr2bl w:val="nil"/>
                  </w:tcBorders>
                  <w:shd w:val="clear" w:color="000000" w:fill="FFFFFF"/>
                  <w:noWrap w:val="0"/>
                  <w:vAlign w:val="center"/>
                </w:tcPr>
                <w:p w14:paraId="31A2AA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模板制安</w:t>
                  </w:r>
                </w:p>
              </w:tc>
              <w:tc>
                <w:tcPr>
                  <w:tcW w:w="944" w:type="dxa"/>
                  <w:tcBorders>
                    <w:tl2br w:val="nil"/>
                    <w:tr2bl w:val="nil"/>
                  </w:tcBorders>
                  <w:shd w:val="clear" w:color="000000" w:fill="FFFFFF"/>
                  <w:noWrap w:val="0"/>
                  <w:vAlign w:val="center"/>
                </w:tcPr>
                <w:p w14:paraId="2D3C33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1612A4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22986.15</w:t>
                  </w:r>
                </w:p>
              </w:tc>
              <w:tc>
                <w:tcPr>
                  <w:tcW w:w="524" w:type="pct"/>
                  <w:tcBorders>
                    <w:tl2br w:val="nil"/>
                    <w:tr2bl w:val="nil"/>
                  </w:tcBorders>
                  <w:shd w:val="clear" w:color="000000" w:fill="FFFFFF"/>
                  <w:noWrap w:val="0"/>
                  <w:vAlign w:val="center"/>
                </w:tcPr>
                <w:p w14:paraId="4D1DD0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7191B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 w:hRule="atLeast"/>
                <w:jc w:val="center"/>
              </w:trPr>
              <w:tc>
                <w:tcPr>
                  <w:tcW w:w="944" w:type="dxa"/>
                  <w:tcBorders>
                    <w:tl2br w:val="nil"/>
                    <w:tr2bl w:val="nil"/>
                  </w:tcBorders>
                  <w:shd w:val="clear" w:color="000000" w:fill="FFFFFF"/>
                  <w:noWrap w:val="0"/>
                  <w:vAlign w:val="center"/>
                </w:tcPr>
                <w:p w14:paraId="521207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24</w:t>
                  </w:r>
                </w:p>
              </w:tc>
              <w:tc>
                <w:tcPr>
                  <w:tcW w:w="4685" w:type="dxa"/>
                  <w:tcBorders>
                    <w:tl2br w:val="nil"/>
                    <w:tr2bl w:val="nil"/>
                  </w:tcBorders>
                  <w:shd w:val="clear" w:color="000000" w:fill="FFFFFF"/>
                  <w:noWrap w:val="0"/>
                  <w:vAlign w:val="center"/>
                </w:tcPr>
                <w:p w14:paraId="28ACC6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聚乙烯泡沫板分缝 2cm厚</w:t>
                  </w:r>
                </w:p>
              </w:tc>
              <w:tc>
                <w:tcPr>
                  <w:tcW w:w="944" w:type="dxa"/>
                  <w:tcBorders>
                    <w:tl2br w:val="nil"/>
                    <w:tr2bl w:val="nil"/>
                  </w:tcBorders>
                  <w:shd w:val="clear" w:color="000000" w:fill="FFFFFF"/>
                  <w:noWrap w:val="0"/>
                  <w:vAlign w:val="center"/>
                </w:tcPr>
                <w:p w14:paraId="4BF70B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3AF311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849.90</w:t>
                  </w:r>
                </w:p>
              </w:tc>
              <w:tc>
                <w:tcPr>
                  <w:tcW w:w="524" w:type="pct"/>
                  <w:tcBorders>
                    <w:tl2br w:val="nil"/>
                    <w:tr2bl w:val="nil"/>
                  </w:tcBorders>
                  <w:shd w:val="clear" w:color="000000" w:fill="FFFFFF"/>
                  <w:noWrap w:val="0"/>
                  <w:vAlign w:val="center"/>
                </w:tcPr>
                <w:p w14:paraId="6676B6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5D2FB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 w:hRule="atLeast"/>
                <w:jc w:val="center"/>
              </w:trPr>
              <w:tc>
                <w:tcPr>
                  <w:tcW w:w="944" w:type="dxa"/>
                  <w:tcBorders>
                    <w:tl2br w:val="nil"/>
                    <w:tr2bl w:val="nil"/>
                  </w:tcBorders>
                  <w:shd w:val="clear" w:color="000000" w:fill="FFFFFF"/>
                  <w:noWrap w:val="0"/>
                  <w:vAlign w:val="center"/>
                </w:tcPr>
                <w:p w14:paraId="2DD879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25</w:t>
                  </w:r>
                </w:p>
              </w:tc>
              <w:tc>
                <w:tcPr>
                  <w:tcW w:w="4685" w:type="dxa"/>
                  <w:tcBorders>
                    <w:tl2br w:val="nil"/>
                    <w:tr2bl w:val="nil"/>
                  </w:tcBorders>
                  <w:shd w:val="clear" w:color="000000" w:fill="FFFFFF"/>
                  <w:noWrap w:val="0"/>
                  <w:vAlign w:val="center"/>
                </w:tcPr>
                <w:p w14:paraId="253B06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岸坡清理</w:t>
                  </w:r>
                </w:p>
              </w:tc>
              <w:tc>
                <w:tcPr>
                  <w:tcW w:w="944" w:type="dxa"/>
                  <w:tcBorders>
                    <w:tl2br w:val="nil"/>
                    <w:tr2bl w:val="nil"/>
                  </w:tcBorders>
                  <w:shd w:val="clear" w:color="000000" w:fill="FFFFFF"/>
                  <w:noWrap w:val="0"/>
                  <w:vAlign w:val="center"/>
                </w:tcPr>
                <w:p w14:paraId="073B99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39AB63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43440.00</w:t>
                  </w:r>
                </w:p>
              </w:tc>
              <w:tc>
                <w:tcPr>
                  <w:tcW w:w="524" w:type="pct"/>
                  <w:tcBorders>
                    <w:tl2br w:val="nil"/>
                    <w:tr2bl w:val="nil"/>
                  </w:tcBorders>
                  <w:shd w:val="clear" w:color="000000" w:fill="FFFFFF"/>
                  <w:noWrap w:val="0"/>
                  <w:vAlign w:val="center"/>
                </w:tcPr>
                <w:p w14:paraId="1FCDE8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18C43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 w:hRule="atLeast"/>
                <w:jc w:val="center"/>
              </w:trPr>
              <w:tc>
                <w:tcPr>
                  <w:tcW w:w="944" w:type="dxa"/>
                  <w:tcBorders>
                    <w:tl2br w:val="nil"/>
                    <w:tr2bl w:val="nil"/>
                  </w:tcBorders>
                  <w:shd w:val="clear" w:color="000000" w:fill="FFFFFF"/>
                  <w:noWrap w:val="0"/>
                  <w:vAlign w:val="center"/>
                </w:tcPr>
                <w:p w14:paraId="18FFA9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26</w:t>
                  </w:r>
                </w:p>
              </w:tc>
              <w:tc>
                <w:tcPr>
                  <w:tcW w:w="4685" w:type="dxa"/>
                  <w:tcBorders>
                    <w:tl2br w:val="nil"/>
                    <w:tr2bl w:val="nil"/>
                  </w:tcBorders>
                  <w:shd w:val="clear" w:color="000000" w:fill="FFFFFF"/>
                  <w:noWrap w:val="0"/>
                  <w:vAlign w:val="center"/>
                </w:tcPr>
                <w:p w14:paraId="062F40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Φ600 II级钢筋砼管涵</w:t>
                  </w:r>
                </w:p>
              </w:tc>
              <w:tc>
                <w:tcPr>
                  <w:tcW w:w="944" w:type="dxa"/>
                  <w:tcBorders>
                    <w:tl2br w:val="nil"/>
                    <w:tr2bl w:val="nil"/>
                  </w:tcBorders>
                  <w:shd w:val="clear" w:color="000000" w:fill="FFFFFF"/>
                  <w:noWrap w:val="0"/>
                  <w:vAlign w:val="center"/>
                </w:tcPr>
                <w:p w14:paraId="1A0D22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p>
              </w:tc>
              <w:tc>
                <w:tcPr>
                  <w:tcW w:w="1492" w:type="dxa"/>
                  <w:tcBorders>
                    <w:tl2br w:val="nil"/>
                    <w:tr2bl w:val="nil"/>
                  </w:tcBorders>
                  <w:shd w:val="clear" w:color="000000" w:fill="FFFFFF"/>
                  <w:noWrap w:val="0"/>
                  <w:vAlign w:val="center"/>
                </w:tcPr>
                <w:p w14:paraId="363554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90.00</w:t>
                  </w:r>
                </w:p>
              </w:tc>
              <w:tc>
                <w:tcPr>
                  <w:tcW w:w="524" w:type="pct"/>
                  <w:tcBorders>
                    <w:tl2br w:val="nil"/>
                    <w:tr2bl w:val="nil"/>
                  </w:tcBorders>
                  <w:shd w:val="clear" w:color="000000" w:fill="FFFFFF"/>
                  <w:noWrap w:val="0"/>
                  <w:vAlign w:val="center"/>
                </w:tcPr>
                <w:p w14:paraId="342AEA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4BEB9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 w:hRule="atLeast"/>
                <w:jc w:val="center"/>
              </w:trPr>
              <w:tc>
                <w:tcPr>
                  <w:tcW w:w="944" w:type="dxa"/>
                  <w:tcBorders>
                    <w:tl2br w:val="nil"/>
                    <w:tr2bl w:val="nil"/>
                  </w:tcBorders>
                  <w:shd w:val="clear" w:color="000000" w:fill="FFFFFF"/>
                  <w:noWrap w:val="0"/>
                  <w:vAlign w:val="center"/>
                </w:tcPr>
                <w:p w14:paraId="59A133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27</w:t>
                  </w:r>
                </w:p>
              </w:tc>
              <w:tc>
                <w:tcPr>
                  <w:tcW w:w="4685" w:type="dxa"/>
                  <w:tcBorders>
                    <w:tl2br w:val="nil"/>
                    <w:tr2bl w:val="nil"/>
                  </w:tcBorders>
                  <w:shd w:val="clear" w:color="000000" w:fill="FFFFFF"/>
                  <w:noWrap w:val="0"/>
                  <w:vAlign w:val="center"/>
                </w:tcPr>
                <w:p w14:paraId="6C022D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钢筋制安</w:t>
                  </w:r>
                </w:p>
              </w:tc>
              <w:tc>
                <w:tcPr>
                  <w:tcW w:w="944" w:type="dxa"/>
                  <w:tcBorders>
                    <w:tl2br w:val="nil"/>
                    <w:tr2bl w:val="nil"/>
                  </w:tcBorders>
                  <w:shd w:val="clear" w:color="000000" w:fill="FFFFFF"/>
                  <w:noWrap w:val="0"/>
                  <w:vAlign w:val="center"/>
                </w:tcPr>
                <w:p w14:paraId="240F6A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t</w:t>
                  </w:r>
                </w:p>
              </w:tc>
              <w:tc>
                <w:tcPr>
                  <w:tcW w:w="1492" w:type="dxa"/>
                  <w:tcBorders>
                    <w:tl2br w:val="nil"/>
                    <w:tr2bl w:val="nil"/>
                  </w:tcBorders>
                  <w:shd w:val="clear" w:color="000000" w:fill="FFFFFF"/>
                  <w:noWrap w:val="0"/>
                  <w:vAlign w:val="center"/>
                </w:tcPr>
                <w:p w14:paraId="1C093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19.22</w:t>
                  </w:r>
                </w:p>
              </w:tc>
              <w:tc>
                <w:tcPr>
                  <w:tcW w:w="524" w:type="pct"/>
                  <w:tcBorders>
                    <w:tl2br w:val="nil"/>
                    <w:tr2bl w:val="nil"/>
                  </w:tcBorders>
                  <w:shd w:val="clear" w:color="000000" w:fill="FFFFFF"/>
                  <w:noWrap w:val="0"/>
                  <w:vAlign w:val="center"/>
                </w:tcPr>
                <w:p w14:paraId="6BC0F9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4B356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944" w:type="dxa"/>
                  <w:tcBorders>
                    <w:tl2br w:val="nil"/>
                    <w:tr2bl w:val="nil"/>
                  </w:tcBorders>
                  <w:shd w:val="clear" w:color="000000" w:fill="FFFFFF"/>
                  <w:noWrap w:val="0"/>
                  <w:vAlign w:val="center"/>
                </w:tcPr>
                <w:p w14:paraId="22B303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28</w:t>
                  </w:r>
                </w:p>
              </w:tc>
              <w:tc>
                <w:tcPr>
                  <w:tcW w:w="4685" w:type="dxa"/>
                  <w:tcBorders>
                    <w:tl2br w:val="nil"/>
                    <w:tr2bl w:val="nil"/>
                  </w:tcBorders>
                  <w:shd w:val="clear" w:color="000000" w:fill="FFFFFF"/>
                  <w:noWrap w:val="0"/>
                  <w:vAlign w:val="center"/>
                </w:tcPr>
                <w:p w14:paraId="090713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河道疏浚</w:t>
                  </w:r>
                </w:p>
              </w:tc>
              <w:tc>
                <w:tcPr>
                  <w:tcW w:w="944" w:type="dxa"/>
                  <w:tcBorders>
                    <w:tl2br w:val="nil"/>
                    <w:tr2bl w:val="nil"/>
                  </w:tcBorders>
                  <w:shd w:val="clear" w:color="000000" w:fill="FFFFFF"/>
                  <w:noWrap w:val="0"/>
                  <w:vAlign w:val="center"/>
                </w:tcPr>
                <w:p w14:paraId="6D7864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382380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20500</w:t>
                  </w:r>
                  <w:r>
                    <w:rPr>
                      <w:rFonts w:hint="eastAsia" w:ascii="Times New Roman" w:hAnsi="Times New Roman" w:eastAsia="宋体" w:cs="宋体"/>
                      <w:i w:val="0"/>
                      <w:iCs w:val="0"/>
                      <w:color w:val="auto"/>
                      <w:kern w:val="0"/>
                      <w:sz w:val="21"/>
                      <w:szCs w:val="21"/>
                      <w:highlight w:val="none"/>
                      <w:u w:val="none"/>
                      <w:lang w:val="en-US" w:eastAsia="zh-CN" w:bidi="ar"/>
                    </w:rPr>
                    <w:t>.00</w:t>
                  </w:r>
                </w:p>
              </w:tc>
              <w:tc>
                <w:tcPr>
                  <w:tcW w:w="524" w:type="pct"/>
                  <w:tcBorders>
                    <w:tl2br w:val="nil"/>
                    <w:tr2bl w:val="nil"/>
                  </w:tcBorders>
                  <w:shd w:val="clear" w:color="000000" w:fill="FFFFFF"/>
                  <w:noWrap w:val="0"/>
                  <w:vAlign w:val="center"/>
                </w:tcPr>
                <w:p w14:paraId="350BCB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265CF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 w:hRule="atLeast"/>
                <w:jc w:val="center"/>
              </w:trPr>
              <w:tc>
                <w:tcPr>
                  <w:tcW w:w="944" w:type="dxa"/>
                  <w:tcBorders>
                    <w:tl2br w:val="nil"/>
                    <w:tr2bl w:val="nil"/>
                  </w:tcBorders>
                  <w:shd w:val="clear" w:color="000000" w:fill="FFFFFF"/>
                  <w:noWrap w:val="0"/>
                  <w:vAlign w:val="center"/>
                </w:tcPr>
                <w:p w14:paraId="0F4C69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(二)</w:t>
                  </w:r>
                </w:p>
              </w:tc>
              <w:tc>
                <w:tcPr>
                  <w:tcW w:w="4685" w:type="dxa"/>
                  <w:tcBorders>
                    <w:tl2br w:val="nil"/>
                    <w:tr2bl w:val="nil"/>
                  </w:tcBorders>
                  <w:shd w:val="clear" w:color="000000" w:fill="FFFFFF"/>
                  <w:noWrap w:val="0"/>
                  <w:vAlign w:val="center"/>
                </w:tcPr>
                <w:p w14:paraId="321BEF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清河支沟</w:t>
                  </w:r>
                </w:p>
              </w:tc>
              <w:tc>
                <w:tcPr>
                  <w:tcW w:w="944" w:type="dxa"/>
                  <w:tcBorders>
                    <w:tl2br w:val="nil"/>
                    <w:tr2bl w:val="nil"/>
                  </w:tcBorders>
                  <w:shd w:val="clear" w:color="000000" w:fill="FFFFFF"/>
                  <w:noWrap w:val="0"/>
                  <w:vAlign w:val="center"/>
                </w:tcPr>
                <w:p w14:paraId="382E03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c>
                <w:tcPr>
                  <w:tcW w:w="1492" w:type="dxa"/>
                  <w:tcBorders>
                    <w:tl2br w:val="nil"/>
                    <w:tr2bl w:val="nil"/>
                  </w:tcBorders>
                  <w:shd w:val="clear" w:color="000000" w:fill="FFFFFF"/>
                  <w:noWrap w:val="0"/>
                  <w:vAlign w:val="center"/>
                </w:tcPr>
                <w:p w14:paraId="7D5530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c>
                <w:tcPr>
                  <w:tcW w:w="524" w:type="pct"/>
                  <w:tcBorders>
                    <w:tl2br w:val="nil"/>
                    <w:tr2bl w:val="nil"/>
                  </w:tcBorders>
                  <w:shd w:val="clear" w:color="000000" w:fill="FFFFFF"/>
                  <w:noWrap w:val="0"/>
                  <w:vAlign w:val="center"/>
                </w:tcPr>
                <w:p w14:paraId="220267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74DA0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944" w:type="dxa"/>
                  <w:tcBorders>
                    <w:tl2br w:val="nil"/>
                    <w:tr2bl w:val="nil"/>
                  </w:tcBorders>
                  <w:shd w:val="clear" w:color="000000" w:fill="FFFFFF"/>
                  <w:noWrap w:val="0"/>
                  <w:vAlign w:val="center"/>
                </w:tcPr>
                <w:p w14:paraId="527C89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w:t>
                  </w:r>
                </w:p>
              </w:tc>
              <w:tc>
                <w:tcPr>
                  <w:tcW w:w="4685" w:type="dxa"/>
                  <w:tcBorders>
                    <w:tl2br w:val="nil"/>
                    <w:tr2bl w:val="nil"/>
                  </w:tcBorders>
                  <w:shd w:val="clear" w:color="000000" w:fill="FFFFFF"/>
                  <w:noWrap w:val="0"/>
                  <w:vAlign w:val="center"/>
                </w:tcPr>
                <w:p w14:paraId="15371C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土方开挖</w:t>
                  </w:r>
                </w:p>
              </w:tc>
              <w:tc>
                <w:tcPr>
                  <w:tcW w:w="944" w:type="dxa"/>
                  <w:tcBorders>
                    <w:tl2br w:val="nil"/>
                    <w:tr2bl w:val="nil"/>
                  </w:tcBorders>
                  <w:shd w:val="clear" w:color="000000" w:fill="FFFFFF"/>
                  <w:noWrap w:val="0"/>
                  <w:vAlign w:val="center"/>
                </w:tcPr>
                <w:p w14:paraId="5DEF18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5CE23F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2737.14</w:t>
                  </w:r>
                </w:p>
              </w:tc>
              <w:tc>
                <w:tcPr>
                  <w:tcW w:w="524" w:type="pct"/>
                  <w:tcBorders>
                    <w:tl2br w:val="nil"/>
                    <w:tr2bl w:val="nil"/>
                  </w:tcBorders>
                  <w:shd w:val="clear" w:color="000000" w:fill="FFFFFF"/>
                  <w:noWrap w:val="0"/>
                  <w:vAlign w:val="center"/>
                </w:tcPr>
                <w:p w14:paraId="298E99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68E22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jc w:val="center"/>
              </w:trPr>
              <w:tc>
                <w:tcPr>
                  <w:tcW w:w="944" w:type="dxa"/>
                  <w:tcBorders>
                    <w:tl2br w:val="nil"/>
                    <w:tr2bl w:val="nil"/>
                  </w:tcBorders>
                  <w:shd w:val="clear" w:color="000000" w:fill="FFFFFF"/>
                  <w:noWrap w:val="0"/>
                  <w:vAlign w:val="center"/>
                </w:tcPr>
                <w:p w14:paraId="1342B8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w:t>
                  </w:r>
                </w:p>
              </w:tc>
              <w:tc>
                <w:tcPr>
                  <w:tcW w:w="4685" w:type="dxa"/>
                  <w:tcBorders>
                    <w:tl2br w:val="nil"/>
                    <w:tr2bl w:val="nil"/>
                  </w:tcBorders>
                  <w:shd w:val="clear" w:color="000000" w:fill="FFFFFF"/>
                  <w:noWrap w:val="0"/>
                  <w:vAlign w:val="center"/>
                </w:tcPr>
                <w:p w14:paraId="440F38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表土剥离</w:t>
                  </w:r>
                </w:p>
              </w:tc>
              <w:tc>
                <w:tcPr>
                  <w:tcW w:w="944" w:type="dxa"/>
                  <w:tcBorders>
                    <w:tl2br w:val="nil"/>
                    <w:tr2bl w:val="nil"/>
                  </w:tcBorders>
                  <w:shd w:val="clear" w:color="000000" w:fill="FFFFFF"/>
                  <w:noWrap w:val="0"/>
                  <w:vAlign w:val="center"/>
                </w:tcPr>
                <w:p w14:paraId="5B31EF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61299A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1960.00</w:t>
                  </w:r>
                </w:p>
              </w:tc>
              <w:tc>
                <w:tcPr>
                  <w:tcW w:w="524" w:type="pct"/>
                  <w:tcBorders>
                    <w:tl2br w:val="nil"/>
                    <w:tr2bl w:val="nil"/>
                  </w:tcBorders>
                  <w:shd w:val="clear" w:color="000000" w:fill="FFFFFF"/>
                  <w:noWrap w:val="0"/>
                  <w:vAlign w:val="center"/>
                </w:tcPr>
                <w:p w14:paraId="21DD12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707C5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44" w:type="dxa"/>
                  <w:tcBorders>
                    <w:tl2br w:val="nil"/>
                    <w:tr2bl w:val="nil"/>
                  </w:tcBorders>
                  <w:shd w:val="clear" w:color="000000" w:fill="FFFFFF"/>
                  <w:noWrap w:val="0"/>
                  <w:vAlign w:val="center"/>
                </w:tcPr>
                <w:p w14:paraId="5B19C3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3</w:t>
                  </w:r>
                </w:p>
              </w:tc>
              <w:tc>
                <w:tcPr>
                  <w:tcW w:w="4685" w:type="dxa"/>
                  <w:tcBorders>
                    <w:tl2br w:val="nil"/>
                    <w:tr2bl w:val="nil"/>
                  </w:tcBorders>
                  <w:shd w:val="clear" w:color="000000" w:fill="FFFFFF"/>
                  <w:noWrap w:val="0"/>
                  <w:vAlign w:val="center"/>
                </w:tcPr>
                <w:p w14:paraId="2D2BC6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石方开挖</w:t>
                  </w:r>
                </w:p>
              </w:tc>
              <w:tc>
                <w:tcPr>
                  <w:tcW w:w="944" w:type="dxa"/>
                  <w:tcBorders>
                    <w:tl2br w:val="nil"/>
                    <w:tr2bl w:val="nil"/>
                  </w:tcBorders>
                  <w:shd w:val="clear" w:color="000000" w:fill="FFFFFF"/>
                  <w:noWrap w:val="0"/>
                  <w:vAlign w:val="center"/>
                </w:tcPr>
                <w:p w14:paraId="40DE6E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28D301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144.06</w:t>
                  </w:r>
                </w:p>
              </w:tc>
              <w:tc>
                <w:tcPr>
                  <w:tcW w:w="524" w:type="pct"/>
                  <w:tcBorders>
                    <w:tl2br w:val="nil"/>
                    <w:tr2bl w:val="nil"/>
                  </w:tcBorders>
                  <w:shd w:val="clear" w:color="000000" w:fill="FFFFFF"/>
                  <w:noWrap w:val="0"/>
                  <w:vAlign w:val="center"/>
                </w:tcPr>
                <w:p w14:paraId="4AAAFD6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2E476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44" w:type="dxa"/>
                  <w:tcBorders>
                    <w:tl2br w:val="nil"/>
                    <w:tr2bl w:val="nil"/>
                  </w:tcBorders>
                  <w:shd w:val="clear" w:color="000000" w:fill="FFFFFF"/>
                  <w:noWrap w:val="0"/>
                  <w:vAlign w:val="center"/>
                </w:tcPr>
                <w:p w14:paraId="3C6AD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4</w:t>
                  </w:r>
                </w:p>
              </w:tc>
              <w:tc>
                <w:tcPr>
                  <w:tcW w:w="4685" w:type="dxa"/>
                  <w:tcBorders>
                    <w:tl2br w:val="nil"/>
                    <w:tr2bl w:val="nil"/>
                  </w:tcBorders>
                  <w:shd w:val="clear" w:color="000000" w:fill="FFFFFF"/>
                  <w:noWrap w:val="0"/>
                  <w:vAlign w:val="center"/>
                </w:tcPr>
                <w:p w14:paraId="738638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土石方回填</w:t>
                  </w:r>
                </w:p>
              </w:tc>
              <w:tc>
                <w:tcPr>
                  <w:tcW w:w="944" w:type="dxa"/>
                  <w:tcBorders>
                    <w:tl2br w:val="nil"/>
                    <w:tr2bl w:val="nil"/>
                  </w:tcBorders>
                  <w:shd w:val="clear" w:color="000000" w:fill="FFFFFF"/>
                  <w:noWrap w:val="0"/>
                  <w:vAlign w:val="center"/>
                </w:tcPr>
                <w:p w14:paraId="7EFD1F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103ABE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6007.40</w:t>
                  </w:r>
                </w:p>
              </w:tc>
              <w:tc>
                <w:tcPr>
                  <w:tcW w:w="524" w:type="pct"/>
                  <w:tcBorders>
                    <w:tl2br w:val="nil"/>
                    <w:tr2bl w:val="nil"/>
                  </w:tcBorders>
                  <w:shd w:val="clear" w:color="000000" w:fill="FFFFFF"/>
                  <w:noWrap w:val="0"/>
                  <w:vAlign w:val="center"/>
                </w:tcPr>
                <w:p w14:paraId="60F4C3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75BDD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44" w:type="dxa"/>
                  <w:tcBorders>
                    <w:tl2br w:val="nil"/>
                    <w:tr2bl w:val="nil"/>
                  </w:tcBorders>
                  <w:shd w:val="clear" w:color="000000" w:fill="FFFFFF"/>
                  <w:noWrap w:val="0"/>
                  <w:vAlign w:val="center"/>
                </w:tcPr>
                <w:p w14:paraId="5F4E2E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5</w:t>
                  </w:r>
                </w:p>
              </w:tc>
              <w:tc>
                <w:tcPr>
                  <w:tcW w:w="4685" w:type="dxa"/>
                  <w:tcBorders>
                    <w:tl2br w:val="nil"/>
                    <w:tr2bl w:val="nil"/>
                  </w:tcBorders>
                  <w:shd w:val="clear" w:color="000000" w:fill="FFFFFF"/>
                  <w:noWrap w:val="0"/>
                  <w:vAlign w:val="center"/>
                </w:tcPr>
                <w:p w14:paraId="613787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块石护脚</w:t>
                  </w:r>
                </w:p>
              </w:tc>
              <w:tc>
                <w:tcPr>
                  <w:tcW w:w="944" w:type="dxa"/>
                  <w:tcBorders>
                    <w:tl2br w:val="nil"/>
                    <w:tr2bl w:val="nil"/>
                  </w:tcBorders>
                  <w:shd w:val="clear" w:color="000000" w:fill="FFFFFF"/>
                  <w:noWrap w:val="0"/>
                  <w:vAlign w:val="center"/>
                </w:tcPr>
                <w:p w14:paraId="6E5DBC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412339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243.04</w:t>
                  </w:r>
                </w:p>
              </w:tc>
              <w:tc>
                <w:tcPr>
                  <w:tcW w:w="524" w:type="pct"/>
                  <w:tcBorders>
                    <w:tl2br w:val="nil"/>
                    <w:tr2bl w:val="nil"/>
                  </w:tcBorders>
                  <w:shd w:val="clear" w:color="000000" w:fill="FFFFFF"/>
                  <w:noWrap w:val="0"/>
                  <w:vAlign w:val="center"/>
                </w:tcPr>
                <w:p w14:paraId="149A59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37404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 w:hRule="atLeast"/>
                <w:jc w:val="center"/>
              </w:trPr>
              <w:tc>
                <w:tcPr>
                  <w:tcW w:w="944" w:type="dxa"/>
                  <w:tcBorders>
                    <w:tl2br w:val="nil"/>
                    <w:tr2bl w:val="nil"/>
                  </w:tcBorders>
                  <w:shd w:val="clear" w:color="000000" w:fill="FFFFFF"/>
                  <w:noWrap w:val="0"/>
                  <w:vAlign w:val="center"/>
                </w:tcPr>
                <w:p w14:paraId="1BF6A1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6</w:t>
                  </w:r>
                </w:p>
              </w:tc>
              <w:tc>
                <w:tcPr>
                  <w:tcW w:w="4685" w:type="dxa"/>
                  <w:tcBorders>
                    <w:tl2br w:val="nil"/>
                    <w:tr2bl w:val="nil"/>
                  </w:tcBorders>
                  <w:shd w:val="clear" w:color="000000" w:fill="FFFFFF"/>
                  <w:noWrap w:val="0"/>
                  <w:vAlign w:val="center"/>
                </w:tcPr>
                <w:p w14:paraId="3DB123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块石碾压基础</w:t>
                  </w:r>
                </w:p>
              </w:tc>
              <w:tc>
                <w:tcPr>
                  <w:tcW w:w="944" w:type="dxa"/>
                  <w:tcBorders>
                    <w:tl2br w:val="nil"/>
                    <w:tr2bl w:val="nil"/>
                  </w:tcBorders>
                  <w:shd w:val="clear" w:color="000000" w:fill="FFFFFF"/>
                  <w:noWrap w:val="0"/>
                  <w:vAlign w:val="center"/>
                </w:tcPr>
                <w:p w14:paraId="37D59C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1862DD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229.32</w:t>
                  </w:r>
                </w:p>
              </w:tc>
              <w:tc>
                <w:tcPr>
                  <w:tcW w:w="524" w:type="pct"/>
                  <w:tcBorders>
                    <w:tl2br w:val="nil"/>
                    <w:tr2bl w:val="nil"/>
                  </w:tcBorders>
                  <w:shd w:val="clear" w:color="000000" w:fill="FFFFFF"/>
                  <w:noWrap w:val="0"/>
                  <w:vAlign w:val="center"/>
                </w:tcPr>
                <w:p w14:paraId="793AEC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008A6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jc w:val="center"/>
              </w:trPr>
              <w:tc>
                <w:tcPr>
                  <w:tcW w:w="944" w:type="dxa"/>
                  <w:tcBorders>
                    <w:tl2br w:val="nil"/>
                    <w:tr2bl w:val="nil"/>
                  </w:tcBorders>
                  <w:shd w:val="clear" w:color="000000" w:fill="FFFFFF"/>
                  <w:noWrap w:val="0"/>
                  <w:vAlign w:val="center"/>
                </w:tcPr>
                <w:p w14:paraId="7CE0CA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7</w:t>
                  </w:r>
                </w:p>
              </w:tc>
              <w:tc>
                <w:tcPr>
                  <w:tcW w:w="4685" w:type="dxa"/>
                  <w:tcBorders>
                    <w:tl2br w:val="nil"/>
                    <w:tr2bl w:val="nil"/>
                  </w:tcBorders>
                  <w:shd w:val="clear" w:color="000000" w:fill="FFFFFF"/>
                  <w:noWrap w:val="0"/>
                  <w:vAlign w:val="center"/>
                </w:tcPr>
                <w:p w14:paraId="7C2D1A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镇脚C20砼</w:t>
                  </w:r>
                </w:p>
              </w:tc>
              <w:tc>
                <w:tcPr>
                  <w:tcW w:w="944" w:type="dxa"/>
                  <w:tcBorders>
                    <w:tl2br w:val="nil"/>
                    <w:tr2bl w:val="nil"/>
                  </w:tcBorders>
                  <w:shd w:val="clear" w:color="000000" w:fill="FFFFFF"/>
                  <w:noWrap w:val="0"/>
                  <w:vAlign w:val="center"/>
                </w:tcPr>
                <w:p w14:paraId="7A7439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32E8F2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282.24</w:t>
                  </w:r>
                </w:p>
              </w:tc>
              <w:tc>
                <w:tcPr>
                  <w:tcW w:w="524" w:type="pct"/>
                  <w:tcBorders>
                    <w:tl2br w:val="nil"/>
                    <w:tr2bl w:val="nil"/>
                  </w:tcBorders>
                  <w:shd w:val="clear" w:color="000000" w:fill="FFFFFF"/>
                  <w:noWrap w:val="0"/>
                  <w:vAlign w:val="center"/>
                </w:tcPr>
                <w:p w14:paraId="503C36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7E713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 w:hRule="atLeast"/>
                <w:jc w:val="center"/>
              </w:trPr>
              <w:tc>
                <w:tcPr>
                  <w:tcW w:w="944" w:type="dxa"/>
                  <w:tcBorders>
                    <w:tl2br w:val="nil"/>
                    <w:tr2bl w:val="nil"/>
                  </w:tcBorders>
                  <w:shd w:val="clear" w:color="000000" w:fill="FFFFFF"/>
                  <w:noWrap w:val="0"/>
                  <w:vAlign w:val="center"/>
                </w:tcPr>
                <w:p w14:paraId="73CE54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8</w:t>
                  </w:r>
                </w:p>
              </w:tc>
              <w:tc>
                <w:tcPr>
                  <w:tcW w:w="4685" w:type="dxa"/>
                  <w:tcBorders>
                    <w:tl2br w:val="nil"/>
                    <w:tr2bl w:val="nil"/>
                  </w:tcBorders>
                  <w:shd w:val="clear" w:color="000000" w:fill="FFFFFF"/>
                  <w:noWrap w:val="0"/>
                  <w:vAlign w:val="center"/>
                </w:tcPr>
                <w:p w14:paraId="6CC77C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C25钢筋砼框格梁</w:t>
                  </w:r>
                </w:p>
              </w:tc>
              <w:tc>
                <w:tcPr>
                  <w:tcW w:w="944" w:type="dxa"/>
                  <w:tcBorders>
                    <w:tl2br w:val="nil"/>
                    <w:tr2bl w:val="nil"/>
                  </w:tcBorders>
                  <w:shd w:val="clear" w:color="000000" w:fill="FFFFFF"/>
                  <w:noWrap w:val="0"/>
                  <w:vAlign w:val="center"/>
                </w:tcPr>
                <w:p w14:paraId="399B3C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1F9256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16.98</w:t>
                  </w:r>
                </w:p>
              </w:tc>
              <w:tc>
                <w:tcPr>
                  <w:tcW w:w="524" w:type="pct"/>
                  <w:tcBorders>
                    <w:tl2br w:val="nil"/>
                    <w:tr2bl w:val="nil"/>
                  </w:tcBorders>
                  <w:shd w:val="clear" w:color="000000" w:fill="FFFFFF"/>
                  <w:noWrap w:val="0"/>
                  <w:vAlign w:val="center"/>
                </w:tcPr>
                <w:p w14:paraId="70EF5C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02762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2" w:hRule="atLeast"/>
                <w:jc w:val="center"/>
              </w:trPr>
              <w:tc>
                <w:tcPr>
                  <w:tcW w:w="944" w:type="dxa"/>
                  <w:tcBorders>
                    <w:tl2br w:val="nil"/>
                    <w:tr2bl w:val="nil"/>
                  </w:tcBorders>
                  <w:shd w:val="clear" w:color="000000" w:fill="FFFFFF"/>
                  <w:noWrap w:val="0"/>
                  <w:vAlign w:val="center"/>
                </w:tcPr>
                <w:p w14:paraId="0E59B6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9</w:t>
                  </w:r>
                </w:p>
              </w:tc>
              <w:tc>
                <w:tcPr>
                  <w:tcW w:w="4685" w:type="dxa"/>
                  <w:tcBorders>
                    <w:tl2br w:val="nil"/>
                    <w:tr2bl w:val="nil"/>
                  </w:tcBorders>
                  <w:shd w:val="clear" w:color="000000" w:fill="FFFFFF"/>
                  <w:noWrap w:val="0"/>
                  <w:vAlign w:val="center"/>
                </w:tcPr>
                <w:p w14:paraId="24BEB1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C20砼预制空心六棱块护坡</w:t>
                  </w:r>
                </w:p>
              </w:tc>
              <w:tc>
                <w:tcPr>
                  <w:tcW w:w="944" w:type="dxa"/>
                  <w:tcBorders>
                    <w:tl2br w:val="nil"/>
                    <w:tr2bl w:val="nil"/>
                  </w:tcBorders>
                  <w:shd w:val="clear" w:color="000000" w:fill="FFFFFF"/>
                  <w:noWrap w:val="0"/>
                  <w:vAlign w:val="center"/>
                </w:tcPr>
                <w:p w14:paraId="7C4DA3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678EE7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59.62</w:t>
                  </w:r>
                </w:p>
              </w:tc>
              <w:tc>
                <w:tcPr>
                  <w:tcW w:w="524" w:type="pct"/>
                  <w:tcBorders>
                    <w:tl2br w:val="nil"/>
                    <w:tr2bl w:val="nil"/>
                  </w:tcBorders>
                  <w:shd w:val="clear" w:color="000000" w:fill="FFFFFF"/>
                  <w:noWrap w:val="0"/>
                  <w:vAlign w:val="center"/>
                </w:tcPr>
                <w:p w14:paraId="26674C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58F93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jc w:val="center"/>
              </w:trPr>
              <w:tc>
                <w:tcPr>
                  <w:tcW w:w="944" w:type="dxa"/>
                  <w:tcBorders>
                    <w:tl2br w:val="nil"/>
                    <w:tr2bl w:val="nil"/>
                  </w:tcBorders>
                  <w:shd w:val="clear" w:color="000000" w:fill="FFFFFF"/>
                  <w:noWrap w:val="0"/>
                  <w:vAlign w:val="center"/>
                </w:tcPr>
                <w:p w14:paraId="11D361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10</w:t>
                  </w:r>
                </w:p>
              </w:tc>
              <w:tc>
                <w:tcPr>
                  <w:tcW w:w="4685" w:type="dxa"/>
                  <w:tcBorders>
                    <w:tl2br w:val="nil"/>
                    <w:tr2bl w:val="nil"/>
                  </w:tcBorders>
                  <w:shd w:val="clear" w:color="000000" w:fill="FFFFFF"/>
                  <w:noWrap w:val="0"/>
                  <w:vAlign w:val="center"/>
                </w:tcPr>
                <w:p w14:paraId="53080F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亲水马道路面青石板 5cm厚</w:t>
                  </w:r>
                </w:p>
              </w:tc>
              <w:tc>
                <w:tcPr>
                  <w:tcW w:w="944" w:type="dxa"/>
                  <w:tcBorders>
                    <w:tl2br w:val="nil"/>
                    <w:tr2bl w:val="nil"/>
                  </w:tcBorders>
                  <w:shd w:val="clear" w:color="000000" w:fill="FFFFFF"/>
                  <w:noWrap w:val="0"/>
                  <w:vAlign w:val="center"/>
                </w:tcPr>
                <w:p w14:paraId="443D44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4DA77E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627.20</w:t>
                  </w:r>
                </w:p>
              </w:tc>
              <w:tc>
                <w:tcPr>
                  <w:tcW w:w="524" w:type="pct"/>
                  <w:tcBorders>
                    <w:tl2br w:val="nil"/>
                    <w:tr2bl w:val="nil"/>
                  </w:tcBorders>
                  <w:shd w:val="clear" w:color="000000" w:fill="FFFFFF"/>
                  <w:noWrap w:val="0"/>
                  <w:vAlign w:val="center"/>
                </w:tcPr>
                <w:p w14:paraId="206707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1194A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 w:hRule="atLeast"/>
                <w:jc w:val="center"/>
              </w:trPr>
              <w:tc>
                <w:tcPr>
                  <w:tcW w:w="944" w:type="dxa"/>
                  <w:tcBorders>
                    <w:tl2br w:val="nil"/>
                    <w:tr2bl w:val="nil"/>
                  </w:tcBorders>
                  <w:shd w:val="clear" w:color="000000" w:fill="FFFFFF"/>
                  <w:noWrap w:val="0"/>
                  <w:vAlign w:val="center"/>
                </w:tcPr>
                <w:p w14:paraId="1C7BA2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11</w:t>
                  </w:r>
                </w:p>
              </w:tc>
              <w:tc>
                <w:tcPr>
                  <w:tcW w:w="4685" w:type="dxa"/>
                  <w:tcBorders>
                    <w:tl2br w:val="nil"/>
                    <w:tr2bl w:val="nil"/>
                  </w:tcBorders>
                  <w:shd w:val="clear" w:color="000000" w:fill="FFFFFF"/>
                  <w:noWrap w:val="0"/>
                  <w:vAlign w:val="center"/>
                </w:tcPr>
                <w:p w14:paraId="1F0D11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亲水马道路面水泥砂浆 5cm厚</w:t>
                  </w:r>
                </w:p>
              </w:tc>
              <w:tc>
                <w:tcPr>
                  <w:tcW w:w="944" w:type="dxa"/>
                  <w:tcBorders>
                    <w:tl2br w:val="nil"/>
                    <w:tr2bl w:val="nil"/>
                  </w:tcBorders>
                  <w:shd w:val="clear" w:color="000000" w:fill="FFFFFF"/>
                  <w:noWrap w:val="0"/>
                  <w:vAlign w:val="center"/>
                </w:tcPr>
                <w:p w14:paraId="38FC1C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139D7F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627.20</w:t>
                  </w:r>
                </w:p>
              </w:tc>
              <w:tc>
                <w:tcPr>
                  <w:tcW w:w="524" w:type="pct"/>
                  <w:tcBorders>
                    <w:tl2br w:val="nil"/>
                    <w:tr2bl w:val="nil"/>
                  </w:tcBorders>
                  <w:shd w:val="clear" w:color="000000" w:fill="FFFFFF"/>
                  <w:noWrap w:val="0"/>
                  <w:vAlign w:val="center"/>
                </w:tcPr>
                <w:p w14:paraId="10A03A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6B238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944" w:type="dxa"/>
                  <w:tcBorders>
                    <w:tl2br w:val="nil"/>
                    <w:tr2bl w:val="nil"/>
                  </w:tcBorders>
                  <w:shd w:val="clear" w:color="000000" w:fill="FFFFFF"/>
                  <w:noWrap w:val="0"/>
                  <w:vAlign w:val="center"/>
                </w:tcPr>
                <w:p w14:paraId="428EA0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12</w:t>
                  </w:r>
                </w:p>
              </w:tc>
              <w:tc>
                <w:tcPr>
                  <w:tcW w:w="4685" w:type="dxa"/>
                  <w:tcBorders>
                    <w:tl2br w:val="nil"/>
                    <w:tr2bl w:val="nil"/>
                  </w:tcBorders>
                  <w:shd w:val="clear" w:color="000000" w:fill="FFFFFF"/>
                  <w:noWrap w:val="0"/>
                  <w:vAlign w:val="center"/>
                </w:tcPr>
                <w:p w14:paraId="5D2D63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亲水马道C20砼垫层 10cm厚</w:t>
                  </w:r>
                </w:p>
              </w:tc>
              <w:tc>
                <w:tcPr>
                  <w:tcW w:w="944" w:type="dxa"/>
                  <w:tcBorders>
                    <w:tl2br w:val="nil"/>
                    <w:tr2bl w:val="nil"/>
                  </w:tcBorders>
                  <w:shd w:val="clear" w:color="000000" w:fill="FFFFFF"/>
                  <w:noWrap w:val="0"/>
                  <w:vAlign w:val="center"/>
                </w:tcPr>
                <w:p w14:paraId="1C9286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07B77C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62.72</w:t>
                  </w:r>
                </w:p>
              </w:tc>
              <w:tc>
                <w:tcPr>
                  <w:tcW w:w="524" w:type="pct"/>
                  <w:tcBorders>
                    <w:tl2br w:val="nil"/>
                    <w:tr2bl w:val="nil"/>
                  </w:tcBorders>
                  <w:shd w:val="clear" w:color="000000" w:fill="FFFFFF"/>
                  <w:noWrap w:val="0"/>
                  <w:vAlign w:val="center"/>
                </w:tcPr>
                <w:p w14:paraId="4B4DBF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439FA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jc w:val="center"/>
              </w:trPr>
              <w:tc>
                <w:tcPr>
                  <w:tcW w:w="944" w:type="dxa"/>
                  <w:tcBorders>
                    <w:tl2br w:val="nil"/>
                    <w:tr2bl w:val="nil"/>
                  </w:tcBorders>
                  <w:shd w:val="clear" w:color="000000" w:fill="FFFFFF"/>
                  <w:noWrap w:val="0"/>
                  <w:vAlign w:val="center"/>
                </w:tcPr>
                <w:p w14:paraId="4A302A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13</w:t>
                  </w:r>
                </w:p>
              </w:tc>
              <w:tc>
                <w:tcPr>
                  <w:tcW w:w="4685" w:type="dxa"/>
                  <w:tcBorders>
                    <w:tl2br w:val="nil"/>
                    <w:tr2bl w:val="nil"/>
                  </w:tcBorders>
                  <w:shd w:val="clear" w:color="000000" w:fill="FFFFFF"/>
                  <w:noWrap w:val="0"/>
                  <w:vAlign w:val="center"/>
                </w:tcPr>
                <w:p w14:paraId="1A43AF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亲水马道碎石垫层 10cm厚</w:t>
                  </w:r>
                </w:p>
              </w:tc>
              <w:tc>
                <w:tcPr>
                  <w:tcW w:w="944" w:type="dxa"/>
                  <w:tcBorders>
                    <w:tl2br w:val="nil"/>
                    <w:tr2bl w:val="nil"/>
                  </w:tcBorders>
                  <w:shd w:val="clear" w:color="000000" w:fill="FFFFFF"/>
                  <w:noWrap w:val="0"/>
                  <w:vAlign w:val="center"/>
                </w:tcPr>
                <w:p w14:paraId="0D82A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6C1675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62.72</w:t>
                  </w:r>
                </w:p>
              </w:tc>
              <w:tc>
                <w:tcPr>
                  <w:tcW w:w="524" w:type="pct"/>
                  <w:tcBorders>
                    <w:tl2br w:val="nil"/>
                    <w:tr2bl w:val="nil"/>
                  </w:tcBorders>
                  <w:shd w:val="clear" w:color="000000" w:fill="FFFFFF"/>
                  <w:noWrap w:val="0"/>
                  <w:vAlign w:val="center"/>
                </w:tcPr>
                <w:p w14:paraId="7F79AE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1AA9C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 w:hRule="atLeast"/>
                <w:jc w:val="center"/>
              </w:trPr>
              <w:tc>
                <w:tcPr>
                  <w:tcW w:w="944" w:type="dxa"/>
                  <w:tcBorders>
                    <w:tl2br w:val="nil"/>
                    <w:tr2bl w:val="nil"/>
                  </w:tcBorders>
                  <w:shd w:val="clear" w:color="000000" w:fill="FFFFFF"/>
                  <w:noWrap w:val="0"/>
                  <w:vAlign w:val="center"/>
                </w:tcPr>
                <w:p w14:paraId="708EFC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14</w:t>
                  </w:r>
                </w:p>
              </w:tc>
              <w:tc>
                <w:tcPr>
                  <w:tcW w:w="4685" w:type="dxa"/>
                  <w:tcBorders>
                    <w:tl2br w:val="nil"/>
                    <w:tr2bl w:val="nil"/>
                  </w:tcBorders>
                  <w:shd w:val="clear" w:color="000000" w:fill="FFFFFF"/>
                  <w:noWrap w:val="0"/>
                  <w:vAlign w:val="center"/>
                </w:tcPr>
                <w:p w14:paraId="581CB5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亲水马道预制路沿石C20砼</w:t>
                  </w:r>
                </w:p>
              </w:tc>
              <w:tc>
                <w:tcPr>
                  <w:tcW w:w="944" w:type="dxa"/>
                  <w:tcBorders>
                    <w:tl2br w:val="nil"/>
                    <w:tr2bl w:val="nil"/>
                  </w:tcBorders>
                  <w:shd w:val="clear" w:color="000000" w:fill="FFFFFF"/>
                  <w:noWrap w:val="0"/>
                  <w:vAlign w:val="center"/>
                </w:tcPr>
                <w:p w14:paraId="692313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4D62E7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47.04</w:t>
                  </w:r>
                </w:p>
              </w:tc>
              <w:tc>
                <w:tcPr>
                  <w:tcW w:w="524" w:type="pct"/>
                  <w:tcBorders>
                    <w:tl2br w:val="nil"/>
                    <w:tr2bl w:val="nil"/>
                  </w:tcBorders>
                  <w:shd w:val="clear" w:color="000000" w:fill="FFFFFF"/>
                  <w:noWrap w:val="0"/>
                  <w:vAlign w:val="center"/>
                </w:tcPr>
                <w:p w14:paraId="15BE86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4F5D6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944" w:type="dxa"/>
                  <w:tcBorders>
                    <w:tl2br w:val="nil"/>
                    <w:tr2bl w:val="nil"/>
                  </w:tcBorders>
                  <w:shd w:val="clear" w:color="000000" w:fill="FFFFFF"/>
                  <w:noWrap w:val="0"/>
                  <w:vAlign w:val="center"/>
                </w:tcPr>
                <w:p w14:paraId="18B757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15</w:t>
                  </w:r>
                </w:p>
              </w:tc>
              <w:tc>
                <w:tcPr>
                  <w:tcW w:w="4685" w:type="dxa"/>
                  <w:tcBorders>
                    <w:tl2br w:val="nil"/>
                    <w:tr2bl w:val="nil"/>
                  </w:tcBorders>
                  <w:shd w:val="clear" w:color="000000" w:fill="FFFFFF"/>
                  <w:noWrap w:val="0"/>
                  <w:vAlign w:val="center"/>
                </w:tcPr>
                <w:p w14:paraId="515A03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亲水马道警示桩（含铁链）</w:t>
                  </w:r>
                </w:p>
              </w:tc>
              <w:tc>
                <w:tcPr>
                  <w:tcW w:w="944" w:type="dxa"/>
                  <w:tcBorders>
                    <w:tl2br w:val="nil"/>
                    <w:tr2bl w:val="nil"/>
                  </w:tcBorders>
                  <w:shd w:val="clear" w:color="000000" w:fill="FFFFFF"/>
                  <w:noWrap w:val="0"/>
                  <w:vAlign w:val="center"/>
                </w:tcPr>
                <w:p w14:paraId="357A67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p>
              </w:tc>
              <w:tc>
                <w:tcPr>
                  <w:tcW w:w="1492" w:type="dxa"/>
                  <w:tcBorders>
                    <w:tl2br w:val="nil"/>
                    <w:tr2bl w:val="nil"/>
                  </w:tcBorders>
                  <w:shd w:val="clear" w:color="000000" w:fill="FFFFFF"/>
                  <w:noWrap w:val="0"/>
                  <w:vAlign w:val="center"/>
                </w:tcPr>
                <w:p w14:paraId="62694E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392.00</w:t>
                  </w:r>
                </w:p>
              </w:tc>
              <w:tc>
                <w:tcPr>
                  <w:tcW w:w="524" w:type="pct"/>
                  <w:tcBorders>
                    <w:tl2br w:val="nil"/>
                    <w:tr2bl w:val="nil"/>
                  </w:tcBorders>
                  <w:shd w:val="clear" w:color="000000" w:fill="FFFFFF"/>
                  <w:noWrap w:val="0"/>
                  <w:vAlign w:val="center"/>
                </w:tcPr>
                <w:p w14:paraId="3DA6DB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48F26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944" w:type="dxa"/>
                  <w:tcBorders>
                    <w:tl2br w:val="nil"/>
                    <w:tr2bl w:val="nil"/>
                  </w:tcBorders>
                  <w:shd w:val="clear" w:color="000000" w:fill="FFFFFF"/>
                  <w:noWrap w:val="0"/>
                  <w:vAlign w:val="center"/>
                </w:tcPr>
                <w:p w14:paraId="24412C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16</w:t>
                  </w:r>
                </w:p>
              </w:tc>
              <w:tc>
                <w:tcPr>
                  <w:tcW w:w="4685" w:type="dxa"/>
                  <w:tcBorders>
                    <w:tl2br w:val="nil"/>
                    <w:tr2bl w:val="nil"/>
                  </w:tcBorders>
                  <w:shd w:val="clear" w:color="000000" w:fill="FFFFFF"/>
                  <w:noWrap w:val="0"/>
                  <w:vAlign w:val="center"/>
                </w:tcPr>
                <w:p w14:paraId="5764C7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种植土回填</w:t>
                  </w:r>
                </w:p>
              </w:tc>
              <w:tc>
                <w:tcPr>
                  <w:tcW w:w="944" w:type="dxa"/>
                  <w:tcBorders>
                    <w:tl2br w:val="nil"/>
                    <w:tr2bl w:val="nil"/>
                  </w:tcBorders>
                  <w:shd w:val="clear" w:color="000000" w:fill="FFFFFF"/>
                  <w:noWrap w:val="0"/>
                  <w:vAlign w:val="center"/>
                </w:tcPr>
                <w:p w14:paraId="4ED52B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11DAF0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539.00</w:t>
                  </w:r>
                </w:p>
              </w:tc>
              <w:tc>
                <w:tcPr>
                  <w:tcW w:w="524" w:type="pct"/>
                  <w:tcBorders>
                    <w:tl2br w:val="nil"/>
                    <w:tr2bl w:val="nil"/>
                  </w:tcBorders>
                  <w:shd w:val="clear" w:color="000000" w:fill="FFFFFF"/>
                  <w:noWrap w:val="0"/>
                  <w:vAlign w:val="center"/>
                </w:tcPr>
                <w:p w14:paraId="1EDAAF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3B7A9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 w:hRule="atLeast"/>
                <w:jc w:val="center"/>
              </w:trPr>
              <w:tc>
                <w:tcPr>
                  <w:tcW w:w="944" w:type="dxa"/>
                  <w:tcBorders>
                    <w:tl2br w:val="nil"/>
                    <w:tr2bl w:val="nil"/>
                  </w:tcBorders>
                  <w:shd w:val="clear" w:color="000000" w:fill="FFFFFF"/>
                  <w:noWrap w:val="0"/>
                  <w:vAlign w:val="center"/>
                </w:tcPr>
                <w:p w14:paraId="6ED616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17</w:t>
                  </w:r>
                </w:p>
              </w:tc>
              <w:tc>
                <w:tcPr>
                  <w:tcW w:w="4685" w:type="dxa"/>
                  <w:tcBorders>
                    <w:tl2br w:val="nil"/>
                    <w:tr2bl w:val="nil"/>
                  </w:tcBorders>
                  <w:shd w:val="clear" w:color="000000" w:fill="FFFFFF"/>
                  <w:noWrap w:val="0"/>
                  <w:vAlign w:val="center"/>
                </w:tcPr>
                <w:p w14:paraId="71A90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草皮护坡</w:t>
                  </w:r>
                </w:p>
              </w:tc>
              <w:tc>
                <w:tcPr>
                  <w:tcW w:w="944" w:type="dxa"/>
                  <w:tcBorders>
                    <w:tl2br w:val="nil"/>
                    <w:tr2bl w:val="nil"/>
                  </w:tcBorders>
                  <w:shd w:val="clear" w:color="000000" w:fill="FFFFFF"/>
                  <w:noWrap w:val="0"/>
                  <w:vAlign w:val="center"/>
                </w:tcPr>
                <w:p w14:paraId="1D6929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2DE72E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2695.00</w:t>
                  </w:r>
                </w:p>
              </w:tc>
              <w:tc>
                <w:tcPr>
                  <w:tcW w:w="524" w:type="pct"/>
                  <w:tcBorders>
                    <w:tl2br w:val="nil"/>
                    <w:tr2bl w:val="nil"/>
                  </w:tcBorders>
                  <w:shd w:val="clear" w:color="000000" w:fill="FFFFFF"/>
                  <w:noWrap w:val="0"/>
                  <w:vAlign w:val="center"/>
                </w:tcPr>
                <w:p w14:paraId="3B4D55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78DD9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 w:hRule="atLeast"/>
                <w:jc w:val="center"/>
              </w:trPr>
              <w:tc>
                <w:tcPr>
                  <w:tcW w:w="944" w:type="dxa"/>
                  <w:tcBorders>
                    <w:tl2br w:val="nil"/>
                    <w:tr2bl w:val="nil"/>
                  </w:tcBorders>
                  <w:shd w:val="clear" w:color="000000" w:fill="FFFFFF"/>
                  <w:noWrap w:val="0"/>
                  <w:vAlign w:val="center"/>
                </w:tcPr>
                <w:p w14:paraId="1F625D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18</w:t>
                  </w:r>
                </w:p>
              </w:tc>
              <w:tc>
                <w:tcPr>
                  <w:tcW w:w="4685" w:type="dxa"/>
                  <w:tcBorders>
                    <w:tl2br w:val="nil"/>
                    <w:tr2bl w:val="nil"/>
                  </w:tcBorders>
                  <w:shd w:val="clear" w:color="000000" w:fill="FFFFFF"/>
                  <w:noWrap w:val="0"/>
                  <w:vAlign w:val="center"/>
                </w:tcPr>
                <w:p w14:paraId="18F088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堤顶路面C20砼 15cm厚</w:t>
                  </w:r>
                </w:p>
              </w:tc>
              <w:tc>
                <w:tcPr>
                  <w:tcW w:w="944" w:type="dxa"/>
                  <w:tcBorders>
                    <w:tl2br w:val="nil"/>
                    <w:tr2bl w:val="nil"/>
                  </w:tcBorders>
                  <w:shd w:val="clear" w:color="000000" w:fill="FFFFFF"/>
                  <w:noWrap w:val="0"/>
                  <w:vAlign w:val="center"/>
                </w:tcPr>
                <w:p w14:paraId="546D6D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459AA4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501.96</w:t>
                  </w:r>
                </w:p>
              </w:tc>
              <w:tc>
                <w:tcPr>
                  <w:tcW w:w="524" w:type="pct"/>
                  <w:tcBorders>
                    <w:tl2br w:val="nil"/>
                    <w:tr2bl w:val="nil"/>
                  </w:tcBorders>
                  <w:shd w:val="clear" w:color="000000" w:fill="FFFFFF"/>
                  <w:noWrap w:val="0"/>
                  <w:vAlign w:val="center"/>
                </w:tcPr>
                <w:p w14:paraId="09FFBC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538C5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 w:hRule="atLeast"/>
                <w:jc w:val="center"/>
              </w:trPr>
              <w:tc>
                <w:tcPr>
                  <w:tcW w:w="944" w:type="dxa"/>
                  <w:tcBorders>
                    <w:tl2br w:val="nil"/>
                    <w:tr2bl w:val="nil"/>
                  </w:tcBorders>
                  <w:shd w:val="clear" w:color="000000" w:fill="FFFFFF"/>
                  <w:noWrap w:val="0"/>
                  <w:vAlign w:val="center"/>
                </w:tcPr>
                <w:p w14:paraId="7AD69D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19</w:t>
                  </w:r>
                </w:p>
              </w:tc>
              <w:tc>
                <w:tcPr>
                  <w:tcW w:w="4685" w:type="dxa"/>
                  <w:tcBorders>
                    <w:tl2br w:val="nil"/>
                    <w:tr2bl w:val="nil"/>
                  </w:tcBorders>
                  <w:shd w:val="clear" w:color="000000" w:fill="FFFFFF"/>
                  <w:noWrap w:val="0"/>
                  <w:vAlign w:val="center"/>
                </w:tcPr>
                <w:p w14:paraId="20CC4F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堤顶路面碎石垫层 15cm厚</w:t>
                  </w:r>
                </w:p>
              </w:tc>
              <w:tc>
                <w:tcPr>
                  <w:tcW w:w="944" w:type="dxa"/>
                  <w:tcBorders>
                    <w:tl2br w:val="nil"/>
                    <w:tr2bl w:val="nil"/>
                  </w:tcBorders>
                  <w:shd w:val="clear" w:color="000000" w:fill="FFFFFF"/>
                  <w:noWrap w:val="0"/>
                  <w:vAlign w:val="center"/>
                </w:tcPr>
                <w:p w14:paraId="51A62D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0F0C4D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501.96</w:t>
                  </w:r>
                </w:p>
              </w:tc>
              <w:tc>
                <w:tcPr>
                  <w:tcW w:w="524" w:type="pct"/>
                  <w:tcBorders>
                    <w:tl2br w:val="nil"/>
                    <w:tr2bl w:val="nil"/>
                  </w:tcBorders>
                  <w:shd w:val="clear" w:color="000000" w:fill="FFFFFF"/>
                  <w:noWrap w:val="0"/>
                  <w:vAlign w:val="center"/>
                </w:tcPr>
                <w:p w14:paraId="21492F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400BD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44" w:type="dxa"/>
                  <w:tcBorders>
                    <w:tl2br w:val="nil"/>
                    <w:tr2bl w:val="nil"/>
                  </w:tcBorders>
                  <w:shd w:val="clear" w:color="000000" w:fill="FFFFFF"/>
                  <w:noWrap w:val="0"/>
                  <w:vAlign w:val="center"/>
                </w:tcPr>
                <w:p w14:paraId="4AE695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20</w:t>
                  </w:r>
                </w:p>
              </w:tc>
              <w:tc>
                <w:tcPr>
                  <w:tcW w:w="4685" w:type="dxa"/>
                  <w:tcBorders>
                    <w:tl2br w:val="nil"/>
                    <w:tr2bl w:val="nil"/>
                  </w:tcBorders>
                  <w:shd w:val="clear" w:color="000000" w:fill="FFFFFF"/>
                  <w:noWrap w:val="0"/>
                  <w:vAlign w:val="center"/>
                </w:tcPr>
                <w:p w14:paraId="0BE930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堤顶路面预制路沿石C20砼</w:t>
                  </w:r>
                </w:p>
              </w:tc>
              <w:tc>
                <w:tcPr>
                  <w:tcW w:w="944" w:type="dxa"/>
                  <w:tcBorders>
                    <w:tl2br w:val="nil"/>
                    <w:tr2bl w:val="nil"/>
                  </w:tcBorders>
                  <w:shd w:val="clear" w:color="000000" w:fill="FFFFFF"/>
                  <w:noWrap w:val="0"/>
                  <w:vAlign w:val="center"/>
                </w:tcPr>
                <w:p w14:paraId="1315B1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29470A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20.87</w:t>
                  </w:r>
                </w:p>
              </w:tc>
              <w:tc>
                <w:tcPr>
                  <w:tcW w:w="524" w:type="pct"/>
                  <w:tcBorders>
                    <w:tl2br w:val="nil"/>
                    <w:tr2bl w:val="nil"/>
                  </w:tcBorders>
                  <w:shd w:val="clear" w:color="000000" w:fill="FFFFFF"/>
                  <w:noWrap w:val="0"/>
                  <w:vAlign w:val="center"/>
                </w:tcPr>
                <w:p w14:paraId="6BD8CD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07606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944" w:type="dxa"/>
                  <w:tcBorders>
                    <w:tl2br w:val="nil"/>
                    <w:tr2bl w:val="nil"/>
                  </w:tcBorders>
                  <w:shd w:val="clear" w:color="000000" w:fill="FFFFFF"/>
                  <w:noWrap w:val="0"/>
                  <w:vAlign w:val="center"/>
                </w:tcPr>
                <w:p w14:paraId="258483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21</w:t>
                  </w:r>
                </w:p>
              </w:tc>
              <w:tc>
                <w:tcPr>
                  <w:tcW w:w="4685" w:type="dxa"/>
                  <w:tcBorders>
                    <w:tl2br w:val="nil"/>
                    <w:tr2bl w:val="nil"/>
                  </w:tcBorders>
                  <w:shd w:val="clear" w:color="000000" w:fill="FFFFFF"/>
                  <w:noWrap w:val="0"/>
                  <w:vAlign w:val="center"/>
                </w:tcPr>
                <w:p w14:paraId="36AB6E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堤顶路面栏杆基础C20砼</w:t>
                  </w:r>
                </w:p>
              </w:tc>
              <w:tc>
                <w:tcPr>
                  <w:tcW w:w="944" w:type="dxa"/>
                  <w:tcBorders>
                    <w:tl2br w:val="nil"/>
                    <w:tr2bl w:val="nil"/>
                  </w:tcBorders>
                  <w:shd w:val="clear" w:color="000000" w:fill="FFFFFF"/>
                  <w:noWrap w:val="0"/>
                  <w:vAlign w:val="center"/>
                </w:tcPr>
                <w:p w14:paraId="3C0EC9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44EF94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1.69</w:t>
                  </w:r>
                </w:p>
              </w:tc>
              <w:tc>
                <w:tcPr>
                  <w:tcW w:w="524" w:type="pct"/>
                  <w:tcBorders>
                    <w:tl2br w:val="nil"/>
                    <w:tr2bl w:val="nil"/>
                  </w:tcBorders>
                  <w:shd w:val="clear" w:color="000000" w:fill="FFFFFF"/>
                  <w:noWrap w:val="0"/>
                  <w:vAlign w:val="center"/>
                </w:tcPr>
                <w:p w14:paraId="5C889DE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5AF94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 w:hRule="atLeast"/>
                <w:jc w:val="center"/>
              </w:trPr>
              <w:tc>
                <w:tcPr>
                  <w:tcW w:w="944" w:type="dxa"/>
                  <w:tcBorders>
                    <w:tl2br w:val="nil"/>
                    <w:tr2bl w:val="nil"/>
                  </w:tcBorders>
                  <w:shd w:val="clear" w:color="000000" w:fill="FFFFFF"/>
                  <w:noWrap w:val="0"/>
                  <w:vAlign w:val="center"/>
                </w:tcPr>
                <w:p w14:paraId="405CEE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22</w:t>
                  </w:r>
                </w:p>
              </w:tc>
              <w:tc>
                <w:tcPr>
                  <w:tcW w:w="4685" w:type="dxa"/>
                  <w:tcBorders>
                    <w:tl2br w:val="nil"/>
                    <w:tr2bl w:val="nil"/>
                  </w:tcBorders>
                  <w:shd w:val="clear" w:color="000000" w:fill="FFFFFF"/>
                  <w:noWrap w:val="0"/>
                  <w:vAlign w:val="center"/>
                </w:tcPr>
                <w:p w14:paraId="559E14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堤顶路面仿木栏杆</w:t>
                  </w:r>
                </w:p>
              </w:tc>
              <w:tc>
                <w:tcPr>
                  <w:tcW w:w="944" w:type="dxa"/>
                  <w:tcBorders>
                    <w:tl2br w:val="nil"/>
                    <w:tr2bl w:val="nil"/>
                  </w:tcBorders>
                  <w:shd w:val="clear" w:color="000000" w:fill="FFFFFF"/>
                  <w:noWrap w:val="0"/>
                  <w:vAlign w:val="center"/>
                </w:tcPr>
                <w:p w14:paraId="5C316A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p>
              </w:tc>
              <w:tc>
                <w:tcPr>
                  <w:tcW w:w="1492" w:type="dxa"/>
                  <w:tcBorders>
                    <w:tl2br w:val="nil"/>
                    <w:tr2bl w:val="nil"/>
                  </w:tcBorders>
                  <w:shd w:val="clear" w:color="000000" w:fill="FFFFFF"/>
                  <w:noWrap w:val="0"/>
                  <w:vAlign w:val="center"/>
                </w:tcPr>
                <w:p w14:paraId="1F4C50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188.00</w:t>
                  </w:r>
                </w:p>
              </w:tc>
              <w:tc>
                <w:tcPr>
                  <w:tcW w:w="524" w:type="pct"/>
                  <w:tcBorders>
                    <w:tl2br w:val="nil"/>
                    <w:tr2bl w:val="nil"/>
                  </w:tcBorders>
                  <w:shd w:val="clear" w:color="000000" w:fill="FFFFFF"/>
                  <w:noWrap w:val="0"/>
                  <w:vAlign w:val="center"/>
                </w:tcPr>
                <w:p w14:paraId="34893D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1F020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944" w:type="dxa"/>
                  <w:tcBorders>
                    <w:tl2br w:val="nil"/>
                    <w:tr2bl w:val="nil"/>
                  </w:tcBorders>
                  <w:shd w:val="clear" w:color="000000" w:fill="FFFFFF"/>
                  <w:noWrap w:val="0"/>
                  <w:vAlign w:val="center"/>
                </w:tcPr>
                <w:p w14:paraId="653B71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23</w:t>
                  </w:r>
                </w:p>
              </w:tc>
              <w:tc>
                <w:tcPr>
                  <w:tcW w:w="4685" w:type="dxa"/>
                  <w:tcBorders>
                    <w:tl2br w:val="nil"/>
                    <w:tr2bl w:val="nil"/>
                  </w:tcBorders>
                  <w:shd w:val="clear" w:color="000000" w:fill="FFFFFF"/>
                  <w:noWrap w:val="0"/>
                  <w:vAlign w:val="center"/>
                </w:tcPr>
                <w:p w14:paraId="3FB028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模板制安</w:t>
                  </w:r>
                </w:p>
              </w:tc>
              <w:tc>
                <w:tcPr>
                  <w:tcW w:w="944" w:type="dxa"/>
                  <w:tcBorders>
                    <w:tl2br w:val="nil"/>
                    <w:tr2bl w:val="nil"/>
                  </w:tcBorders>
                  <w:shd w:val="clear" w:color="000000" w:fill="FFFFFF"/>
                  <w:noWrap w:val="0"/>
                  <w:vAlign w:val="center"/>
                </w:tcPr>
                <w:p w14:paraId="1AA342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7B247B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1793.60</w:t>
                  </w:r>
                </w:p>
              </w:tc>
              <w:tc>
                <w:tcPr>
                  <w:tcW w:w="524" w:type="pct"/>
                  <w:tcBorders>
                    <w:tl2br w:val="nil"/>
                    <w:tr2bl w:val="nil"/>
                  </w:tcBorders>
                  <w:shd w:val="clear" w:color="000000" w:fill="FFFFFF"/>
                  <w:noWrap w:val="0"/>
                  <w:vAlign w:val="center"/>
                </w:tcPr>
                <w:p w14:paraId="569193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5B089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944" w:type="dxa"/>
                  <w:tcBorders>
                    <w:tl2br w:val="nil"/>
                    <w:tr2bl w:val="nil"/>
                  </w:tcBorders>
                  <w:shd w:val="clear" w:color="000000" w:fill="FFFFFF"/>
                  <w:noWrap w:val="0"/>
                  <w:vAlign w:val="center"/>
                </w:tcPr>
                <w:p w14:paraId="2C856E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24</w:t>
                  </w:r>
                </w:p>
              </w:tc>
              <w:tc>
                <w:tcPr>
                  <w:tcW w:w="4685" w:type="dxa"/>
                  <w:tcBorders>
                    <w:tl2br w:val="nil"/>
                    <w:tr2bl w:val="nil"/>
                  </w:tcBorders>
                  <w:shd w:val="clear" w:color="000000" w:fill="FFFFFF"/>
                  <w:noWrap w:val="0"/>
                  <w:vAlign w:val="center"/>
                </w:tcPr>
                <w:p w14:paraId="22C7DB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聚乙烯泡沫板分缝 2cm厚</w:t>
                  </w:r>
                </w:p>
              </w:tc>
              <w:tc>
                <w:tcPr>
                  <w:tcW w:w="944" w:type="dxa"/>
                  <w:tcBorders>
                    <w:tl2br w:val="nil"/>
                    <w:tr2bl w:val="nil"/>
                  </w:tcBorders>
                  <w:shd w:val="clear" w:color="000000" w:fill="FFFFFF"/>
                  <w:noWrap w:val="0"/>
                  <w:vAlign w:val="center"/>
                </w:tcPr>
                <w:p w14:paraId="6DA2F2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66CFEE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40.70</w:t>
                  </w:r>
                </w:p>
              </w:tc>
              <w:tc>
                <w:tcPr>
                  <w:tcW w:w="524" w:type="pct"/>
                  <w:tcBorders>
                    <w:tl2br w:val="nil"/>
                    <w:tr2bl w:val="nil"/>
                  </w:tcBorders>
                  <w:shd w:val="clear" w:color="000000" w:fill="FFFFFF"/>
                  <w:noWrap w:val="0"/>
                  <w:vAlign w:val="center"/>
                </w:tcPr>
                <w:p w14:paraId="1F4B64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61FC77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944" w:type="dxa"/>
                  <w:tcBorders>
                    <w:tl2br w:val="nil"/>
                    <w:tr2bl w:val="nil"/>
                  </w:tcBorders>
                  <w:shd w:val="clear" w:color="000000" w:fill="FFFFFF"/>
                  <w:noWrap w:val="0"/>
                  <w:vAlign w:val="center"/>
                </w:tcPr>
                <w:p w14:paraId="3BCB82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25</w:t>
                  </w:r>
                </w:p>
              </w:tc>
              <w:tc>
                <w:tcPr>
                  <w:tcW w:w="4685" w:type="dxa"/>
                  <w:tcBorders>
                    <w:tl2br w:val="nil"/>
                    <w:tr2bl w:val="nil"/>
                  </w:tcBorders>
                  <w:shd w:val="clear" w:color="000000" w:fill="FFFFFF"/>
                  <w:noWrap w:val="0"/>
                  <w:vAlign w:val="center"/>
                </w:tcPr>
                <w:p w14:paraId="52CEDB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钢筋制安</w:t>
                  </w:r>
                </w:p>
              </w:tc>
              <w:tc>
                <w:tcPr>
                  <w:tcW w:w="944" w:type="dxa"/>
                  <w:tcBorders>
                    <w:tl2br w:val="nil"/>
                    <w:tr2bl w:val="nil"/>
                  </w:tcBorders>
                  <w:shd w:val="clear" w:color="000000" w:fill="FFFFFF"/>
                  <w:noWrap w:val="0"/>
                  <w:vAlign w:val="center"/>
                </w:tcPr>
                <w:p w14:paraId="0E0865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t</w:t>
                  </w:r>
                </w:p>
              </w:tc>
              <w:tc>
                <w:tcPr>
                  <w:tcW w:w="1492" w:type="dxa"/>
                  <w:tcBorders>
                    <w:tl2br w:val="nil"/>
                    <w:tr2bl w:val="nil"/>
                  </w:tcBorders>
                  <w:shd w:val="clear" w:color="000000" w:fill="FFFFFF"/>
                  <w:noWrap w:val="0"/>
                  <w:vAlign w:val="center"/>
                </w:tcPr>
                <w:p w14:paraId="313857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1.46</w:t>
                  </w:r>
                </w:p>
              </w:tc>
              <w:tc>
                <w:tcPr>
                  <w:tcW w:w="524" w:type="pct"/>
                  <w:tcBorders>
                    <w:tl2br w:val="nil"/>
                    <w:tr2bl w:val="nil"/>
                  </w:tcBorders>
                  <w:shd w:val="clear" w:color="000000" w:fill="FFFFFF"/>
                  <w:noWrap w:val="0"/>
                  <w:vAlign w:val="center"/>
                </w:tcPr>
                <w:p w14:paraId="4FB0CD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2C955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 w:hRule="atLeast"/>
                <w:jc w:val="center"/>
              </w:trPr>
              <w:tc>
                <w:tcPr>
                  <w:tcW w:w="944" w:type="dxa"/>
                  <w:tcBorders>
                    <w:tl2br w:val="nil"/>
                    <w:tr2bl w:val="nil"/>
                  </w:tcBorders>
                  <w:shd w:val="clear" w:color="000000" w:fill="FFFFFF"/>
                  <w:noWrap w:val="0"/>
                  <w:vAlign w:val="center"/>
                </w:tcPr>
                <w:p w14:paraId="65FD64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(三)</w:t>
                  </w:r>
                </w:p>
              </w:tc>
              <w:tc>
                <w:tcPr>
                  <w:tcW w:w="4685" w:type="dxa"/>
                  <w:tcBorders>
                    <w:tl2br w:val="nil"/>
                    <w:tr2bl w:val="nil"/>
                  </w:tcBorders>
                  <w:shd w:val="clear" w:color="000000" w:fill="FFFFFF"/>
                  <w:noWrap w:val="0"/>
                  <w:vAlign w:val="center"/>
                </w:tcPr>
                <w:p w14:paraId="190DDA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蚂蟥支沟</w:t>
                  </w:r>
                </w:p>
              </w:tc>
              <w:tc>
                <w:tcPr>
                  <w:tcW w:w="944" w:type="dxa"/>
                  <w:tcBorders>
                    <w:tl2br w:val="nil"/>
                    <w:tr2bl w:val="nil"/>
                  </w:tcBorders>
                  <w:shd w:val="clear" w:color="000000" w:fill="FFFFFF"/>
                  <w:noWrap w:val="0"/>
                  <w:vAlign w:val="center"/>
                </w:tcPr>
                <w:p w14:paraId="79F8ED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c>
                <w:tcPr>
                  <w:tcW w:w="1492" w:type="dxa"/>
                  <w:tcBorders>
                    <w:tl2br w:val="nil"/>
                    <w:tr2bl w:val="nil"/>
                  </w:tcBorders>
                  <w:shd w:val="clear" w:color="000000" w:fill="FFFFFF"/>
                  <w:noWrap w:val="0"/>
                  <w:vAlign w:val="center"/>
                </w:tcPr>
                <w:p w14:paraId="20279F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c>
                <w:tcPr>
                  <w:tcW w:w="524" w:type="pct"/>
                  <w:tcBorders>
                    <w:tl2br w:val="nil"/>
                    <w:tr2bl w:val="nil"/>
                  </w:tcBorders>
                  <w:shd w:val="clear" w:color="000000" w:fill="FFFFFF"/>
                  <w:noWrap w:val="0"/>
                  <w:vAlign w:val="center"/>
                </w:tcPr>
                <w:p w14:paraId="78A154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13479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jc w:val="center"/>
              </w:trPr>
              <w:tc>
                <w:tcPr>
                  <w:tcW w:w="944" w:type="dxa"/>
                  <w:tcBorders>
                    <w:tl2br w:val="nil"/>
                    <w:tr2bl w:val="nil"/>
                  </w:tcBorders>
                  <w:shd w:val="clear" w:color="000000" w:fill="FFFFFF"/>
                  <w:noWrap w:val="0"/>
                  <w:vAlign w:val="center"/>
                </w:tcPr>
                <w:p w14:paraId="2640D7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w:t>
                  </w:r>
                </w:p>
              </w:tc>
              <w:tc>
                <w:tcPr>
                  <w:tcW w:w="4685" w:type="dxa"/>
                  <w:tcBorders>
                    <w:tl2br w:val="nil"/>
                    <w:tr2bl w:val="nil"/>
                  </w:tcBorders>
                  <w:shd w:val="clear" w:color="000000" w:fill="FFFFFF"/>
                  <w:noWrap w:val="0"/>
                  <w:vAlign w:val="center"/>
                </w:tcPr>
                <w:p w14:paraId="44A441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土方开挖</w:t>
                  </w:r>
                </w:p>
              </w:tc>
              <w:tc>
                <w:tcPr>
                  <w:tcW w:w="944" w:type="dxa"/>
                  <w:tcBorders>
                    <w:tl2br w:val="nil"/>
                    <w:tr2bl w:val="nil"/>
                  </w:tcBorders>
                  <w:shd w:val="clear" w:color="000000" w:fill="FFFFFF"/>
                  <w:noWrap w:val="0"/>
                  <w:vAlign w:val="center"/>
                </w:tcPr>
                <w:p w14:paraId="27B3ED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4AFB90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1823.68</w:t>
                  </w:r>
                </w:p>
              </w:tc>
              <w:tc>
                <w:tcPr>
                  <w:tcW w:w="524" w:type="pct"/>
                  <w:tcBorders>
                    <w:tl2br w:val="nil"/>
                    <w:tr2bl w:val="nil"/>
                  </w:tcBorders>
                  <w:shd w:val="clear" w:color="000000" w:fill="FFFFFF"/>
                  <w:noWrap w:val="0"/>
                  <w:vAlign w:val="center"/>
                </w:tcPr>
                <w:p w14:paraId="6343E9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57CB7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 w:hRule="atLeast"/>
                <w:jc w:val="center"/>
              </w:trPr>
              <w:tc>
                <w:tcPr>
                  <w:tcW w:w="944" w:type="dxa"/>
                  <w:tcBorders>
                    <w:tl2br w:val="nil"/>
                    <w:tr2bl w:val="nil"/>
                  </w:tcBorders>
                  <w:shd w:val="clear" w:color="000000" w:fill="FFFFFF"/>
                  <w:noWrap w:val="0"/>
                  <w:vAlign w:val="center"/>
                </w:tcPr>
                <w:p w14:paraId="6A5D58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w:t>
                  </w:r>
                </w:p>
              </w:tc>
              <w:tc>
                <w:tcPr>
                  <w:tcW w:w="4685" w:type="dxa"/>
                  <w:tcBorders>
                    <w:tl2br w:val="nil"/>
                    <w:tr2bl w:val="nil"/>
                  </w:tcBorders>
                  <w:shd w:val="clear" w:color="000000" w:fill="FFFFFF"/>
                  <w:noWrap w:val="0"/>
                  <w:vAlign w:val="center"/>
                </w:tcPr>
                <w:p w14:paraId="471DDF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表土剥离</w:t>
                  </w:r>
                </w:p>
              </w:tc>
              <w:tc>
                <w:tcPr>
                  <w:tcW w:w="944" w:type="dxa"/>
                  <w:tcBorders>
                    <w:tl2br w:val="nil"/>
                    <w:tr2bl w:val="nil"/>
                  </w:tcBorders>
                  <w:shd w:val="clear" w:color="000000" w:fill="FFFFFF"/>
                  <w:noWrap w:val="0"/>
                  <w:vAlign w:val="center"/>
                </w:tcPr>
                <w:p w14:paraId="25B5AB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1625BA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1670.00</w:t>
                  </w:r>
                </w:p>
              </w:tc>
              <w:tc>
                <w:tcPr>
                  <w:tcW w:w="524" w:type="pct"/>
                  <w:tcBorders>
                    <w:tl2br w:val="nil"/>
                    <w:tr2bl w:val="nil"/>
                  </w:tcBorders>
                  <w:shd w:val="clear" w:color="000000" w:fill="FFFFFF"/>
                  <w:noWrap w:val="0"/>
                  <w:vAlign w:val="center"/>
                </w:tcPr>
                <w:p w14:paraId="40A381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4A646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 w:hRule="atLeast"/>
                <w:jc w:val="center"/>
              </w:trPr>
              <w:tc>
                <w:tcPr>
                  <w:tcW w:w="944" w:type="dxa"/>
                  <w:tcBorders>
                    <w:tl2br w:val="nil"/>
                    <w:tr2bl w:val="nil"/>
                  </w:tcBorders>
                  <w:shd w:val="clear" w:color="000000" w:fill="FFFFFF"/>
                  <w:noWrap w:val="0"/>
                  <w:vAlign w:val="center"/>
                </w:tcPr>
                <w:p w14:paraId="30B26D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3</w:t>
                  </w:r>
                </w:p>
              </w:tc>
              <w:tc>
                <w:tcPr>
                  <w:tcW w:w="4685" w:type="dxa"/>
                  <w:tcBorders>
                    <w:tl2br w:val="nil"/>
                    <w:tr2bl w:val="nil"/>
                  </w:tcBorders>
                  <w:shd w:val="clear" w:color="000000" w:fill="FFFFFF"/>
                  <w:noWrap w:val="0"/>
                  <w:vAlign w:val="center"/>
                </w:tcPr>
                <w:p w14:paraId="219BF2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石方开挖</w:t>
                  </w:r>
                </w:p>
              </w:tc>
              <w:tc>
                <w:tcPr>
                  <w:tcW w:w="944" w:type="dxa"/>
                  <w:tcBorders>
                    <w:tl2br w:val="nil"/>
                    <w:tr2bl w:val="nil"/>
                  </w:tcBorders>
                  <w:shd w:val="clear" w:color="000000" w:fill="FFFFFF"/>
                  <w:noWrap w:val="0"/>
                  <w:vAlign w:val="center"/>
                </w:tcPr>
                <w:p w14:paraId="6BB87C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27B176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95.98</w:t>
                  </w:r>
                </w:p>
              </w:tc>
              <w:tc>
                <w:tcPr>
                  <w:tcW w:w="524" w:type="pct"/>
                  <w:tcBorders>
                    <w:tl2br w:val="nil"/>
                    <w:tr2bl w:val="nil"/>
                  </w:tcBorders>
                  <w:shd w:val="clear" w:color="000000" w:fill="FFFFFF"/>
                  <w:noWrap w:val="0"/>
                  <w:vAlign w:val="center"/>
                </w:tcPr>
                <w:p w14:paraId="370623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6EA0B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 w:hRule="atLeast"/>
                <w:jc w:val="center"/>
              </w:trPr>
              <w:tc>
                <w:tcPr>
                  <w:tcW w:w="944" w:type="dxa"/>
                  <w:tcBorders>
                    <w:tl2br w:val="nil"/>
                    <w:tr2bl w:val="nil"/>
                  </w:tcBorders>
                  <w:shd w:val="clear" w:color="000000" w:fill="FFFFFF"/>
                  <w:noWrap w:val="0"/>
                  <w:vAlign w:val="center"/>
                </w:tcPr>
                <w:p w14:paraId="5E9E14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4</w:t>
                  </w:r>
                </w:p>
              </w:tc>
              <w:tc>
                <w:tcPr>
                  <w:tcW w:w="4685" w:type="dxa"/>
                  <w:tcBorders>
                    <w:tl2br w:val="nil"/>
                    <w:tr2bl w:val="nil"/>
                  </w:tcBorders>
                  <w:shd w:val="clear" w:color="000000" w:fill="FFFFFF"/>
                  <w:noWrap w:val="0"/>
                  <w:vAlign w:val="center"/>
                </w:tcPr>
                <w:p w14:paraId="0CB7EA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土石方回填</w:t>
                  </w:r>
                </w:p>
              </w:tc>
              <w:tc>
                <w:tcPr>
                  <w:tcW w:w="944" w:type="dxa"/>
                  <w:tcBorders>
                    <w:tl2br w:val="nil"/>
                    <w:tr2bl w:val="nil"/>
                  </w:tcBorders>
                  <w:shd w:val="clear" w:color="000000" w:fill="FFFFFF"/>
                  <w:noWrap w:val="0"/>
                  <w:vAlign w:val="center"/>
                </w:tcPr>
                <w:p w14:paraId="0920ED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0507D5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1273.38</w:t>
                  </w:r>
                </w:p>
              </w:tc>
              <w:tc>
                <w:tcPr>
                  <w:tcW w:w="524" w:type="pct"/>
                  <w:tcBorders>
                    <w:tl2br w:val="nil"/>
                    <w:tr2bl w:val="nil"/>
                  </w:tcBorders>
                  <w:shd w:val="clear" w:color="000000" w:fill="FFFFFF"/>
                  <w:noWrap w:val="0"/>
                  <w:vAlign w:val="center"/>
                </w:tcPr>
                <w:p w14:paraId="30177B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595245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944" w:type="dxa"/>
                  <w:tcBorders>
                    <w:tl2br w:val="nil"/>
                    <w:tr2bl w:val="nil"/>
                  </w:tcBorders>
                  <w:shd w:val="clear" w:color="000000" w:fill="FFFFFF"/>
                  <w:noWrap w:val="0"/>
                  <w:vAlign w:val="center"/>
                </w:tcPr>
                <w:p w14:paraId="58A451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5</w:t>
                  </w:r>
                </w:p>
              </w:tc>
              <w:tc>
                <w:tcPr>
                  <w:tcW w:w="4685" w:type="dxa"/>
                  <w:tcBorders>
                    <w:tl2br w:val="nil"/>
                    <w:tr2bl w:val="nil"/>
                  </w:tcBorders>
                  <w:shd w:val="clear" w:color="000000" w:fill="FFFFFF"/>
                  <w:noWrap w:val="0"/>
                  <w:vAlign w:val="center"/>
                </w:tcPr>
                <w:p w14:paraId="357474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块石护脚</w:t>
                  </w:r>
                </w:p>
              </w:tc>
              <w:tc>
                <w:tcPr>
                  <w:tcW w:w="944" w:type="dxa"/>
                  <w:tcBorders>
                    <w:tl2br w:val="nil"/>
                    <w:tr2bl w:val="nil"/>
                  </w:tcBorders>
                  <w:shd w:val="clear" w:color="000000" w:fill="FFFFFF"/>
                  <w:noWrap w:val="0"/>
                  <w:vAlign w:val="center"/>
                </w:tcPr>
                <w:p w14:paraId="137693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48853E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ascii="Times New Roman" w:hAnsi="Times New Roman" w:eastAsia="宋体"/>
                      <w:color w:val="auto"/>
                      <w:kern w:val="0"/>
                      <w:sz w:val="21"/>
                      <w:szCs w:val="21"/>
                      <w:highlight w:val="none"/>
                    </w:rPr>
                  </w:pPr>
                  <w:r>
                    <w:rPr>
                      <w:rFonts w:hint="eastAsia" w:ascii="Times New Roman" w:hAnsi="Times New Roman" w:eastAsia="宋体" w:cs="宋体"/>
                      <w:i w:val="0"/>
                      <w:iCs w:val="0"/>
                      <w:color w:val="auto"/>
                      <w:kern w:val="0"/>
                      <w:sz w:val="21"/>
                      <w:szCs w:val="21"/>
                      <w:highlight w:val="none"/>
                      <w:u w:val="none"/>
                      <w:lang w:val="en-US" w:eastAsia="zh-CN" w:bidi="ar"/>
                    </w:rPr>
                    <w:t>207.08</w:t>
                  </w:r>
                </w:p>
              </w:tc>
              <w:tc>
                <w:tcPr>
                  <w:tcW w:w="524" w:type="pct"/>
                  <w:tcBorders>
                    <w:tl2br w:val="nil"/>
                    <w:tr2bl w:val="nil"/>
                  </w:tcBorders>
                  <w:shd w:val="clear" w:color="000000" w:fill="FFFFFF"/>
                  <w:noWrap w:val="0"/>
                  <w:vAlign w:val="center"/>
                </w:tcPr>
                <w:p w14:paraId="13D145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5AE32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 w:hRule="atLeast"/>
                <w:jc w:val="center"/>
              </w:trPr>
              <w:tc>
                <w:tcPr>
                  <w:tcW w:w="944" w:type="dxa"/>
                  <w:tcBorders>
                    <w:tl2br w:val="nil"/>
                    <w:tr2bl w:val="nil"/>
                  </w:tcBorders>
                  <w:shd w:val="clear" w:color="000000" w:fill="FFFFFF"/>
                  <w:noWrap w:val="0"/>
                  <w:vAlign w:val="center"/>
                </w:tcPr>
                <w:p w14:paraId="08181D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6</w:t>
                  </w:r>
                </w:p>
              </w:tc>
              <w:tc>
                <w:tcPr>
                  <w:tcW w:w="4685" w:type="dxa"/>
                  <w:tcBorders>
                    <w:tl2br w:val="nil"/>
                    <w:tr2bl w:val="nil"/>
                  </w:tcBorders>
                  <w:shd w:val="clear" w:color="000000" w:fill="FFFFFF"/>
                  <w:noWrap w:val="0"/>
                  <w:vAlign w:val="center"/>
                </w:tcPr>
                <w:p w14:paraId="32D45F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块石碾压基础</w:t>
                  </w:r>
                </w:p>
              </w:tc>
              <w:tc>
                <w:tcPr>
                  <w:tcW w:w="944" w:type="dxa"/>
                  <w:tcBorders>
                    <w:tl2br w:val="nil"/>
                    <w:tr2bl w:val="nil"/>
                  </w:tcBorders>
                  <w:shd w:val="clear" w:color="000000" w:fill="FFFFFF"/>
                  <w:noWrap w:val="0"/>
                  <w:vAlign w:val="center"/>
                </w:tcPr>
                <w:p w14:paraId="5858BD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18FA41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195.39</w:t>
                  </w:r>
                </w:p>
              </w:tc>
              <w:tc>
                <w:tcPr>
                  <w:tcW w:w="524" w:type="pct"/>
                  <w:tcBorders>
                    <w:tl2br w:val="nil"/>
                    <w:tr2bl w:val="nil"/>
                  </w:tcBorders>
                  <w:shd w:val="clear" w:color="000000" w:fill="FFFFFF"/>
                  <w:noWrap w:val="0"/>
                  <w:vAlign w:val="center"/>
                </w:tcPr>
                <w:p w14:paraId="093872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577313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jc w:val="center"/>
              </w:trPr>
              <w:tc>
                <w:tcPr>
                  <w:tcW w:w="944" w:type="dxa"/>
                  <w:tcBorders>
                    <w:tl2br w:val="nil"/>
                    <w:tr2bl w:val="nil"/>
                  </w:tcBorders>
                  <w:shd w:val="clear" w:color="000000" w:fill="FFFFFF"/>
                  <w:noWrap w:val="0"/>
                  <w:vAlign w:val="center"/>
                </w:tcPr>
                <w:p w14:paraId="22881D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7</w:t>
                  </w:r>
                </w:p>
              </w:tc>
              <w:tc>
                <w:tcPr>
                  <w:tcW w:w="4685" w:type="dxa"/>
                  <w:tcBorders>
                    <w:tl2br w:val="nil"/>
                    <w:tr2bl w:val="nil"/>
                  </w:tcBorders>
                  <w:shd w:val="clear" w:color="000000" w:fill="FFFFFF"/>
                  <w:noWrap w:val="0"/>
                  <w:vAlign w:val="center"/>
                </w:tcPr>
                <w:p w14:paraId="772C2B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镇脚C20砼</w:t>
                  </w:r>
                </w:p>
              </w:tc>
              <w:tc>
                <w:tcPr>
                  <w:tcW w:w="944" w:type="dxa"/>
                  <w:tcBorders>
                    <w:tl2br w:val="nil"/>
                    <w:tr2bl w:val="nil"/>
                  </w:tcBorders>
                  <w:shd w:val="clear" w:color="000000" w:fill="FFFFFF"/>
                  <w:noWrap w:val="0"/>
                  <w:vAlign w:val="center"/>
                </w:tcPr>
                <w:p w14:paraId="2DF5BA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3739D3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240.48</w:t>
                  </w:r>
                </w:p>
              </w:tc>
              <w:tc>
                <w:tcPr>
                  <w:tcW w:w="524" w:type="pct"/>
                  <w:tcBorders>
                    <w:tl2br w:val="nil"/>
                    <w:tr2bl w:val="nil"/>
                  </w:tcBorders>
                  <w:shd w:val="clear" w:color="000000" w:fill="FFFFFF"/>
                  <w:noWrap w:val="0"/>
                  <w:vAlign w:val="center"/>
                </w:tcPr>
                <w:p w14:paraId="55179B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721B3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 w:hRule="atLeast"/>
                <w:jc w:val="center"/>
              </w:trPr>
              <w:tc>
                <w:tcPr>
                  <w:tcW w:w="944" w:type="dxa"/>
                  <w:tcBorders>
                    <w:tl2br w:val="nil"/>
                    <w:tr2bl w:val="nil"/>
                  </w:tcBorders>
                  <w:shd w:val="clear" w:color="000000" w:fill="FFFFFF"/>
                  <w:noWrap w:val="0"/>
                  <w:vAlign w:val="center"/>
                </w:tcPr>
                <w:p w14:paraId="2F083C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8</w:t>
                  </w:r>
                </w:p>
              </w:tc>
              <w:tc>
                <w:tcPr>
                  <w:tcW w:w="4685" w:type="dxa"/>
                  <w:tcBorders>
                    <w:tl2br w:val="nil"/>
                    <w:tr2bl w:val="nil"/>
                  </w:tcBorders>
                  <w:shd w:val="clear" w:color="000000" w:fill="FFFFFF"/>
                  <w:noWrap w:val="0"/>
                  <w:vAlign w:val="center"/>
                </w:tcPr>
                <w:p w14:paraId="6656E0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C25钢筋砼框格梁</w:t>
                  </w:r>
                </w:p>
              </w:tc>
              <w:tc>
                <w:tcPr>
                  <w:tcW w:w="944" w:type="dxa"/>
                  <w:tcBorders>
                    <w:tl2br w:val="nil"/>
                    <w:tr2bl w:val="nil"/>
                  </w:tcBorders>
                  <w:shd w:val="clear" w:color="000000" w:fill="FFFFFF"/>
                  <w:noWrap w:val="0"/>
                  <w:vAlign w:val="center"/>
                </w:tcPr>
                <w:p w14:paraId="0602DD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4EDA7D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14.47</w:t>
                  </w:r>
                </w:p>
              </w:tc>
              <w:tc>
                <w:tcPr>
                  <w:tcW w:w="524" w:type="pct"/>
                  <w:tcBorders>
                    <w:tl2br w:val="nil"/>
                    <w:tr2bl w:val="nil"/>
                  </w:tcBorders>
                  <w:shd w:val="clear" w:color="000000" w:fill="FFFFFF"/>
                  <w:noWrap w:val="0"/>
                  <w:vAlign w:val="center"/>
                </w:tcPr>
                <w:p w14:paraId="4C3BDA1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59F7D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 w:hRule="atLeast"/>
                <w:jc w:val="center"/>
              </w:trPr>
              <w:tc>
                <w:tcPr>
                  <w:tcW w:w="944" w:type="dxa"/>
                  <w:tcBorders>
                    <w:tl2br w:val="nil"/>
                    <w:tr2bl w:val="nil"/>
                  </w:tcBorders>
                  <w:shd w:val="clear" w:color="000000" w:fill="FFFFFF"/>
                  <w:noWrap w:val="0"/>
                  <w:vAlign w:val="center"/>
                </w:tcPr>
                <w:p w14:paraId="5E6923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9</w:t>
                  </w:r>
                </w:p>
              </w:tc>
              <w:tc>
                <w:tcPr>
                  <w:tcW w:w="4685" w:type="dxa"/>
                  <w:tcBorders>
                    <w:tl2br w:val="nil"/>
                    <w:tr2bl w:val="nil"/>
                  </w:tcBorders>
                  <w:shd w:val="clear" w:color="000000" w:fill="FFFFFF"/>
                  <w:noWrap w:val="0"/>
                  <w:vAlign w:val="center"/>
                </w:tcPr>
                <w:p w14:paraId="095280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C20砼预制空心六棱块护坡</w:t>
                  </w:r>
                </w:p>
              </w:tc>
              <w:tc>
                <w:tcPr>
                  <w:tcW w:w="944" w:type="dxa"/>
                  <w:tcBorders>
                    <w:tl2br w:val="nil"/>
                    <w:tr2bl w:val="nil"/>
                  </w:tcBorders>
                  <w:shd w:val="clear" w:color="000000" w:fill="FFFFFF"/>
                  <w:noWrap w:val="0"/>
                  <w:vAlign w:val="center"/>
                </w:tcPr>
                <w:p w14:paraId="202F60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4A5D35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52.60</w:t>
                  </w:r>
                </w:p>
              </w:tc>
              <w:tc>
                <w:tcPr>
                  <w:tcW w:w="524" w:type="pct"/>
                  <w:tcBorders>
                    <w:tl2br w:val="nil"/>
                    <w:tr2bl w:val="nil"/>
                  </w:tcBorders>
                  <w:shd w:val="clear" w:color="000000" w:fill="FFFFFF"/>
                  <w:noWrap w:val="0"/>
                  <w:vAlign w:val="center"/>
                </w:tcPr>
                <w:p w14:paraId="36FFED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50019F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 w:hRule="atLeast"/>
                <w:jc w:val="center"/>
              </w:trPr>
              <w:tc>
                <w:tcPr>
                  <w:tcW w:w="944" w:type="dxa"/>
                  <w:tcBorders>
                    <w:tl2br w:val="nil"/>
                    <w:tr2bl w:val="nil"/>
                  </w:tcBorders>
                  <w:shd w:val="clear" w:color="000000" w:fill="FFFFFF"/>
                  <w:noWrap w:val="0"/>
                  <w:vAlign w:val="center"/>
                </w:tcPr>
                <w:p w14:paraId="0FC653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10</w:t>
                  </w:r>
                </w:p>
              </w:tc>
              <w:tc>
                <w:tcPr>
                  <w:tcW w:w="4685" w:type="dxa"/>
                  <w:tcBorders>
                    <w:tl2br w:val="nil"/>
                    <w:tr2bl w:val="nil"/>
                  </w:tcBorders>
                  <w:shd w:val="clear" w:color="000000" w:fill="FFFFFF"/>
                  <w:noWrap w:val="0"/>
                  <w:vAlign w:val="center"/>
                </w:tcPr>
                <w:p w14:paraId="349184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亲水马道路面青石板 5cm厚</w:t>
                  </w:r>
                </w:p>
              </w:tc>
              <w:tc>
                <w:tcPr>
                  <w:tcW w:w="944" w:type="dxa"/>
                  <w:tcBorders>
                    <w:tl2br w:val="nil"/>
                    <w:tr2bl w:val="nil"/>
                  </w:tcBorders>
                  <w:shd w:val="clear" w:color="000000" w:fill="FFFFFF"/>
                  <w:noWrap w:val="0"/>
                  <w:vAlign w:val="center"/>
                </w:tcPr>
                <w:p w14:paraId="2CD238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55F682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267.20</w:t>
                  </w:r>
                </w:p>
              </w:tc>
              <w:tc>
                <w:tcPr>
                  <w:tcW w:w="524" w:type="pct"/>
                  <w:tcBorders>
                    <w:tl2br w:val="nil"/>
                    <w:tr2bl w:val="nil"/>
                  </w:tcBorders>
                  <w:shd w:val="clear" w:color="000000" w:fill="FFFFFF"/>
                  <w:noWrap w:val="0"/>
                  <w:vAlign w:val="center"/>
                </w:tcPr>
                <w:p w14:paraId="19D62C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07861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 w:hRule="atLeast"/>
                <w:jc w:val="center"/>
              </w:trPr>
              <w:tc>
                <w:tcPr>
                  <w:tcW w:w="944" w:type="dxa"/>
                  <w:tcBorders>
                    <w:tl2br w:val="nil"/>
                    <w:tr2bl w:val="nil"/>
                  </w:tcBorders>
                  <w:shd w:val="clear" w:color="000000" w:fill="FFFFFF"/>
                  <w:noWrap w:val="0"/>
                  <w:vAlign w:val="center"/>
                </w:tcPr>
                <w:p w14:paraId="22AA1D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11</w:t>
                  </w:r>
                </w:p>
              </w:tc>
              <w:tc>
                <w:tcPr>
                  <w:tcW w:w="4685" w:type="dxa"/>
                  <w:tcBorders>
                    <w:tl2br w:val="nil"/>
                    <w:tr2bl w:val="nil"/>
                  </w:tcBorders>
                  <w:shd w:val="clear" w:color="000000" w:fill="FFFFFF"/>
                  <w:noWrap w:val="0"/>
                  <w:vAlign w:val="center"/>
                </w:tcPr>
                <w:p w14:paraId="741338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亲水马道路面水泥砂浆 5cm厚</w:t>
                  </w:r>
                </w:p>
              </w:tc>
              <w:tc>
                <w:tcPr>
                  <w:tcW w:w="944" w:type="dxa"/>
                  <w:tcBorders>
                    <w:tl2br w:val="nil"/>
                    <w:tr2bl w:val="nil"/>
                  </w:tcBorders>
                  <w:shd w:val="clear" w:color="000000" w:fill="FFFFFF"/>
                  <w:noWrap w:val="0"/>
                  <w:vAlign w:val="center"/>
                </w:tcPr>
                <w:p w14:paraId="468A2F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0AC88A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267.20</w:t>
                  </w:r>
                </w:p>
              </w:tc>
              <w:tc>
                <w:tcPr>
                  <w:tcW w:w="524" w:type="pct"/>
                  <w:tcBorders>
                    <w:tl2br w:val="nil"/>
                    <w:tr2bl w:val="nil"/>
                  </w:tcBorders>
                  <w:shd w:val="clear" w:color="000000" w:fill="FFFFFF"/>
                  <w:noWrap w:val="0"/>
                  <w:vAlign w:val="center"/>
                </w:tcPr>
                <w:p w14:paraId="618510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101E0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 w:hRule="atLeast"/>
                <w:jc w:val="center"/>
              </w:trPr>
              <w:tc>
                <w:tcPr>
                  <w:tcW w:w="944" w:type="dxa"/>
                  <w:tcBorders>
                    <w:tl2br w:val="nil"/>
                    <w:tr2bl w:val="nil"/>
                  </w:tcBorders>
                  <w:shd w:val="clear" w:color="000000" w:fill="FFFFFF"/>
                  <w:noWrap w:val="0"/>
                  <w:vAlign w:val="center"/>
                </w:tcPr>
                <w:p w14:paraId="0D0348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12</w:t>
                  </w:r>
                </w:p>
              </w:tc>
              <w:tc>
                <w:tcPr>
                  <w:tcW w:w="4685" w:type="dxa"/>
                  <w:tcBorders>
                    <w:tl2br w:val="nil"/>
                    <w:tr2bl w:val="nil"/>
                  </w:tcBorders>
                  <w:shd w:val="clear" w:color="000000" w:fill="FFFFFF"/>
                  <w:noWrap w:val="0"/>
                  <w:vAlign w:val="center"/>
                </w:tcPr>
                <w:p w14:paraId="522AA7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亲水马道C20砼垫层 10cm厚</w:t>
                  </w:r>
                </w:p>
              </w:tc>
              <w:tc>
                <w:tcPr>
                  <w:tcW w:w="944" w:type="dxa"/>
                  <w:tcBorders>
                    <w:tl2br w:val="nil"/>
                    <w:tr2bl w:val="nil"/>
                  </w:tcBorders>
                  <w:shd w:val="clear" w:color="000000" w:fill="FFFFFF"/>
                  <w:noWrap w:val="0"/>
                  <w:vAlign w:val="center"/>
                </w:tcPr>
                <w:p w14:paraId="4777E6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254859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26.72</w:t>
                  </w:r>
                </w:p>
              </w:tc>
              <w:tc>
                <w:tcPr>
                  <w:tcW w:w="524" w:type="pct"/>
                  <w:tcBorders>
                    <w:tl2br w:val="nil"/>
                    <w:tr2bl w:val="nil"/>
                  </w:tcBorders>
                  <w:shd w:val="clear" w:color="000000" w:fill="FFFFFF"/>
                  <w:noWrap w:val="0"/>
                  <w:vAlign w:val="center"/>
                </w:tcPr>
                <w:p w14:paraId="2F6C184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027FB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 w:hRule="atLeast"/>
                <w:jc w:val="center"/>
              </w:trPr>
              <w:tc>
                <w:tcPr>
                  <w:tcW w:w="944" w:type="dxa"/>
                  <w:tcBorders>
                    <w:tl2br w:val="nil"/>
                    <w:tr2bl w:val="nil"/>
                  </w:tcBorders>
                  <w:shd w:val="clear" w:color="000000" w:fill="FFFFFF"/>
                  <w:noWrap w:val="0"/>
                  <w:vAlign w:val="center"/>
                </w:tcPr>
                <w:p w14:paraId="7FB99E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13</w:t>
                  </w:r>
                </w:p>
              </w:tc>
              <w:tc>
                <w:tcPr>
                  <w:tcW w:w="4685" w:type="dxa"/>
                  <w:tcBorders>
                    <w:tl2br w:val="nil"/>
                    <w:tr2bl w:val="nil"/>
                  </w:tcBorders>
                  <w:shd w:val="clear" w:color="000000" w:fill="FFFFFF"/>
                  <w:noWrap w:val="0"/>
                  <w:vAlign w:val="center"/>
                </w:tcPr>
                <w:p w14:paraId="005AD0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亲水马道碎石垫层 10cm厚</w:t>
                  </w:r>
                </w:p>
              </w:tc>
              <w:tc>
                <w:tcPr>
                  <w:tcW w:w="944" w:type="dxa"/>
                  <w:tcBorders>
                    <w:tl2br w:val="nil"/>
                    <w:tr2bl w:val="nil"/>
                  </w:tcBorders>
                  <w:shd w:val="clear" w:color="000000" w:fill="FFFFFF"/>
                  <w:noWrap w:val="0"/>
                  <w:vAlign w:val="center"/>
                </w:tcPr>
                <w:p w14:paraId="5A8C0A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0BD461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26.72</w:t>
                  </w:r>
                </w:p>
              </w:tc>
              <w:tc>
                <w:tcPr>
                  <w:tcW w:w="524" w:type="pct"/>
                  <w:tcBorders>
                    <w:tl2br w:val="nil"/>
                    <w:tr2bl w:val="nil"/>
                  </w:tcBorders>
                  <w:shd w:val="clear" w:color="000000" w:fill="FFFFFF"/>
                  <w:noWrap w:val="0"/>
                  <w:vAlign w:val="center"/>
                </w:tcPr>
                <w:p w14:paraId="2C6007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55FF3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944" w:type="dxa"/>
                  <w:tcBorders>
                    <w:tl2br w:val="nil"/>
                    <w:tr2bl w:val="nil"/>
                  </w:tcBorders>
                  <w:shd w:val="clear" w:color="000000" w:fill="FFFFFF"/>
                  <w:noWrap w:val="0"/>
                  <w:vAlign w:val="center"/>
                </w:tcPr>
                <w:p w14:paraId="4B3590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14</w:t>
                  </w:r>
                </w:p>
              </w:tc>
              <w:tc>
                <w:tcPr>
                  <w:tcW w:w="4685" w:type="dxa"/>
                  <w:tcBorders>
                    <w:tl2br w:val="nil"/>
                    <w:tr2bl w:val="nil"/>
                  </w:tcBorders>
                  <w:shd w:val="clear" w:color="000000" w:fill="FFFFFF"/>
                  <w:noWrap w:val="0"/>
                  <w:vAlign w:val="center"/>
                </w:tcPr>
                <w:p w14:paraId="334DB5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亲水马道预制路沿石C20砼</w:t>
                  </w:r>
                </w:p>
              </w:tc>
              <w:tc>
                <w:tcPr>
                  <w:tcW w:w="944" w:type="dxa"/>
                  <w:tcBorders>
                    <w:tl2br w:val="nil"/>
                    <w:tr2bl w:val="nil"/>
                  </w:tcBorders>
                  <w:shd w:val="clear" w:color="000000" w:fill="FFFFFF"/>
                  <w:noWrap w:val="0"/>
                  <w:vAlign w:val="center"/>
                </w:tcPr>
                <w:p w14:paraId="33E5C3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21FC6A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20.04</w:t>
                  </w:r>
                </w:p>
              </w:tc>
              <w:tc>
                <w:tcPr>
                  <w:tcW w:w="524" w:type="pct"/>
                  <w:tcBorders>
                    <w:tl2br w:val="nil"/>
                    <w:tr2bl w:val="nil"/>
                  </w:tcBorders>
                  <w:shd w:val="clear" w:color="000000" w:fill="FFFFFF"/>
                  <w:noWrap w:val="0"/>
                  <w:vAlign w:val="center"/>
                </w:tcPr>
                <w:p w14:paraId="3C3EC3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1BD1D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 w:hRule="atLeast"/>
                <w:jc w:val="center"/>
              </w:trPr>
              <w:tc>
                <w:tcPr>
                  <w:tcW w:w="944" w:type="dxa"/>
                  <w:tcBorders>
                    <w:tl2br w:val="nil"/>
                    <w:tr2bl w:val="nil"/>
                  </w:tcBorders>
                  <w:shd w:val="clear" w:color="000000" w:fill="FFFFFF"/>
                  <w:noWrap w:val="0"/>
                  <w:vAlign w:val="center"/>
                </w:tcPr>
                <w:p w14:paraId="68A292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15</w:t>
                  </w:r>
                </w:p>
              </w:tc>
              <w:tc>
                <w:tcPr>
                  <w:tcW w:w="4685" w:type="dxa"/>
                  <w:tcBorders>
                    <w:tl2br w:val="nil"/>
                    <w:tr2bl w:val="nil"/>
                  </w:tcBorders>
                  <w:shd w:val="clear" w:color="000000" w:fill="FFFFFF"/>
                  <w:noWrap w:val="0"/>
                  <w:vAlign w:val="center"/>
                </w:tcPr>
                <w:p w14:paraId="0182F6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亲水马道警示桩</w:t>
                  </w:r>
                </w:p>
              </w:tc>
              <w:tc>
                <w:tcPr>
                  <w:tcW w:w="944" w:type="dxa"/>
                  <w:tcBorders>
                    <w:tl2br w:val="nil"/>
                    <w:tr2bl w:val="nil"/>
                  </w:tcBorders>
                  <w:shd w:val="clear" w:color="000000" w:fill="FFFFFF"/>
                  <w:noWrap w:val="0"/>
                  <w:vAlign w:val="center"/>
                </w:tcPr>
                <w:p w14:paraId="4A6E2B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m</w:t>
                  </w:r>
                </w:p>
              </w:tc>
              <w:tc>
                <w:tcPr>
                  <w:tcW w:w="1492" w:type="dxa"/>
                  <w:tcBorders>
                    <w:tl2br w:val="nil"/>
                    <w:tr2bl w:val="nil"/>
                  </w:tcBorders>
                  <w:shd w:val="clear" w:color="000000" w:fill="FFFFFF"/>
                  <w:noWrap w:val="0"/>
                  <w:vAlign w:val="center"/>
                </w:tcPr>
                <w:p w14:paraId="30E9A4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167.00</w:t>
                  </w:r>
                </w:p>
              </w:tc>
              <w:tc>
                <w:tcPr>
                  <w:tcW w:w="524" w:type="pct"/>
                  <w:tcBorders>
                    <w:tl2br w:val="nil"/>
                    <w:tr2bl w:val="nil"/>
                  </w:tcBorders>
                  <w:shd w:val="clear" w:color="000000" w:fill="FFFFFF"/>
                  <w:noWrap w:val="0"/>
                  <w:vAlign w:val="center"/>
                </w:tcPr>
                <w:p w14:paraId="64823C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4A196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 w:hRule="atLeast"/>
                <w:jc w:val="center"/>
              </w:trPr>
              <w:tc>
                <w:tcPr>
                  <w:tcW w:w="944" w:type="dxa"/>
                  <w:tcBorders>
                    <w:tl2br w:val="nil"/>
                    <w:tr2bl w:val="nil"/>
                  </w:tcBorders>
                  <w:shd w:val="clear" w:color="000000" w:fill="FFFFFF"/>
                  <w:noWrap w:val="0"/>
                  <w:vAlign w:val="center"/>
                </w:tcPr>
                <w:p w14:paraId="5664E3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16</w:t>
                  </w:r>
                </w:p>
              </w:tc>
              <w:tc>
                <w:tcPr>
                  <w:tcW w:w="4685" w:type="dxa"/>
                  <w:tcBorders>
                    <w:tl2br w:val="nil"/>
                    <w:tr2bl w:val="nil"/>
                  </w:tcBorders>
                  <w:shd w:val="clear" w:color="000000" w:fill="FFFFFF"/>
                  <w:noWrap w:val="0"/>
                  <w:vAlign w:val="center"/>
                </w:tcPr>
                <w:p w14:paraId="3EADEE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种植土回填</w:t>
                  </w:r>
                </w:p>
              </w:tc>
              <w:tc>
                <w:tcPr>
                  <w:tcW w:w="944" w:type="dxa"/>
                  <w:tcBorders>
                    <w:tl2br w:val="nil"/>
                    <w:tr2bl w:val="nil"/>
                  </w:tcBorders>
                  <w:shd w:val="clear" w:color="000000" w:fill="FFFFFF"/>
                  <w:noWrap w:val="0"/>
                  <w:vAlign w:val="center"/>
                </w:tcPr>
                <w:p w14:paraId="5F333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7DD727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459.25</w:t>
                  </w:r>
                </w:p>
              </w:tc>
              <w:tc>
                <w:tcPr>
                  <w:tcW w:w="524" w:type="pct"/>
                  <w:tcBorders>
                    <w:tl2br w:val="nil"/>
                    <w:tr2bl w:val="nil"/>
                  </w:tcBorders>
                  <w:shd w:val="clear" w:color="000000" w:fill="FFFFFF"/>
                  <w:noWrap w:val="0"/>
                  <w:vAlign w:val="center"/>
                </w:tcPr>
                <w:p w14:paraId="1C2823D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462B0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944" w:type="dxa"/>
                  <w:tcBorders>
                    <w:tl2br w:val="nil"/>
                    <w:tr2bl w:val="nil"/>
                  </w:tcBorders>
                  <w:shd w:val="clear" w:color="000000" w:fill="FFFFFF"/>
                  <w:noWrap w:val="0"/>
                  <w:vAlign w:val="center"/>
                </w:tcPr>
                <w:p w14:paraId="229E92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17</w:t>
                  </w:r>
                </w:p>
              </w:tc>
              <w:tc>
                <w:tcPr>
                  <w:tcW w:w="4685" w:type="dxa"/>
                  <w:tcBorders>
                    <w:tl2br w:val="nil"/>
                    <w:tr2bl w:val="nil"/>
                  </w:tcBorders>
                  <w:shd w:val="clear" w:color="000000" w:fill="FFFFFF"/>
                  <w:noWrap w:val="0"/>
                  <w:vAlign w:val="center"/>
                </w:tcPr>
                <w:p w14:paraId="75852B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草皮护坡</w:t>
                  </w:r>
                </w:p>
              </w:tc>
              <w:tc>
                <w:tcPr>
                  <w:tcW w:w="944" w:type="dxa"/>
                  <w:tcBorders>
                    <w:tl2br w:val="nil"/>
                    <w:tr2bl w:val="nil"/>
                  </w:tcBorders>
                  <w:shd w:val="clear" w:color="000000" w:fill="FFFFFF"/>
                  <w:noWrap w:val="0"/>
                  <w:vAlign w:val="center"/>
                </w:tcPr>
                <w:p w14:paraId="5E55E2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4CED7A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2296.25</w:t>
                  </w:r>
                </w:p>
              </w:tc>
              <w:tc>
                <w:tcPr>
                  <w:tcW w:w="524" w:type="pct"/>
                  <w:tcBorders>
                    <w:tl2br w:val="nil"/>
                    <w:tr2bl w:val="nil"/>
                  </w:tcBorders>
                  <w:shd w:val="clear" w:color="000000" w:fill="FFFFFF"/>
                  <w:noWrap w:val="0"/>
                  <w:vAlign w:val="center"/>
                </w:tcPr>
                <w:p w14:paraId="4C040E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4CD4F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944" w:type="dxa"/>
                  <w:tcBorders>
                    <w:tl2br w:val="nil"/>
                    <w:tr2bl w:val="nil"/>
                  </w:tcBorders>
                  <w:shd w:val="clear" w:color="000000" w:fill="FFFFFF"/>
                  <w:noWrap w:val="0"/>
                  <w:vAlign w:val="center"/>
                </w:tcPr>
                <w:p w14:paraId="11D770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18</w:t>
                  </w:r>
                </w:p>
              </w:tc>
              <w:tc>
                <w:tcPr>
                  <w:tcW w:w="4685" w:type="dxa"/>
                  <w:tcBorders>
                    <w:tl2br w:val="nil"/>
                    <w:tr2bl w:val="nil"/>
                  </w:tcBorders>
                  <w:shd w:val="clear" w:color="000000" w:fill="FFFFFF"/>
                  <w:noWrap w:val="0"/>
                  <w:vAlign w:val="center"/>
                </w:tcPr>
                <w:p w14:paraId="12A3C3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模板制安</w:t>
                  </w:r>
                </w:p>
              </w:tc>
              <w:tc>
                <w:tcPr>
                  <w:tcW w:w="944" w:type="dxa"/>
                  <w:tcBorders>
                    <w:tl2br w:val="nil"/>
                    <w:tr2bl w:val="nil"/>
                  </w:tcBorders>
                  <w:shd w:val="clear" w:color="000000" w:fill="FFFFFF"/>
                  <w:noWrap w:val="0"/>
                  <w:vAlign w:val="center"/>
                </w:tcPr>
                <w:p w14:paraId="712CE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31662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1320.40</w:t>
                  </w:r>
                </w:p>
              </w:tc>
              <w:tc>
                <w:tcPr>
                  <w:tcW w:w="524" w:type="pct"/>
                  <w:tcBorders>
                    <w:tl2br w:val="nil"/>
                    <w:tr2bl w:val="nil"/>
                  </w:tcBorders>
                  <w:shd w:val="clear" w:color="000000" w:fill="FFFFFF"/>
                  <w:noWrap w:val="0"/>
                  <w:vAlign w:val="center"/>
                </w:tcPr>
                <w:p w14:paraId="1682B2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2A8F3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44" w:type="dxa"/>
                  <w:tcBorders>
                    <w:tl2br w:val="nil"/>
                    <w:tr2bl w:val="nil"/>
                  </w:tcBorders>
                  <w:shd w:val="clear" w:color="000000" w:fill="FFFFFF"/>
                  <w:noWrap w:val="0"/>
                  <w:vAlign w:val="center"/>
                </w:tcPr>
                <w:p w14:paraId="40F9DD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19</w:t>
                  </w:r>
                </w:p>
              </w:tc>
              <w:tc>
                <w:tcPr>
                  <w:tcW w:w="4685" w:type="dxa"/>
                  <w:tcBorders>
                    <w:tl2br w:val="nil"/>
                    <w:tr2bl w:val="nil"/>
                  </w:tcBorders>
                  <w:shd w:val="clear" w:color="000000" w:fill="FFFFFF"/>
                  <w:noWrap w:val="0"/>
                  <w:vAlign w:val="center"/>
                </w:tcPr>
                <w:p w14:paraId="29D539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聚乙烯泡沫板分缝 2cm厚</w:t>
                  </w:r>
                </w:p>
              </w:tc>
              <w:tc>
                <w:tcPr>
                  <w:tcW w:w="944" w:type="dxa"/>
                  <w:tcBorders>
                    <w:tl2br w:val="nil"/>
                    <w:tr2bl w:val="nil"/>
                  </w:tcBorders>
                  <w:shd w:val="clear" w:color="000000" w:fill="FFFFFF"/>
                  <w:noWrap w:val="0"/>
                  <w:vAlign w:val="center"/>
                </w:tcPr>
                <w:p w14:paraId="0D1867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2</w:t>
                  </w:r>
                </w:p>
              </w:tc>
              <w:tc>
                <w:tcPr>
                  <w:tcW w:w="1492" w:type="dxa"/>
                  <w:tcBorders>
                    <w:tl2br w:val="nil"/>
                    <w:tr2bl w:val="nil"/>
                  </w:tcBorders>
                  <w:shd w:val="clear" w:color="000000" w:fill="FFFFFF"/>
                  <w:noWrap w:val="0"/>
                  <w:vAlign w:val="center"/>
                </w:tcPr>
                <w:p w14:paraId="13019B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60.58</w:t>
                  </w:r>
                </w:p>
              </w:tc>
              <w:tc>
                <w:tcPr>
                  <w:tcW w:w="524" w:type="pct"/>
                  <w:tcBorders>
                    <w:tl2br w:val="nil"/>
                    <w:tr2bl w:val="nil"/>
                  </w:tcBorders>
                  <w:shd w:val="clear" w:color="000000" w:fill="FFFFFF"/>
                  <w:noWrap w:val="0"/>
                  <w:vAlign w:val="center"/>
                </w:tcPr>
                <w:p w14:paraId="37A44C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33931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44" w:type="dxa"/>
                  <w:tcBorders>
                    <w:tl2br w:val="nil"/>
                    <w:tr2bl w:val="nil"/>
                  </w:tcBorders>
                  <w:shd w:val="clear" w:color="000000" w:fill="FFFFFF"/>
                  <w:noWrap w:val="0"/>
                  <w:vAlign w:val="center"/>
                </w:tcPr>
                <w:p w14:paraId="111CDD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20</w:t>
                  </w:r>
                </w:p>
              </w:tc>
              <w:tc>
                <w:tcPr>
                  <w:tcW w:w="4685" w:type="dxa"/>
                  <w:tcBorders>
                    <w:tl2br w:val="nil"/>
                    <w:tr2bl w:val="nil"/>
                  </w:tcBorders>
                  <w:shd w:val="clear" w:color="000000" w:fill="FFFFFF"/>
                  <w:noWrap w:val="0"/>
                  <w:vAlign w:val="center"/>
                </w:tcPr>
                <w:p w14:paraId="2B504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钢筋制安</w:t>
                  </w:r>
                </w:p>
              </w:tc>
              <w:tc>
                <w:tcPr>
                  <w:tcW w:w="944" w:type="dxa"/>
                  <w:tcBorders>
                    <w:tl2br w:val="nil"/>
                    <w:tr2bl w:val="nil"/>
                  </w:tcBorders>
                  <w:shd w:val="clear" w:color="000000" w:fill="FFFFFF"/>
                  <w:noWrap w:val="0"/>
                  <w:vAlign w:val="center"/>
                </w:tcPr>
                <w:p w14:paraId="06031A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t</w:t>
                  </w:r>
                </w:p>
              </w:tc>
              <w:tc>
                <w:tcPr>
                  <w:tcW w:w="1492" w:type="dxa"/>
                  <w:tcBorders>
                    <w:tl2br w:val="nil"/>
                    <w:tr2bl w:val="nil"/>
                  </w:tcBorders>
                  <w:shd w:val="clear" w:color="000000" w:fill="FFFFFF"/>
                  <w:noWrap w:val="0"/>
                  <w:vAlign w:val="center"/>
                </w:tcPr>
                <w:p w14:paraId="1B7D54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1.24</w:t>
                  </w:r>
                </w:p>
              </w:tc>
              <w:tc>
                <w:tcPr>
                  <w:tcW w:w="524" w:type="pct"/>
                  <w:tcBorders>
                    <w:tl2br w:val="nil"/>
                    <w:tr2bl w:val="nil"/>
                  </w:tcBorders>
                  <w:shd w:val="clear" w:color="000000" w:fill="FFFFFF"/>
                  <w:noWrap w:val="0"/>
                  <w:vAlign w:val="center"/>
                </w:tcPr>
                <w:p w14:paraId="404EB7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3354A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44" w:type="dxa"/>
                  <w:tcBorders>
                    <w:tl2br w:val="nil"/>
                    <w:tr2bl w:val="nil"/>
                  </w:tcBorders>
                  <w:shd w:val="clear" w:color="000000" w:fill="FFFFFF"/>
                  <w:noWrap w:val="0"/>
                  <w:vAlign w:val="center"/>
                </w:tcPr>
                <w:p w14:paraId="57D510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13</w:t>
                  </w:r>
                </w:p>
              </w:tc>
              <w:tc>
                <w:tcPr>
                  <w:tcW w:w="4685" w:type="dxa"/>
                  <w:tcBorders>
                    <w:tl2br w:val="nil"/>
                    <w:tr2bl w:val="nil"/>
                  </w:tcBorders>
                  <w:shd w:val="clear" w:color="000000" w:fill="FFFFFF"/>
                  <w:noWrap w:val="0"/>
                  <w:vAlign w:val="center"/>
                </w:tcPr>
                <w:p w14:paraId="708968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亲水马道碎石垫层 10cm厚</w:t>
                  </w:r>
                </w:p>
              </w:tc>
              <w:tc>
                <w:tcPr>
                  <w:tcW w:w="944" w:type="dxa"/>
                  <w:tcBorders>
                    <w:tl2br w:val="nil"/>
                    <w:tr2bl w:val="nil"/>
                  </w:tcBorders>
                  <w:shd w:val="clear" w:color="000000" w:fill="FFFFFF"/>
                  <w:noWrap w:val="0"/>
                  <w:vAlign w:val="center"/>
                </w:tcPr>
                <w:p w14:paraId="175440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m</w:t>
                  </w:r>
                  <w:r>
                    <w:rPr>
                      <w:rFonts w:hint="eastAsia" w:ascii="Times New Roman" w:hAnsi="Times New Roman" w:eastAsia="宋体" w:cs="宋体"/>
                      <w:i w:val="0"/>
                      <w:iCs w:val="0"/>
                      <w:color w:val="auto"/>
                      <w:kern w:val="0"/>
                      <w:sz w:val="21"/>
                      <w:szCs w:val="21"/>
                      <w:highlight w:val="none"/>
                      <w:u w:val="none"/>
                      <w:vertAlign w:val="superscript"/>
                      <w:lang w:val="en-US" w:eastAsia="zh-CN" w:bidi="ar"/>
                    </w:rPr>
                    <w:t>3</w:t>
                  </w:r>
                </w:p>
              </w:tc>
              <w:tc>
                <w:tcPr>
                  <w:tcW w:w="1492" w:type="dxa"/>
                  <w:tcBorders>
                    <w:tl2br w:val="nil"/>
                    <w:tr2bl w:val="nil"/>
                  </w:tcBorders>
                  <w:shd w:val="clear" w:color="000000" w:fill="FFFFFF"/>
                  <w:noWrap w:val="0"/>
                  <w:vAlign w:val="center"/>
                </w:tcPr>
                <w:p w14:paraId="38F299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26.72</w:t>
                  </w:r>
                </w:p>
              </w:tc>
              <w:tc>
                <w:tcPr>
                  <w:tcW w:w="524" w:type="pct"/>
                  <w:tcBorders>
                    <w:tl2br w:val="nil"/>
                    <w:tr2bl w:val="nil"/>
                  </w:tcBorders>
                  <w:shd w:val="clear" w:color="000000" w:fill="FFFFFF"/>
                  <w:noWrap w:val="0"/>
                  <w:vAlign w:val="center"/>
                </w:tcPr>
                <w:p w14:paraId="132DC3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629DA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44" w:type="dxa"/>
                  <w:tcBorders>
                    <w:tl2br w:val="nil"/>
                    <w:tr2bl w:val="nil"/>
                  </w:tcBorders>
                  <w:shd w:val="clear" w:color="000000" w:fill="FFFFFF"/>
                  <w:noWrap w:val="0"/>
                  <w:vAlign w:val="center"/>
                </w:tcPr>
                <w:p w14:paraId="7BBD33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二</w:t>
                  </w:r>
                </w:p>
              </w:tc>
              <w:tc>
                <w:tcPr>
                  <w:tcW w:w="4685" w:type="dxa"/>
                  <w:tcBorders>
                    <w:tl2br w:val="nil"/>
                    <w:tr2bl w:val="nil"/>
                  </w:tcBorders>
                  <w:shd w:val="clear" w:color="000000" w:fill="FFFFFF"/>
                  <w:noWrap w:val="0"/>
                  <w:vAlign w:val="center"/>
                </w:tcPr>
                <w:p w14:paraId="49BB3C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其他建筑工程</w:t>
                  </w:r>
                </w:p>
              </w:tc>
              <w:tc>
                <w:tcPr>
                  <w:tcW w:w="944" w:type="dxa"/>
                  <w:tcBorders>
                    <w:tl2br w:val="nil"/>
                    <w:tr2bl w:val="nil"/>
                  </w:tcBorders>
                  <w:shd w:val="clear" w:color="000000" w:fill="FFFFFF"/>
                  <w:noWrap w:val="0"/>
                  <w:vAlign w:val="center"/>
                </w:tcPr>
                <w:p w14:paraId="0970BF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宋体"/>
                      <w:i w:val="0"/>
                      <w:iCs w:val="0"/>
                      <w:color w:val="auto"/>
                      <w:kern w:val="0"/>
                      <w:sz w:val="21"/>
                      <w:szCs w:val="21"/>
                      <w:highlight w:val="none"/>
                      <w:u w:val="none"/>
                      <w:lang w:val="en-US" w:eastAsia="zh-CN" w:bidi="ar"/>
                    </w:rPr>
                  </w:pPr>
                </w:p>
              </w:tc>
              <w:tc>
                <w:tcPr>
                  <w:tcW w:w="1492" w:type="dxa"/>
                  <w:tcBorders>
                    <w:tl2br w:val="nil"/>
                    <w:tr2bl w:val="nil"/>
                  </w:tcBorders>
                  <w:shd w:val="clear" w:color="000000" w:fill="FFFFFF"/>
                  <w:noWrap w:val="0"/>
                  <w:vAlign w:val="center"/>
                </w:tcPr>
                <w:p w14:paraId="0E4900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宋体"/>
                      <w:i w:val="0"/>
                      <w:iCs w:val="0"/>
                      <w:color w:val="auto"/>
                      <w:kern w:val="0"/>
                      <w:sz w:val="21"/>
                      <w:szCs w:val="21"/>
                      <w:highlight w:val="none"/>
                      <w:u w:val="none"/>
                      <w:lang w:val="en-US" w:eastAsia="zh-CN" w:bidi="ar"/>
                    </w:rPr>
                  </w:pPr>
                </w:p>
              </w:tc>
              <w:tc>
                <w:tcPr>
                  <w:tcW w:w="524" w:type="pct"/>
                  <w:tcBorders>
                    <w:tl2br w:val="nil"/>
                    <w:tr2bl w:val="nil"/>
                  </w:tcBorders>
                  <w:shd w:val="clear" w:color="000000" w:fill="FFFFFF"/>
                  <w:noWrap w:val="0"/>
                  <w:vAlign w:val="center"/>
                </w:tcPr>
                <w:p w14:paraId="37B0C9A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4E20E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 w:hRule="atLeast"/>
                <w:jc w:val="center"/>
              </w:trPr>
              <w:tc>
                <w:tcPr>
                  <w:tcW w:w="944" w:type="dxa"/>
                  <w:tcBorders>
                    <w:tl2br w:val="nil"/>
                    <w:tr2bl w:val="nil"/>
                  </w:tcBorders>
                  <w:shd w:val="clear" w:color="000000" w:fill="FFFFFF"/>
                  <w:noWrap w:val="0"/>
                  <w:vAlign w:val="center"/>
                </w:tcPr>
                <w:p w14:paraId="7C5AF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w:t>
                  </w:r>
                </w:p>
              </w:tc>
              <w:tc>
                <w:tcPr>
                  <w:tcW w:w="4685" w:type="dxa"/>
                  <w:tcBorders>
                    <w:tl2br w:val="nil"/>
                    <w:tr2bl w:val="nil"/>
                  </w:tcBorders>
                  <w:shd w:val="clear" w:color="000000" w:fill="FFFFFF"/>
                  <w:noWrap w:val="0"/>
                  <w:vAlign w:val="center"/>
                </w:tcPr>
                <w:p w14:paraId="3F4F3C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警示牌</w:t>
                  </w:r>
                </w:p>
              </w:tc>
              <w:tc>
                <w:tcPr>
                  <w:tcW w:w="944" w:type="dxa"/>
                  <w:tcBorders>
                    <w:tl2br w:val="nil"/>
                    <w:tr2bl w:val="nil"/>
                  </w:tcBorders>
                  <w:shd w:val="clear" w:color="000000" w:fill="FFFFFF"/>
                  <w:noWrap w:val="0"/>
                  <w:vAlign w:val="center"/>
                </w:tcPr>
                <w:p w14:paraId="53C709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块</w:t>
                  </w:r>
                </w:p>
              </w:tc>
              <w:tc>
                <w:tcPr>
                  <w:tcW w:w="1492" w:type="dxa"/>
                  <w:tcBorders>
                    <w:tl2br w:val="nil"/>
                    <w:tr2bl w:val="nil"/>
                  </w:tcBorders>
                  <w:shd w:val="clear" w:color="000000" w:fill="FFFFFF"/>
                  <w:noWrap w:val="0"/>
                  <w:vAlign w:val="center"/>
                </w:tcPr>
                <w:p w14:paraId="341823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4</w:t>
                  </w:r>
                </w:p>
              </w:tc>
              <w:tc>
                <w:tcPr>
                  <w:tcW w:w="524" w:type="pct"/>
                  <w:tcBorders>
                    <w:tl2br w:val="nil"/>
                    <w:tr2bl w:val="nil"/>
                  </w:tcBorders>
                  <w:shd w:val="clear" w:color="000000" w:fill="FFFFFF"/>
                  <w:noWrap w:val="0"/>
                  <w:vAlign w:val="center"/>
                </w:tcPr>
                <w:p w14:paraId="7ABA30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54A90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 w:hRule="atLeast"/>
                <w:jc w:val="center"/>
              </w:trPr>
              <w:tc>
                <w:tcPr>
                  <w:tcW w:w="944" w:type="dxa"/>
                  <w:tcBorders>
                    <w:tl2br w:val="nil"/>
                    <w:tr2bl w:val="nil"/>
                  </w:tcBorders>
                  <w:shd w:val="clear" w:color="000000" w:fill="FFFFFF"/>
                  <w:noWrap w:val="0"/>
                  <w:vAlign w:val="center"/>
                </w:tcPr>
                <w:p w14:paraId="0AFACF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2</w:t>
                  </w:r>
                </w:p>
              </w:tc>
              <w:tc>
                <w:tcPr>
                  <w:tcW w:w="4685" w:type="dxa"/>
                  <w:tcBorders>
                    <w:tl2br w:val="nil"/>
                    <w:tr2bl w:val="nil"/>
                  </w:tcBorders>
                  <w:shd w:val="clear" w:color="000000" w:fill="FFFFFF"/>
                  <w:noWrap w:val="0"/>
                  <w:vAlign w:val="center"/>
                </w:tcPr>
                <w:p w14:paraId="017BE8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水位标尺</w:t>
                  </w:r>
                </w:p>
              </w:tc>
              <w:tc>
                <w:tcPr>
                  <w:tcW w:w="944" w:type="dxa"/>
                  <w:tcBorders>
                    <w:tl2br w:val="nil"/>
                    <w:tr2bl w:val="nil"/>
                  </w:tcBorders>
                  <w:shd w:val="clear" w:color="000000" w:fill="FFFFFF"/>
                  <w:noWrap w:val="0"/>
                  <w:vAlign w:val="center"/>
                </w:tcPr>
                <w:p w14:paraId="493A18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块</w:t>
                  </w:r>
                </w:p>
              </w:tc>
              <w:tc>
                <w:tcPr>
                  <w:tcW w:w="1492" w:type="dxa"/>
                  <w:tcBorders>
                    <w:tl2br w:val="nil"/>
                    <w:tr2bl w:val="nil"/>
                  </w:tcBorders>
                  <w:shd w:val="clear" w:color="000000" w:fill="FFFFFF"/>
                  <w:noWrap w:val="0"/>
                  <w:vAlign w:val="center"/>
                </w:tcPr>
                <w:p w14:paraId="1A6BE1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2</w:t>
                  </w:r>
                </w:p>
              </w:tc>
              <w:tc>
                <w:tcPr>
                  <w:tcW w:w="524" w:type="pct"/>
                  <w:tcBorders>
                    <w:tl2br w:val="nil"/>
                    <w:tr2bl w:val="nil"/>
                  </w:tcBorders>
                  <w:shd w:val="clear" w:color="000000" w:fill="FFFFFF"/>
                  <w:noWrap w:val="0"/>
                  <w:vAlign w:val="center"/>
                </w:tcPr>
                <w:p w14:paraId="7A39A0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4189E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 w:hRule="atLeast"/>
                <w:jc w:val="center"/>
              </w:trPr>
              <w:tc>
                <w:tcPr>
                  <w:tcW w:w="944" w:type="dxa"/>
                  <w:tcBorders>
                    <w:tl2br w:val="nil"/>
                    <w:tr2bl w:val="nil"/>
                  </w:tcBorders>
                  <w:shd w:val="clear" w:color="000000" w:fill="FFFFFF"/>
                  <w:noWrap w:val="0"/>
                  <w:vAlign w:val="center"/>
                </w:tcPr>
                <w:p w14:paraId="1A2C1C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3</w:t>
                  </w:r>
                </w:p>
              </w:tc>
              <w:tc>
                <w:tcPr>
                  <w:tcW w:w="4685" w:type="dxa"/>
                  <w:tcBorders>
                    <w:tl2br w:val="nil"/>
                    <w:tr2bl w:val="nil"/>
                  </w:tcBorders>
                  <w:shd w:val="clear" w:color="000000" w:fill="FFFFFF"/>
                  <w:noWrap w:val="0"/>
                  <w:vAlign w:val="center"/>
                </w:tcPr>
                <w:p w14:paraId="5EC05D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竣工碑</w:t>
                  </w:r>
                </w:p>
              </w:tc>
              <w:tc>
                <w:tcPr>
                  <w:tcW w:w="944" w:type="dxa"/>
                  <w:tcBorders>
                    <w:tl2br w:val="nil"/>
                    <w:tr2bl w:val="nil"/>
                  </w:tcBorders>
                  <w:shd w:val="clear" w:color="000000" w:fill="FFFFFF"/>
                  <w:noWrap w:val="0"/>
                  <w:vAlign w:val="center"/>
                </w:tcPr>
                <w:p w14:paraId="0B80C7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座</w:t>
                  </w:r>
                </w:p>
              </w:tc>
              <w:tc>
                <w:tcPr>
                  <w:tcW w:w="1492" w:type="dxa"/>
                  <w:tcBorders>
                    <w:tl2br w:val="nil"/>
                    <w:tr2bl w:val="nil"/>
                  </w:tcBorders>
                  <w:shd w:val="clear" w:color="000000" w:fill="FFFFFF"/>
                  <w:noWrap w:val="0"/>
                  <w:vAlign w:val="center"/>
                </w:tcPr>
                <w:p w14:paraId="49D424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1</w:t>
                  </w:r>
                </w:p>
              </w:tc>
              <w:tc>
                <w:tcPr>
                  <w:tcW w:w="524" w:type="pct"/>
                  <w:tcBorders>
                    <w:tl2br w:val="nil"/>
                    <w:tr2bl w:val="nil"/>
                  </w:tcBorders>
                  <w:shd w:val="clear" w:color="000000" w:fill="FFFFFF"/>
                  <w:noWrap w:val="0"/>
                  <w:vAlign w:val="center"/>
                </w:tcPr>
                <w:p w14:paraId="3E8FC1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r w14:paraId="1E439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44" w:type="dxa"/>
                  <w:tcBorders>
                    <w:tl2br w:val="nil"/>
                    <w:tr2bl w:val="nil"/>
                  </w:tcBorders>
                  <w:shd w:val="clear" w:color="000000" w:fill="FFFFFF"/>
                  <w:noWrap w:val="0"/>
                  <w:vAlign w:val="center"/>
                </w:tcPr>
                <w:p w14:paraId="472A77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4</w:t>
                  </w:r>
                </w:p>
              </w:tc>
              <w:tc>
                <w:tcPr>
                  <w:tcW w:w="4685" w:type="dxa"/>
                  <w:tcBorders>
                    <w:tl2br w:val="nil"/>
                    <w:tr2bl w:val="nil"/>
                  </w:tcBorders>
                  <w:shd w:val="clear" w:color="000000" w:fill="FFFFFF"/>
                  <w:noWrap w:val="0"/>
                  <w:vAlign w:val="center"/>
                </w:tcPr>
                <w:p w14:paraId="05D814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其他建筑工程</w:t>
                  </w:r>
                </w:p>
              </w:tc>
              <w:tc>
                <w:tcPr>
                  <w:tcW w:w="944" w:type="dxa"/>
                  <w:tcBorders>
                    <w:tl2br w:val="nil"/>
                    <w:tr2bl w:val="nil"/>
                  </w:tcBorders>
                  <w:shd w:val="clear" w:color="000000" w:fill="FFFFFF"/>
                  <w:noWrap w:val="0"/>
                  <w:vAlign w:val="center"/>
                </w:tcPr>
                <w:p w14:paraId="08B7A0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w:t>
                  </w:r>
                </w:p>
              </w:tc>
              <w:tc>
                <w:tcPr>
                  <w:tcW w:w="1492" w:type="dxa"/>
                  <w:tcBorders>
                    <w:tl2br w:val="nil"/>
                    <w:tr2bl w:val="nil"/>
                  </w:tcBorders>
                  <w:shd w:val="clear" w:color="000000" w:fill="FFFFFF"/>
                  <w:noWrap w:val="0"/>
                  <w:vAlign w:val="center"/>
                </w:tcPr>
                <w:p w14:paraId="6F3883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宋体"/>
                      <w:i w:val="0"/>
                      <w:iCs w:val="0"/>
                      <w:color w:val="auto"/>
                      <w:kern w:val="0"/>
                      <w:sz w:val="21"/>
                      <w:szCs w:val="21"/>
                      <w:highlight w:val="none"/>
                      <w:u w:val="none"/>
                      <w:lang w:val="en-US" w:eastAsia="zh-CN" w:bidi="ar"/>
                    </w:rPr>
                  </w:pPr>
                  <w:r>
                    <w:rPr>
                      <w:rFonts w:hint="eastAsia" w:ascii="Times New Roman" w:hAnsi="Times New Roman" w:eastAsia="宋体" w:cs="宋体"/>
                      <w:i w:val="0"/>
                      <w:iCs w:val="0"/>
                      <w:color w:val="auto"/>
                      <w:kern w:val="0"/>
                      <w:sz w:val="21"/>
                      <w:szCs w:val="21"/>
                      <w:highlight w:val="none"/>
                      <w:u w:val="none"/>
                      <w:lang w:val="en-US" w:eastAsia="zh-CN" w:bidi="ar"/>
                    </w:rPr>
                    <w:t>0.3</w:t>
                  </w:r>
                </w:p>
              </w:tc>
              <w:tc>
                <w:tcPr>
                  <w:tcW w:w="524" w:type="pct"/>
                  <w:tcBorders>
                    <w:tl2br w:val="nil"/>
                    <w:tr2bl w:val="nil"/>
                  </w:tcBorders>
                  <w:shd w:val="clear" w:color="000000" w:fill="FFFFFF"/>
                  <w:noWrap w:val="0"/>
                  <w:vAlign w:val="center"/>
                </w:tcPr>
                <w:p w14:paraId="67B730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ascii="Times New Roman" w:hAnsi="Times New Roman" w:eastAsia="宋体"/>
                      <w:color w:val="auto"/>
                      <w:kern w:val="0"/>
                      <w:sz w:val="21"/>
                      <w:szCs w:val="21"/>
                      <w:highlight w:val="none"/>
                    </w:rPr>
                  </w:pPr>
                </w:p>
              </w:tc>
            </w:tr>
          </w:tbl>
          <w:p w14:paraId="12655E5C">
            <w:pPr>
              <w:keepNext w:val="0"/>
              <w:keepLines w:val="0"/>
              <w:pageBreakBefore w:val="0"/>
              <w:widowControl w:val="0"/>
              <w:kinsoku/>
              <w:wordWrap/>
              <w:overflowPunct/>
              <w:topLinePunct w:val="0"/>
              <w:autoSpaceDE/>
              <w:autoSpaceDN/>
              <w:bidi w:val="0"/>
              <w:adjustRightInd w:val="0"/>
              <w:snapToGrid w:val="0"/>
              <w:spacing w:before="169" w:beforeLines="50" w:line="240" w:lineRule="exact"/>
              <w:jc w:val="center"/>
              <w:textAlignment w:val="auto"/>
              <w:rPr>
                <w:rFonts w:hint="eastAsia" w:ascii="Times New Roman" w:hAnsi="Times New Roman" w:eastAsia="宋体"/>
                <w:b/>
                <w:color w:val="auto"/>
                <w:sz w:val="24"/>
                <w:highlight w:val="none"/>
              </w:rPr>
            </w:pPr>
            <w:r>
              <w:rPr>
                <w:rFonts w:hint="eastAsia" w:ascii="Times New Roman" w:hAnsi="Times New Roman" w:eastAsia="宋体"/>
                <w:b/>
                <w:color w:val="auto"/>
                <w:sz w:val="24"/>
                <w:highlight w:val="none"/>
              </w:rPr>
              <w:t>表2</w:t>
            </w:r>
            <w:r>
              <w:rPr>
                <w:rFonts w:ascii="Times New Roman" w:hAnsi="Times New Roman" w:eastAsia="宋体"/>
                <w:b/>
                <w:color w:val="auto"/>
                <w:sz w:val="24"/>
                <w:highlight w:val="none"/>
              </w:rPr>
              <w:t>.3-</w:t>
            </w:r>
            <w:r>
              <w:rPr>
                <w:rFonts w:hint="eastAsia"/>
                <w:b/>
                <w:color w:val="auto"/>
                <w:sz w:val="24"/>
                <w:highlight w:val="none"/>
                <w:lang w:val="en-US" w:eastAsia="zh-CN"/>
              </w:rPr>
              <w:t>16</w:t>
            </w:r>
            <w:r>
              <w:rPr>
                <w:rFonts w:ascii="Times New Roman" w:hAnsi="Times New Roman" w:eastAsia="宋体"/>
                <w:b/>
                <w:color w:val="auto"/>
                <w:sz w:val="24"/>
                <w:highlight w:val="none"/>
              </w:rPr>
              <w:t xml:space="preserve">  </w:t>
            </w:r>
            <w:r>
              <w:rPr>
                <w:rFonts w:hint="eastAsia" w:ascii="Times New Roman" w:hAnsi="Times New Roman" w:eastAsia="宋体"/>
                <w:b/>
                <w:color w:val="auto"/>
                <w:sz w:val="24"/>
                <w:highlight w:val="none"/>
                <w:lang w:val="en-US" w:eastAsia="zh-CN"/>
              </w:rPr>
              <w:t>本项目杨家镇</w:t>
            </w:r>
            <w:r>
              <w:rPr>
                <w:rFonts w:hint="eastAsia"/>
                <w:b/>
                <w:color w:val="auto"/>
                <w:sz w:val="24"/>
                <w:highlight w:val="none"/>
                <w:lang w:val="en-US" w:eastAsia="zh-CN"/>
              </w:rPr>
              <w:t>段</w:t>
            </w:r>
            <w:r>
              <w:rPr>
                <w:rFonts w:hint="eastAsia" w:ascii="Times New Roman" w:hAnsi="Times New Roman" w:eastAsia="宋体"/>
                <w:b/>
                <w:color w:val="auto"/>
                <w:sz w:val="24"/>
                <w:highlight w:val="none"/>
                <w:lang w:val="en-US" w:eastAsia="zh-CN"/>
              </w:rPr>
              <w:t>临时</w:t>
            </w:r>
            <w:r>
              <w:rPr>
                <w:rFonts w:hint="eastAsia" w:ascii="Times New Roman" w:hAnsi="Times New Roman" w:eastAsia="宋体"/>
                <w:b/>
                <w:color w:val="auto"/>
                <w:sz w:val="24"/>
                <w:highlight w:val="none"/>
              </w:rPr>
              <w:t>工程量一览表</w:t>
            </w:r>
          </w:p>
          <w:tbl>
            <w:tblPr>
              <w:tblStyle w:val="1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6"/>
              <w:gridCol w:w="4117"/>
              <w:gridCol w:w="1552"/>
              <w:gridCol w:w="1805"/>
            </w:tblGrid>
            <w:tr w14:paraId="7BF64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770B7179">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序号</w:t>
                  </w:r>
                </w:p>
              </w:tc>
              <w:tc>
                <w:tcPr>
                  <w:tcW w:w="2276" w:type="pct"/>
                  <w:tcBorders>
                    <w:tl2br w:val="nil"/>
                    <w:tr2bl w:val="nil"/>
                  </w:tcBorders>
                  <w:noWrap w:val="0"/>
                  <w:tcMar>
                    <w:top w:w="15" w:type="dxa"/>
                    <w:left w:w="15" w:type="dxa"/>
                    <w:right w:w="15" w:type="dxa"/>
                  </w:tcMar>
                  <w:vAlign w:val="center"/>
                </w:tcPr>
                <w:p w14:paraId="753B75F2">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 xml:space="preserve">工 程 名 称 </w:t>
                  </w:r>
                </w:p>
              </w:tc>
              <w:tc>
                <w:tcPr>
                  <w:tcW w:w="858" w:type="pct"/>
                  <w:tcBorders>
                    <w:tl2br w:val="nil"/>
                    <w:tr2bl w:val="nil"/>
                  </w:tcBorders>
                  <w:noWrap w:val="0"/>
                  <w:tcMar>
                    <w:top w:w="15" w:type="dxa"/>
                    <w:left w:w="15" w:type="dxa"/>
                    <w:right w:w="15" w:type="dxa"/>
                  </w:tcMar>
                  <w:vAlign w:val="center"/>
                </w:tcPr>
                <w:p w14:paraId="2240B91D">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单位</w:t>
                  </w:r>
                </w:p>
              </w:tc>
              <w:tc>
                <w:tcPr>
                  <w:tcW w:w="998" w:type="pct"/>
                  <w:tcBorders>
                    <w:tl2br w:val="nil"/>
                    <w:tr2bl w:val="nil"/>
                  </w:tcBorders>
                  <w:noWrap w:val="0"/>
                  <w:tcMar>
                    <w:top w:w="15" w:type="dxa"/>
                    <w:left w:w="15" w:type="dxa"/>
                    <w:right w:w="15" w:type="dxa"/>
                  </w:tcMar>
                  <w:vAlign w:val="center"/>
                </w:tcPr>
                <w:p w14:paraId="401F525C">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工程量</w:t>
                  </w:r>
                </w:p>
              </w:tc>
            </w:tr>
            <w:tr w14:paraId="32757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73F2F74D">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一</w:t>
                  </w:r>
                </w:p>
              </w:tc>
              <w:tc>
                <w:tcPr>
                  <w:tcW w:w="2276" w:type="pct"/>
                  <w:tcBorders>
                    <w:tl2br w:val="nil"/>
                    <w:tr2bl w:val="nil"/>
                  </w:tcBorders>
                  <w:noWrap w:val="0"/>
                  <w:tcMar>
                    <w:top w:w="15" w:type="dxa"/>
                    <w:left w:w="15" w:type="dxa"/>
                    <w:right w:w="15" w:type="dxa"/>
                  </w:tcMar>
                  <w:vAlign w:val="center"/>
                </w:tcPr>
                <w:p w14:paraId="4696C8EA">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第四部分  施工临时工程</w:t>
                  </w:r>
                </w:p>
              </w:tc>
              <w:tc>
                <w:tcPr>
                  <w:tcW w:w="858" w:type="pct"/>
                  <w:tcBorders>
                    <w:tl2br w:val="nil"/>
                    <w:tr2bl w:val="nil"/>
                  </w:tcBorders>
                  <w:noWrap/>
                  <w:tcMar>
                    <w:top w:w="15" w:type="dxa"/>
                    <w:left w:w="15" w:type="dxa"/>
                    <w:right w:w="15" w:type="dxa"/>
                  </w:tcMar>
                  <w:vAlign w:val="center"/>
                </w:tcPr>
                <w:p w14:paraId="01B0941C">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 xml:space="preserve"> </w:t>
                  </w:r>
                </w:p>
              </w:tc>
              <w:tc>
                <w:tcPr>
                  <w:tcW w:w="998" w:type="pct"/>
                  <w:tcBorders>
                    <w:tl2br w:val="nil"/>
                    <w:tr2bl w:val="nil"/>
                  </w:tcBorders>
                  <w:noWrap/>
                  <w:tcMar>
                    <w:top w:w="15" w:type="dxa"/>
                    <w:left w:w="15" w:type="dxa"/>
                    <w:right w:w="15" w:type="dxa"/>
                  </w:tcMar>
                  <w:vAlign w:val="center"/>
                </w:tcPr>
                <w:p w14:paraId="11073F06">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 xml:space="preserve"> </w:t>
                  </w:r>
                </w:p>
              </w:tc>
            </w:tr>
            <w:tr w14:paraId="01347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0B174C92">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(一)</w:t>
                  </w:r>
                </w:p>
              </w:tc>
              <w:tc>
                <w:tcPr>
                  <w:tcW w:w="2276" w:type="pct"/>
                  <w:tcBorders>
                    <w:tl2br w:val="nil"/>
                    <w:tr2bl w:val="nil"/>
                  </w:tcBorders>
                  <w:noWrap w:val="0"/>
                  <w:tcMar>
                    <w:top w:w="15" w:type="dxa"/>
                    <w:left w:w="15" w:type="dxa"/>
                    <w:right w:w="15" w:type="dxa"/>
                  </w:tcMar>
                  <w:vAlign w:val="center"/>
                </w:tcPr>
                <w:p w14:paraId="1C2B5B36">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导流工程</w:t>
                  </w:r>
                </w:p>
              </w:tc>
              <w:tc>
                <w:tcPr>
                  <w:tcW w:w="858" w:type="pct"/>
                  <w:tcBorders>
                    <w:tl2br w:val="nil"/>
                    <w:tr2bl w:val="nil"/>
                  </w:tcBorders>
                  <w:noWrap/>
                  <w:tcMar>
                    <w:top w:w="15" w:type="dxa"/>
                    <w:left w:w="15" w:type="dxa"/>
                    <w:right w:w="15" w:type="dxa"/>
                  </w:tcMar>
                  <w:vAlign w:val="center"/>
                </w:tcPr>
                <w:p w14:paraId="69BF73D7">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 xml:space="preserve"> </w:t>
                  </w:r>
                </w:p>
              </w:tc>
              <w:tc>
                <w:tcPr>
                  <w:tcW w:w="998" w:type="pct"/>
                  <w:tcBorders>
                    <w:tl2br w:val="nil"/>
                    <w:tr2bl w:val="nil"/>
                  </w:tcBorders>
                  <w:noWrap/>
                  <w:tcMar>
                    <w:top w:w="15" w:type="dxa"/>
                    <w:left w:w="15" w:type="dxa"/>
                    <w:right w:w="15" w:type="dxa"/>
                  </w:tcMar>
                  <w:vAlign w:val="center"/>
                </w:tcPr>
                <w:p w14:paraId="731FED4F">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 xml:space="preserve"> </w:t>
                  </w:r>
                </w:p>
              </w:tc>
            </w:tr>
            <w:tr w14:paraId="5D7A8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242BF67D">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1</w:t>
                  </w:r>
                </w:p>
              </w:tc>
              <w:tc>
                <w:tcPr>
                  <w:tcW w:w="2276" w:type="pct"/>
                  <w:tcBorders>
                    <w:tl2br w:val="nil"/>
                    <w:tr2bl w:val="nil"/>
                  </w:tcBorders>
                  <w:noWrap w:val="0"/>
                  <w:tcMar>
                    <w:top w:w="15" w:type="dxa"/>
                    <w:left w:w="15" w:type="dxa"/>
                    <w:right w:w="15" w:type="dxa"/>
                  </w:tcMar>
                  <w:vAlign w:val="center"/>
                </w:tcPr>
                <w:p w14:paraId="00E277BE">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渣料填筑(围堰利用开挖料)</w:t>
                  </w:r>
                </w:p>
              </w:tc>
              <w:tc>
                <w:tcPr>
                  <w:tcW w:w="858" w:type="pct"/>
                  <w:tcBorders>
                    <w:tl2br w:val="nil"/>
                    <w:tr2bl w:val="nil"/>
                  </w:tcBorders>
                  <w:noWrap w:val="0"/>
                  <w:tcMar>
                    <w:top w:w="15" w:type="dxa"/>
                    <w:left w:w="15" w:type="dxa"/>
                    <w:right w:w="15" w:type="dxa"/>
                  </w:tcMar>
                  <w:vAlign w:val="center"/>
                </w:tcPr>
                <w:p w14:paraId="04C88F39">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m</w:t>
                  </w:r>
                  <w:r>
                    <w:rPr>
                      <w:rFonts w:hint="eastAsia"/>
                      <w:color w:val="auto"/>
                      <w:sz w:val="21"/>
                      <w:szCs w:val="21"/>
                      <w:highlight w:val="none"/>
                      <w:vertAlign w:val="superscript"/>
                    </w:rPr>
                    <w:t>3</w:t>
                  </w:r>
                </w:p>
              </w:tc>
              <w:tc>
                <w:tcPr>
                  <w:tcW w:w="998" w:type="pct"/>
                  <w:tcBorders>
                    <w:tl2br w:val="nil"/>
                    <w:tr2bl w:val="nil"/>
                  </w:tcBorders>
                  <w:noWrap/>
                  <w:tcMar>
                    <w:top w:w="15" w:type="dxa"/>
                    <w:left w:w="15" w:type="dxa"/>
                    <w:right w:w="15" w:type="dxa"/>
                  </w:tcMar>
                  <w:vAlign w:val="center"/>
                </w:tcPr>
                <w:p w14:paraId="688F9D5D">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18845.23</w:t>
                  </w:r>
                </w:p>
              </w:tc>
            </w:tr>
            <w:tr w14:paraId="0770D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6FA8F651">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2</w:t>
                  </w:r>
                </w:p>
              </w:tc>
              <w:tc>
                <w:tcPr>
                  <w:tcW w:w="2276" w:type="pct"/>
                  <w:tcBorders>
                    <w:tl2br w:val="nil"/>
                    <w:tr2bl w:val="nil"/>
                  </w:tcBorders>
                  <w:noWrap w:val="0"/>
                  <w:tcMar>
                    <w:top w:w="15" w:type="dxa"/>
                    <w:left w:w="15" w:type="dxa"/>
                    <w:right w:w="15" w:type="dxa"/>
                  </w:tcMar>
                  <w:vAlign w:val="center"/>
                </w:tcPr>
                <w:p w14:paraId="3F0662C2">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渣料编织袋填筑(围堰利用开挖料)</w:t>
                  </w:r>
                </w:p>
              </w:tc>
              <w:tc>
                <w:tcPr>
                  <w:tcW w:w="858" w:type="pct"/>
                  <w:tcBorders>
                    <w:tl2br w:val="nil"/>
                    <w:tr2bl w:val="nil"/>
                  </w:tcBorders>
                  <w:noWrap w:val="0"/>
                  <w:tcMar>
                    <w:top w:w="15" w:type="dxa"/>
                    <w:left w:w="15" w:type="dxa"/>
                    <w:right w:w="15" w:type="dxa"/>
                  </w:tcMar>
                  <w:vAlign w:val="center"/>
                </w:tcPr>
                <w:p w14:paraId="74CB78C9">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m</w:t>
                  </w:r>
                  <w:r>
                    <w:rPr>
                      <w:rFonts w:hint="eastAsia"/>
                      <w:color w:val="auto"/>
                      <w:sz w:val="21"/>
                      <w:szCs w:val="21"/>
                      <w:highlight w:val="none"/>
                      <w:vertAlign w:val="superscript"/>
                    </w:rPr>
                    <w:t>3</w:t>
                  </w:r>
                </w:p>
              </w:tc>
              <w:tc>
                <w:tcPr>
                  <w:tcW w:w="998" w:type="pct"/>
                  <w:tcBorders>
                    <w:tl2br w:val="nil"/>
                    <w:tr2bl w:val="nil"/>
                  </w:tcBorders>
                  <w:noWrap/>
                  <w:tcMar>
                    <w:top w:w="15" w:type="dxa"/>
                    <w:left w:w="15" w:type="dxa"/>
                    <w:right w:w="15" w:type="dxa"/>
                  </w:tcMar>
                  <w:vAlign w:val="center"/>
                </w:tcPr>
                <w:p w14:paraId="3F864041">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4748.54</w:t>
                  </w:r>
                </w:p>
              </w:tc>
            </w:tr>
            <w:tr w14:paraId="226B6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062FFA8E">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3</w:t>
                  </w:r>
                </w:p>
              </w:tc>
              <w:tc>
                <w:tcPr>
                  <w:tcW w:w="2276" w:type="pct"/>
                  <w:tcBorders>
                    <w:tl2br w:val="nil"/>
                    <w:tr2bl w:val="nil"/>
                  </w:tcBorders>
                  <w:noWrap w:val="0"/>
                  <w:tcMar>
                    <w:top w:w="15" w:type="dxa"/>
                    <w:left w:w="15" w:type="dxa"/>
                    <w:right w:w="15" w:type="dxa"/>
                  </w:tcMar>
                  <w:vAlign w:val="center"/>
                </w:tcPr>
                <w:p w14:paraId="3FB7AB31">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围堰拆除</w:t>
                  </w:r>
                </w:p>
              </w:tc>
              <w:tc>
                <w:tcPr>
                  <w:tcW w:w="858" w:type="pct"/>
                  <w:tcBorders>
                    <w:tl2br w:val="nil"/>
                    <w:tr2bl w:val="nil"/>
                  </w:tcBorders>
                  <w:noWrap w:val="0"/>
                  <w:tcMar>
                    <w:top w:w="15" w:type="dxa"/>
                    <w:left w:w="15" w:type="dxa"/>
                    <w:right w:w="15" w:type="dxa"/>
                  </w:tcMar>
                  <w:vAlign w:val="center"/>
                </w:tcPr>
                <w:p w14:paraId="6BD5A25E">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m</w:t>
                  </w:r>
                  <w:r>
                    <w:rPr>
                      <w:rFonts w:hint="eastAsia"/>
                      <w:color w:val="auto"/>
                      <w:sz w:val="21"/>
                      <w:szCs w:val="21"/>
                      <w:highlight w:val="none"/>
                      <w:vertAlign w:val="superscript"/>
                    </w:rPr>
                    <w:t>3</w:t>
                  </w:r>
                </w:p>
              </w:tc>
              <w:tc>
                <w:tcPr>
                  <w:tcW w:w="998" w:type="pct"/>
                  <w:tcBorders>
                    <w:tl2br w:val="nil"/>
                    <w:tr2bl w:val="nil"/>
                  </w:tcBorders>
                  <w:noWrap/>
                  <w:tcMar>
                    <w:top w:w="15" w:type="dxa"/>
                    <w:left w:w="15" w:type="dxa"/>
                    <w:right w:w="15" w:type="dxa"/>
                  </w:tcMar>
                  <w:vAlign w:val="center"/>
                </w:tcPr>
                <w:p w14:paraId="19D60B07">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23593.77</w:t>
                  </w:r>
                </w:p>
              </w:tc>
            </w:tr>
            <w:tr w14:paraId="14405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2455FA56">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4</w:t>
                  </w:r>
                </w:p>
              </w:tc>
              <w:tc>
                <w:tcPr>
                  <w:tcW w:w="2276" w:type="pct"/>
                  <w:tcBorders>
                    <w:tl2br w:val="nil"/>
                    <w:tr2bl w:val="nil"/>
                  </w:tcBorders>
                  <w:noWrap w:val="0"/>
                  <w:tcMar>
                    <w:top w:w="15" w:type="dxa"/>
                    <w:left w:w="15" w:type="dxa"/>
                    <w:right w:w="15" w:type="dxa"/>
                  </w:tcMar>
                  <w:vAlign w:val="center"/>
                </w:tcPr>
                <w:p w14:paraId="0BAD2BA1">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复合土工膜(围堰)</w:t>
                  </w:r>
                </w:p>
              </w:tc>
              <w:tc>
                <w:tcPr>
                  <w:tcW w:w="858" w:type="pct"/>
                  <w:tcBorders>
                    <w:tl2br w:val="nil"/>
                    <w:tr2bl w:val="nil"/>
                  </w:tcBorders>
                  <w:noWrap w:val="0"/>
                  <w:tcMar>
                    <w:top w:w="15" w:type="dxa"/>
                    <w:left w:w="15" w:type="dxa"/>
                    <w:right w:w="15" w:type="dxa"/>
                  </w:tcMar>
                  <w:vAlign w:val="center"/>
                </w:tcPr>
                <w:p w14:paraId="71B67412">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m</w:t>
                  </w:r>
                  <w:r>
                    <w:rPr>
                      <w:rFonts w:hint="eastAsia"/>
                      <w:color w:val="auto"/>
                      <w:sz w:val="21"/>
                      <w:szCs w:val="21"/>
                      <w:highlight w:val="none"/>
                      <w:vertAlign w:val="superscript"/>
                    </w:rPr>
                    <w:t>2</w:t>
                  </w:r>
                </w:p>
              </w:tc>
              <w:tc>
                <w:tcPr>
                  <w:tcW w:w="998" w:type="pct"/>
                  <w:tcBorders>
                    <w:tl2br w:val="nil"/>
                    <w:tr2bl w:val="nil"/>
                  </w:tcBorders>
                  <w:noWrap/>
                  <w:tcMar>
                    <w:top w:w="15" w:type="dxa"/>
                    <w:left w:w="15" w:type="dxa"/>
                    <w:right w:w="15" w:type="dxa"/>
                  </w:tcMar>
                  <w:vAlign w:val="center"/>
                </w:tcPr>
                <w:p w14:paraId="6B97C34E">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9497.08</w:t>
                  </w:r>
                </w:p>
              </w:tc>
            </w:tr>
            <w:tr w14:paraId="4CC97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3A30D1FD">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5</w:t>
                  </w:r>
                </w:p>
              </w:tc>
              <w:tc>
                <w:tcPr>
                  <w:tcW w:w="2276" w:type="pct"/>
                  <w:tcBorders>
                    <w:tl2br w:val="nil"/>
                    <w:tr2bl w:val="nil"/>
                  </w:tcBorders>
                  <w:noWrap w:val="0"/>
                  <w:tcMar>
                    <w:top w:w="15" w:type="dxa"/>
                    <w:left w:w="15" w:type="dxa"/>
                    <w:right w:w="15" w:type="dxa"/>
                  </w:tcMar>
                  <w:vAlign w:val="center"/>
                </w:tcPr>
                <w:p w14:paraId="36214488">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基坑排水（机械抽水）</w:t>
                  </w:r>
                </w:p>
              </w:tc>
              <w:tc>
                <w:tcPr>
                  <w:tcW w:w="858" w:type="pct"/>
                  <w:tcBorders>
                    <w:tl2br w:val="nil"/>
                    <w:tr2bl w:val="nil"/>
                  </w:tcBorders>
                  <w:noWrap w:val="0"/>
                  <w:tcMar>
                    <w:top w:w="15" w:type="dxa"/>
                    <w:left w:w="15" w:type="dxa"/>
                    <w:right w:w="15" w:type="dxa"/>
                  </w:tcMar>
                  <w:vAlign w:val="center"/>
                </w:tcPr>
                <w:p w14:paraId="2B63A254">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台时</w:t>
                  </w:r>
                </w:p>
              </w:tc>
              <w:tc>
                <w:tcPr>
                  <w:tcW w:w="998" w:type="pct"/>
                  <w:tcBorders>
                    <w:tl2br w:val="nil"/>
                    <w:tr2bl w:val="nil"/>
                  </w:tcBorders>
                  <w:noWrap/>
                  <w:tcMar>
                    <w:top w:w="15" w:type="dxa"/>
                    <w:left w:w="15" w:type="dxa"/>
                    <w:right w:w="15" w:type="dxa"/>
                  </w:tcMar>
                  <w:vAlign w:val="center"/>
                </w:tcPr>
                <w:p w14:paraId="69E39B95">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1200</w:t>
                  </w:r>
                </w:p>
              </w:tc>
            </w:tr>
            <w:tr w14:paraId="57B4F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2F0517C6">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6</w:t>
                  </w:r>
                </w:p>
              </w:tc>
              <w:tc>
                <w:tcPr>
                  <w:tcW w:w="2276" w:type="pct"/>
                  <w:tcBorders>
                    <w:tl2br w:val="nil"/>
                    <w:tr2bl w:val="nil"/>
                  </w:tcBorders>
                  <w:noWrap w:val="0"/>
                  <w:tcMar>
                    <w:top w:w="15" w:type="dxa"/>
                    <w:left w:w="15" w:type="dxa"/>
                    <w:right w:w="15" w:type="dxa"/>
                  </w:tcMar>
                  <w:vAlign w:val="center"/>
                </w:tcPr>
                <w:p w14:paraId="2B6B1735">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φ600双壁波纹管</w:t>
                  </w:r>
                </w:p>
              </w:tc>
              <w:tc>
                <w:tcPr>
                  <w:tcW w:w="858" w:type="pct"/>
                  <w:tcBorders>
                    <w:tl2br w:val="nil"/>
                    <w:tr2bl w:val="nil"/>
                  </w:tcBorders>
                  <w:noWrap w:val="0"/>
                  <w:tcMar>
                    <w:top w:w="15" w:type="dxa"/>
                    <w:left w:w="15" w:type="dxa"/>
                    <w:right w:w="15" w:type="dxa"/>
                  </w:tcMar>
                  <w:vAlign w:val="center"/>
                </w:tcPr>
                <w:p w14:paraId="4F37B74D">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m</w:t>
                  </w:r>
                </w:p>
              </w:tc>
              <w:tc>
                <w:tcPr>
                  <w:tcW w:w="998" w:type="pct"/>
                  <w:tcBorders>
                    <w:tl2br w:val="nil"/>
                    <w:tr2bl w:val="nil"/>
                  </w:tcBorders>
                  <w:noWrap/>
                  <w:tcMar>
                    <w:top w:w="15" w:type="dxa"/>
                    <w:left w:w="15" w:type="dxa"/>
                    <w:right w:w="15" w:type="dxa"/>
                  </w:tcMar>
                  <w:vAlign w:val="center"/>
                </w:tcPr>
                <w:p w14:paraId="25C270DA">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200</w:t>
                  </w:r>
                </w:p>
              </w:tc>
            </w:tr>
            <w:tr w14:paraId="5569E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4E940F4B">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7</w:t>
                  </w:r>
                </w:p>
              </w:tc>
              <w:tc>
                <w:tcPr>
                  <w:tcW w:w="2276" w:type="pct"/>
                  <w:tcBorders>
                    <w:tl2br w:val="nil"/>
                    <w:tr2bl w:val="nil"/>
                  </w:tcBorders>
                  <w:noWrap w:val="0"/>
                  <w:tcMar>
                    <w:top w:w="15" w:type="dxa"/>
                    <w:left w:w="15" w:type="dxa"/>
                    <w:right w:w="15" w:type="dxa"/>
                  </w:tcMar>
                  <w:vAlign w:val="center"/>
                </w:tcPr>
                <w:p w14:paraId="3C5BDE72">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φ800双壁波纹管</w:t>
                  </w:r>
                </w:p>
              </w:tc>
              <w:tc>
                <w:tcPr>
                  <w:tcW w:w="858" w:type="pct"/>
                  <w:tcBorders>
                    <w:tl2br w:val="nil"/>
                    <w:tr2bl w:val="nil"/>
                  </w:tcBorders>
                  <w:noWrap w:val="0"/>
                  <w:tcMar>
                    <w:top w:w="15" w:type="dxa"/>
                    <w:left w:w="15" w:type="dxa"/>
                    <w:right w:w="15" w:type="dxa"/>
                  </w:tcMar>
                  <w:vAlign w:val="center"/>
                </w:tcPr>
                <w:p w14:paraId="59B53C54">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m</w:t>
                  </w:r>
                </w:p>
              </w:tc>
              <w:tc>
                <w:tcPr>
                  <w:tcW w:w="998" w:type="pct"/>
                  <w:tcBorders>
                    <w:tl2br w:val="nil"/>
                    <w:tr2bl w:val="nil"/>
                  </w:tcBorders>
                  <w:noWrap/>
                  <w:tcMar>
                    <w:top w:w="15" w:type="dxa"/>
                    <w:left w:w="15" w:type="dxa"/>
                    <w:right w:w="15" w:type="dxa"/>
                  </w:tcMar>
                  <w:vAlign w:val="center"/>
                </w:tcPr>
                <w:p w14:paraId="2B4C6A91">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220</w:t>
                  </w:r>
                </w:p>
              </w:tc>
            </w:tr>
            <w:tr w14:paraId="08BC97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3BF49E8C">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(二)</w:t>
                  </w:r>
                </w:p>
              </w:tc>
              <w:tc>
                <w:tcPr>
                  <w:tcW w:w="2276" w:type="pct"/>
                  <w:tcBorders>
                    <w:tl2br w:val="nil"/>
                    <w:tr2bl w:val="nil"/>
                  </w:tcBorders>
                  <w:noWrap w:val="0"/>
                  <w:tcMar>
                    <w:top w:w="15" w:type="dxa"/>
                    <w:left w:w="15" w:type="dxa"/>
                    <w:right w:w="15" w:type="dxa"/>
                  </w:tcMar>
                  <w:vAlign w:val="center"/>
                </w:tcPr>
                <w:p w14:paraId="7C25AA66">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施工交通工程</w:t>
                  </w:r>
                </w:p>
              </w:tc>
              <w:tc>
                <w:tcPr>
                  <w:tcW w:w="858" w:type="pct"/>
                  <w:tcBorders>
                    <w:tl2br w:val="nil"/>
                    <w:tr2bl w:val="nil"/>
                  </w:tcBorders>
                  <w:noWrap/>
                  <w:tcMar>
                    <w:top w:w="15" w:type="dxa"/>
                    <w:left w:w="15" w:type="dxa"/>
                    <w:right w:w="15" w:type="dxa"/>
                  </w:tcMar>
                  <w:vAlign w:val="center"/>
                </w:tcPr>
                <w:p w14:paraId="083E4BDF">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 xml:space="preserve"> </w:t>
                  </w:r>
                </w:p>
              </w:tc>
              <w:tc>
                <w:tcPr>
                  <w:tcW w:w="998" w:type="pct"/>
                  <w:tcBorders>
                    <w:tl2br w:val="nil"/>
                    <w:tr2bl w:val="nil"/>
                  </w:tcBorders>
                  <w:noWrap/>
                  <w:tcMar>
                    <w:top w:w="15" w:type="dxa"/>
                    <w:left w:w="15" w:type="dxa"/>
                    <w:right w:w="15" w:type="dxa"/>
                  </w:tcMar>
                  <w:vAlign w:val="center"/>
                </w:tcPr>
                <w:p w14:paraId="6BB52861">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 xml:space="preserve"> </w:t>
                  </w:r>
                </w:p>
              </w:tc>
            </w:tr>
            <w:tr w14:paraId="5FE09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19617951">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　</w:t>
                  </w:r>
                </w:p>
              </w:tc>
              <w:tc>
                <w:tcPr>
                  <w:tcW w:w="2276" w:type="pct"/>
                  <w:tcBorders>
                    <w:tl2br w:val="nil"/>
                    <w:tr2bl w:val="nil"/>
                  </w:tcBorders>
                  <w:noWrap w:val="0"/>
                  <w:tcMar>
                    <w:top w:w="15" w:type="dxa"/>
                    <w:left w:w="15" w:type="dxa"/>
                    <w:right w:w="15" w:type="dxa"/>
                  </w:tcMar>
                  <w:vAlign w:val="center"/>
                </w:tcPr>
                <w:p w14:paraId="5A2D8D0F">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临时施工道路（宽4.6m）</w:t>
                  </w:r>
                </w:p>
              </w:tc>
              <w:tc>
                <w:tcPr>
                  <w:tcW w:w="858" w:type="pct"/>
                  <w:tcBorders>
                    <w:tl2br w:val="nil"/>
                    <w:tr2bl w:val="nil"/>
                  </w:tcBorders>
                  <w:noWrap/>
                  <w:tcMar>
                    <w:top w:w="15" w:type="dxa"/>
                    <w:left w:w="15" w:type="dxa"/>
                    <w:right w:w="15" w:type="dxa"/>
                  </w:tcMar>
                  <w:vAlign w:val="center"/>
                </w:tcPr>
                <w:p w14:paraId="66F67B84">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km</w:t>
                  </w:r>
                </w:p>
              </w:tc>
              <w:tc>
                <w:tcPr>
                  <w:tcW w:w="998" w:type="pct"/>
                  <w:tcBorders>
                    <w:tl2br w:val="nil"/>
                    <w:tr2bl w:val="nil"/>
                  </w:tcBorders>
                  <w:noWrap/>
                  <w:tcMar>
                    <w:top w:w="15" w:type="dxa"/>
                    <w:left w:w="15" w:type="dxa"/>
                    <w:right w:w="15" w:type="dxa"/>
                  </w:tcMar>
                  <w:vAlign w:val="center"/>
                </w:tcPr>
                <w:p w14:paraId="7B901560">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1.75</w:t>
                  </w:r>
                </w:p>
              </w:tc>
            </w:tr>
            <w:tr w14:paraId="27071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58BD7E73">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(三)</w:t>
                  </w:r>
                </w:p>
              </w:tc>
              <w:tc>
                <w:tcPr>
                  <w:tcW w:w="2276" w:type="pct"/>
                  <w:tcBorders>
                    <w:tl2br w:val="nil"/>
                    <w:tr2bl w:val="nil"/>
                  </w:tcBorders>
                  <w:noWrap w:val="0"/>
                  <w:tcMar>
                    <w:top w:w="15" w:type="dxa"/>
                    <w:left w:w="15" w:type="dxa"/>
                    <w:right w:w="15" w:type="dxa"/>
                  </w:tcMar>
                  <w:vAlign w:val="center"/>
                </w:tcPr>
                <w:p w14:paraId="5D2A0731">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施工场外供电工程</w:t>
                  </w:r>
                </w:p>
              </w:tc>
              <w:tc>
                <w:tcPr>
                  <w:tcW w:w="858" w:type="pct"/>
                  <w:tcBorders>
                    <w:tl2br w:val="nil"/>
                    <w:tr2bl w:val="nil"/>
                  </w:tcBorders>
                  <w:noWrap/>
                  <w:tcMar>
                    <w:top w:w="15" w:type="dxa"/>
                    <w:left w:w="15" w:type="dxa"/>
                    <w:right w:w="15" w:type="dxa"/>
                  </w:tcMar>
                  <w:vAlign w:val="center"/>
                </w:tcPr>
                <w:p w14:paraId="3A250A64">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 xml:space="preserve"> </w:t>
                  </w:r>
                </w:p>
              </w:tc>
              <w:tc>
                <w:tcPr>
                  <w:tcW w:w="998" w:type="pct"/>
                  <w:tcBorders>
                    <w:tl2br w:val="nil"/>
                    <w:tr2bl w:val="nil"/>
                  </w:tcBorders>
                  <w:noWrap/>
                  <w:tcMar>
                    <w:top w:w="15" w:type="dxa"/>
                    <w:left w:w="15" w:type="dxa"/>
                    <w:right w:w="15" w:type="dxa"/>
                  </w:tcMar>
                  <w:vAlign w:val="center"/>
                </w:tcPr>
                <w:p w14:paraId="72C5BE88">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 xml:space="preserve"> </w:t>
                  </w:r>
                </w:p>
              </w:tc>
            </w:tr>
            <w:tr w14:paraId="0FF01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6F95D18D">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1</w:t>
                  </w:r>
                </w:p>
              </w:tc>
              <w:tc>
                <w:tcPr>
                  <w:tcW w:w="2276" w:type="pct"/>
                  <w:tcBorders>
                    <w:tl2br w:val="nil"/>
                    <w:tr2bl w:val="nil"/>
                  </w:tcBorders>
                  <w:noWrap w:val="0"/>
                  <w:tcMar>
                    <w:top w:w="15" w:type="dxa"/>
                    <w:left w:w="15" w:type="dxa"/>
                    <w:right w:w="15" w:type="dxa"/>
                  </w:tcMar>
                  <w:vAlign w:val="center"/>
                </w:tcPr>
                <w:p w14:paraId="3F5C1702">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10KV及以下施工用电线路工程</w:t>
                  </w:r>
                </w:p>
              </w:tc>
              <w:tc>
                <w:tcPr>
                  <w:tcW w:w="858" w:type="pct"/>
                  <w:tcBorders>
                    <w:tl2br w:val="nil"/>
                    <w:tr2bl w:val="nil"/>
                  </w:tcBorders>
                  <w:noWrap w:val="0"/>
                  <w:tcMar>
                    <w:top w:w="15" w:type="dxa"/>
                    <w:left w:w="15" w:type="dxa"/>
                    <w:right w:w="15" w:type="dxa"/>
                  </w:tcMar>
                  <w:vAlign w:val="center"/>
                </w:tcPr>
                <w:p w14:paraId="6833F407">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km</w:t>
                  </w:r>
                </w:p>
              </w:tc>
              <w:tc>
                <w:tcPr>
                  <w:tcW w:w="998" w:type="pct"/>
                  <w:tcBorders>
                    <w:tl2br w:val="nil"/>
                    <w:tr2bl w:val="nil"/>
                  </w:tcBorders>
                  <w:noWrap/>
                  <w:tcMar>
                    <w:top w:w="15" w:type="dxa"/>
                    <w:left w:w="15" w:type="dxa"/>
                    <w:right w:w="15" w:type="dxa"/>
                  </w:tcMar>
                  <w:vAlign w:val="center"/>
                </w:tcPr>
                <w:p w14:paraId="34E64DCF">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0.8</w:t>
                  </w:r>
                </w:p>
              </w:tc>
            </w:tr>
            <w:tr w14:paraId="7CEBE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2BE43488">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(四)</w:t>
                  </w:r>
                </w:p>
              </w:tc>
              <w:tc>
                <w:tcPr>
                  <w:tcW w:w="2276" w:type="pct"/>
                  <w:tcBorders>
                    <w:tl2br w:val="nil"/>
                    <w:tr2bl w:val="nil"/>
                  </w:tcBorders>
                  <w:noWrap w:val="0"/>
                  <w:tcMar>
                    <w:top w:w="15" w:type="dxa"/>
                    <w:left w:w="15" w:type="dxa"/>
                    <w:right w:w="15" w:type="dxa"/>
                  </w:tcMar>
                  <w:vAlign w:val="center"/>
                </w:tcPr>
                <w:p w14:paraId="2B27F6CC">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施工房屋建筑工程</w:t>
                  </w:r>
                </w:p>
              </w:tc>
              <w:tc>
                <w:tcPr>
                  <w:tcW w:w="858" w:type="pct"/>
                  <w:tcBorders>
                    <w:tl2br w:val="nil"/>
                    <w:tr2bl w:val="nil"/>
                  </w:tcBorders>
                  <w:noWrap/>
                  <w:tcMar>
                    <w:top w:w="15" w:type="dxa"/>
                    <w:left w:w="15" w:type="dxa"/>
                    <w:right w:w="15" w:type="dxa"/>
                  </w:tcMar>
                  <w:vAlign w:val="center"/>
                </w:tcPr>
                <w:p w14:paraId="29A6BDC1">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 xml:space="preserve"> </w:t>
                  </w:r>
                </w:p>
              </w:tc>
              <w:tc>
                <w:tcPr>
                  <w:tcW w:w="998" w:type="pct"/>
                  <w:tcBorders>
                    <w:tl2br w:val="nil"/>
                    <w:tr2bl w:val="nil"/>
                  </w:tcBorders>
                  <w:noWrap/>
                  <w:tcMar>
                    <w:top w:w="15" w:type="dxa"/>
                    <w:left w:w="15" w:type="dxa"/>
                    <w:right w:w="15" w:type="dxa"/>
                  </w:tcMar>
                  <w:vAlign w:val="center"/>
                </w:tcPr>
                <w:p w14:paraId="5A92978F">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 xml:space="preserve"> </w:t>
                  </w:r>
                </w:p>
              </w:tc>
            </w:tr>
            <w:tr w14:paraId="1FCD9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61D9D727">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1</w:t>
                  </w:r>
                </w:p>
              </w:tc>
              <w:tc>
                <w:tcPr>
                  <w:tcW w:w="2276" w:type="pct"/>
                  <w:tcBorders>
                    <w:tl2br w:val="nil"/>
                    <w:tr2bl w:val="nil"/>
                  </w:tcBorders>
                  <w:noWrap w:val="0"/>
                  <w:tcMar>
                    <w:top w:w="15" w:type="dxa"/>
                    <w:left w:w="15" w:type="dxa"/>
                    <w:right w:w="15" w:type="dxa"/>
                  </w:tcMar>
                  <w:vAlign w:val="center"/>
                </w:tcPr>
                <w:p w14:paraId="65739F7C">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施工仓库</w:t>
                  </w:r>
                </w:p>
              </w:tc>
              <w:tc>
                <w:tcPr>
                  <w:tcW w:w="858" w:type="pct"/>
                  <w:tcBorders>
                    <w:tl2br w:val="nil"/>
                    <w:tr2bl w:val="nil"/>
                  </w:tcBorders>
                  <w:noWrap w:val="0"/>
                  <w:tcMar>
                    <w:top w:w="15" w:type="dxa"/>
                    <w:left w:w="15" w:type="dxa"/>
                    <w:right w:w="15" w:type="dxa"/>
                  </w:tcMar>
                  <w:vAlign w:val="center"/>
                </w:tcPr>
                <w:p w14:paraId="2268B614">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w:t>
                  </w:r>
                </w:p>
              </w:tc>
              <w:tc>
                <w:tcPr>
                  <w:tcW w:w="998" w:type="pct"/>
                  <w:tcBorders>
                    <w:tl2br w:val="nil"/>
                    <w:tr2bl w:val="nil"/>
                  </w:tcBorders>
                  <w:noWrap/>
                  <w:tcMar>
                    <w:top w:w="15" w:type="dxa"/>
                    <w:left w:w="15" w:type="dxa"/>
                    <w:right w:w="15" w:type="dxa"/>
                  </w:tcMar>
                  <w:vAlign w:val="center"/>
                </w:tcPr>
                <w:p w14:paraId="0BA8E4E1">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150</w:t>
                  </w:r>
                </w:p>
              </w:tc>
            </w:tr>
            <w:tr w14:paraId="67B9F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866" w:type="pct"/>
                  <w:tcBorders>
                    <w:tl2br w:val="nil"/>
                    <w:tr2bl w:val="nil"/>
                  </w:tcBorders>
                  <w:noWrap w:val="0"/>
                  <w:tcMar>
                    <w:top w:w="15" w:type="dxa"/>
                    <w:left w:w="15" w:type="dxa"/>
                    <w:right w:w="15" w:type="dxa"/>
                  </w:tcMar>
                  <w:vAlign w:val="center"/>
                </w:tcPr>
                <w:p w14:paraId="419F2C91">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2</w:t>
                  </w:r>
                </w:p>
              </w:tc>
              <w:tc>
                <w:tcPr>
                  <w:tcW w:w="2276" w:type="pct"/>
                  <w:tcBorders>
                    <w:tl2br w:val="nil"/>
                    <w:tr2bl w:val="nil"/>
                  </w:tcBorders>
                  <w:noWrap w:val="0"/>
                  <w:tcMar>
                    <w:top w:w="15" w:type="dxa"/>
                    <w:left w:w="15" w:type="dxa"/>
                    <w:right w:w="15" w:type="dxa"/>
                  </w:tcMar>
                  <w:vAlign w:val="center"/>
                </w:tcPr>
                <w:p w14:paraId="381E41DD">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办公、生活及文化福利建筑</w:t>
                  </w:r>
                </w:p>
              </w:tc>
              <w:tc>
                <w:tcPr>
                  <w:tcW w:w="858" w:type="pct"/>
                  <w:tcBorders>
                    <w:tl2br w:val="nil"/>
                    <w:tr2bl w:val="nil"/>
                  </w:tcBorders>
                  <w:noWrap w:val="0"/>
                  <w:tcMar>
                    <w:top w:w="15" w:type="dxa"/>
                    <w:left w:w="15" w:type="dxa"/>
                    <w:right w:w="15" w:type="dxa"/>
                  </w:tcMar>
                  <w:vAlign w:val="center"/>
                </w:tcPr>
                <w:p w14:paraId="3BF541E0">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m</w:t>
                  </w:r>
                  <w:r>
                    <w:rPr>
                      <w:rFonts w:hint="eastAsia"/>
                      <w:color w:val="auto"/>
                      <w:sz w:val="21"/>
                      <w:szCs w:val="21"/>
                      <w:highlight w:val="none"/>
                      <w:vertAlign w:val="superscript"/>
                    </w:rPr>
                    <w:t>2</w:t>
                  </w:r>
                </w:p>
              </w:tc>
              <w:tc>
                <w:tcPr>
                  <w:tcW w:w="998" w:type="pct"/>
                  <w:tcBorders>
                    <w:tl2br w:val="nil"/>
                    <w:tr2bl w:val="nil"/>
                  </w:tcBorders>
                  <w:noWrap/>
                  <w:tcMar>
                    <w:top w:w="15" w:type="dxa"/>
                    <w:left w:w="15" w:type="dxa"/>
                    <w:right w:w="15" w:type="dxa"/>
                  </w:tcMar>
                  <w:vAlign w:val="center"/>
                </w:tcPr>
                <w:p w14:paraId="61C308F8">
                  <w:pPr>
                    <w:spacing w:line="240" w:lineRule="exact"/>
                    <w:ind w:firstLine="0" w:firstLineChars="0"/>
                    <w:jc w:val="center"/>
                    <w:rPr>
                      <w:rFonts w:hint="eastAsia"/>
                      <w:color w:val="auto"/>
                      <w:sz w:val="21"/>
                      <w:szCs w:val="21"/>
                      <w:highlight w:val="none"/>
                    </w:rPr>
                  </w:pPr>
                  <w:r>
                    <w:rPr>
                      <w:rFonts w:hint="eastAsia"/>
                      <w:color w:val="auto"/>
                      <w:sz w:val="21"/>
                      <w:szCs w:val="21"/>
                      <w:highlight w:val="none"/>
                    </w:rPr>
                    <w:t>800</w:t>
                  </w:r>
                </w:p>
              </w:tc>
            </w:tr>
          </w:tbl>
          <w:p w14:paraId="65E06551">
            <w:pPr>
              <w:wordWrap w:val="0"/>
              <w:ind w:firstLine="0" w:firstLineChars="0"/>
              <w:rPr>
                <w:rFonts w:hint="default" w:ascii="Times New Roman" w:hAnsi="Times New Roman" w:eastAsia="宋体" w:cs="Times New Roman"/>
                <w:color w:val="auto"/>
                <w:highlight w:val="none"/>
                <w:lang w:val="en-US" w:eastAsia="zh-CN"/>
              </w:rPr>
            </w:pPr>
          </w:p>
        </w:tc>
      </w:tr>
      <w:tr w14:paraId="59C5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84" w:type="dxa"/>
            <w:noWrap w:val="0"/>
            <w:vAlign w:val="center"/>
          </w:tcPr>
          <w:p w14:paraId="11A808CC">
            <w:pPr>
              <w:pStyle w:val="15"/>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总平面</w:t>
            </w:r>
            <w:r>
              <w:rPr>
                <w:rFonts w:hint="default" w:ascii="Times New Roman" w:hAnsi="Times New Roman" w:cs="Times New Roman"/>
                <w:color w:val="auto"/>
                <w:szCs w:val="24"/>
                <w:highlight w:val="none"/>
              </w:rPr>
              <w:t>及现场布置</w:t>
            </w:r>
          </w:p>
        </w:tc>
        <w:tc>
          <w:tcPr>
            <w:tcW w:w="9271" w:type="dxa"/>
            <w:noWrap w:val="0"/>
            <w:vAlign w:val="top"/>
          </w:tcPr>
          <w:p w14:paraId="40D52B74">
            <w:pPr>
              <w:ind w:firstLine="48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2.4 工程布局</w:t>
            </w:r>
          </w:p>
          <w:p w14:paraId="08F4416A">
            <w:pPr>
              <w:ind w:firstLine="480" w:firstLineChars="0"/>
              <w:outlineLvl w:val="9"/>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2.4.1工程总布置</w:t>
            </w:r>
          </w:p>
          <w:p w14:paraId="2EDFCCF8">
            <w:pPr>
              <w:ind w:firstLine="48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color w:val="auto"/>
                <w:highlight w:val="none"/>
              </w:rPr>
              <w:t>本项目</w:t>
            </w:r>
            <w:r>
              <w:rPr>
                <w:rFonts w:hint="eastAsia" w:cs="Times New Roman"/>
                <w:color w:val="auto"/>
                <w:highlight w:val="none"/>
                <w:lang w:val="en-US" w:eastAsia="zh-CN"/>
              </w:rPr>
              <w:t>由柳城河</w:t>
            </w:r>
            <w:r>
              <w:rPr>
                <w:rFonts w:hint="default" w:ascii="Times New Roman" w:hAnsi="Times New Roman" w:cs="Times New Roman"/>
                <w:color w:val="auto"/>
                <w:highlight w:val="none"/>
                <w:lang w:eastAsia="zh-CN"/>
              </w:rPr>
              <w:t>石河镇</w:t>
            </w:r>
            <w:r>
              <w:rPr>
                <w:rFonts w:hint="eastAsia" w:cs="Times New Roman"/>
                <w:color w:val="auto"/>
                <w:highlight w:val="none"/>
                <w:lang w:val="en-US" w:eastAsia="zh-CN"/>
              </w:rPr>
              <w:t>段</w:t>
            </w:r>
            <w:r>
              <w:rPr>
                <w:rFonts w:hint="eastAsia" w:cs="Times New Roman"/>
                <w:b w:val="0"/>
                <w:bCs w:val="0"/>
                <w:color w:val="auto"/>
                <w:highlight w:val="none"/>
                <w:lang w:val="en-US" w:eastAsia="zh-CN"/>
              </w:rPr>
              <w:t>（</w:t>
            </w:r>
            <w:r>
              <w:rPr>
                <w:rFonts w:hint="eastAsia"/>
                <w:b w:val="0"/>
                <w:bCs w:val="0"/>
                <w:color w:val="auto"/>
                <w:sz w:val="24"/>
                <w:szCs w:val="24"/>
                <w:highlight w:val="none"/>
                <w:lang w:val="en-US" w:eastAsia="zh-CN"/>
              </w:rPr>
              <w:t>石河镇</w:t>
            </w:r>
            <w:r>
              <w:rPr>
                <w:rFonts w:hint="eastAsia" w:cs="Times New Roman"/>
                <w:b w:val="0"/>
                <w:bCs w:val="0"/>
                <w:color w:val="auto"/>
                <w:sz w:val="24"/>
                <w:szCs w:val="24"/>
                <w:highlight w:val="none"/>
                <w:lang w:val="en-US" w:eastAsia="zh-CN"/>
              </w:rPr>
              <w:t>二郎段、福兴段；石河镇石河镇段、双拱场段</w:t>
            </w:r>
            <w:r>
              <w:rPr>
                <w:rFonts w:hint="eastAsia" w:cs="Times New Roman"/>
                <w:b w:val="0"/>
                <w:bCs w:val="0"/>
                <w:color w:val="auto"/>
                <w:highlight w:val="none"/>
                <w:lang w:val="en-US" w:eastAsia="zh-CN"/>
              </w:rPr>
              <w:t>）</w:t>
            </w:r>
            <w:r>
              <w:rPr>
                <w:rFonts w:hint="eastAsia" w:cs="Times New Roman"/>
                <w:color w:val="auto"/>
                <w:highlight w:val="none"/>
                <w:lang w:eastAsia="zh-CN"/>
              </w:rPr>
              <w:t>、</w:t>
            </w:r>
            <w:r>
              <w:rPr>
                <w:rFonts w:hint="eastAsia" w:cs="Times New Roman"/>
                <w:color w:val="auto"/>
                <w:highlight w:val="none"/>
                <w:lang w:val="en-US" w:eastAsia="zh-CN"/>
              </w:rPr>
              <w:t>东柳河清河镇段、东柳河杨家镇段防洪工程组成。</w:t>
            </w:r>
            <w:r>
              <w:rPr>
                <w:rFonts w:hint="default" w:ascii="Times New Roman" w:hAnsi="Times New Roman" w:cs="Times New Roman"/>
                <w:color w:val="auto"/>
                <w:highlight w:val="none"/>
              </w:rPr>
              <w:t>本项目总平面布置图见附图</w:t>
            </w:r>
            <w:r>
              <w:rPr>
                <w:rFonts w:hint="default" w:ascii="Times New Roman" w:hAnsi="Times New Roman" w:cs="Times New Roman"/>
                <w:color w:val="auto"/>
                <w:highlight w:val="none"/>
                <w:lang w:val="en-US" w:eastAsia="zh-CN"/>
              </w:rPr>
              <w:t>3</w:t>
            </w:r>
            <w:r>
              <w:rPr>
                <w:rFonts w:hint="eastAsia" w:cs="Times New Roman"/>
                <w:color w:val="auto"/>
                <w:highlight w:val="none"/>
                <w:lang w:val="en-US" w:eastAsia="zh-CN"/>
              </w:rPr>
              <w:t>~附图4</w:t>
            </w:r>
            <w:r>
              <w:rPr>
                <w:rFonts w:hint="default" w:ascii="Times New Roman" w:hAnsi="Times New Roman" w:cs="Times New Roman"/>
                <w:color w:val="auto"/>
                <w:highlight w:val="none"/>
              </w:rPr>
              <w:t>。</w:t>
            </w:r>
          </w:p>
          <w:p w14:paraId="17012624">
            <w:pPr>
              <w:ind w:firstLine="480"/>
              <w:rPr>
                <w:rFonts w:hint="default" w:ascii="Times New Roman" w:hAnsi="Times New Roman" w:cs="Times New Roman"/>
                <w:b/>
                <w:bCs/>
                <w:color w:val="auto"/>
                <w:highlight w:val="none"/>
                <w:lang w:eastAsia="zh-CN"/>
              </w:rPr>
            </w:pPr>
            <w:r>
              <w:rPr>
                <w:rFonts w:hint="eastAsia" w:cs="Times New Roman"/>
                <w:b/>
                <w:bCs/>
                <w:color w:val="auto"/>
                <w:highlight w:val="none"/>
                <w:lang w:eastAsia="zh-CN"/>
              </w:rPr>
              <w:t>（</w:t>
            </w:r>
            <w:r>
              <w:rPr>
                <w:rFonts w:hint="eastAsia" w:cs="Times New Roman"/>
                <w:b/>
                <w:bCs/>
                <w:color w:val="auto"/>
                <w:highlight w:val="none"/>
                <w:lang w:val="en-US" w:eastAsia="zh-CN"/>
              </w:rPr>
              <w:t>1</w:t>
            </w:r>
            <w:r>
              <w:rPr>
                <w:rFonts w:hint="eastAsia" w:cs="Times New Roman"/>
                <w:b/>
                <w:bCs/>
                <w:color w:val="auto"/>
                <w:highlight w:val="none"/>
                <w:lang w:eastAsia="zh-CN"/>
              </w:rPr>
              <w:t>）</w:t>
            </w:r>
            <w:r>
              <w:rPr>
                <w:rFonts w:hint="eastAsia"/>
                <w:b/>
                <w:bCs/>
                <w:color w:val="auto"/>
                <w:sz w:val="24"/>
                <w:szCs w:val="24"/>
                <w:highlight w:val="none"/>
                <w:lang w:val="en-US" w:eastAsia="zh-CN"/>
              </w:rPr>
              <w:t>石河镇</w:t>
            </w:r>
            <w:r>
              <w:rPr>
                <w:rFonts w:hint="eastAsia" w:cs="Times New Roman"/>
                <w:b/>
                <w:bCs/>
                <w:color w:val="auto"/>
                <w:sz w:val="24"/>
                <w:szCs w:val="24"/>
                <w:highlight w:val="none"/>
                <w:lang w:val="en-US" w:eastAsia="zh-CN"/>
              </w:rPr>
              <w:t>二郎段、福兴段</w:t>
            </w:r>
          </w:p>
          <w:p w14:paraId="7DD454B4">
            <w:pPr>
              <w:ind w:firstLine="480"/>
              <w:rPr>
                <w:rFonts w:hint="default" w:ascii="Times New Roman" w:hAnsi="Times New Roman" w:cs="Times New Roman"/>
                <w:color w:val="auto"/>
                <w:highlight w:val="none"/>
              </w:rPr>
            </w:pPr>
            <w:r>
              <w:rPr>
                <w:rFonts w:hint="eastAsia"/>
                <w:b w:val="0"/>
                <w:bCs w:val="0"/>
                <w:color w:val="auto"/>
                <w:sz w:val="24"/>
                <w:szCs w:val="24"/>
                <w:highlight w:val="none"/>
                <w:lang w:val="en-US" w:eastAsia="zh-CN"/>
              </w:rPr>
              <w:t>石河镇</w:t>
            </w:r>
            <w:r>
              <w:rPr>
                <w:rFonts w:hint="eastAsia" w:cs="Times New Roman"/>
                <w:b w:val="0"/>
                <w:bCs w:val="0"/>
                <w:color w:val="auto"/>
                <w:sz w:val="24"/>
                <w:szCs w:val="24"/>
                <w:highlight w:val="none"/>
                <w:lang w:val="en-US" w:eastAsia="zh-CN"/>
              </w:rPr>
              <w:t>二郎段、福兴段主要位于</w:t>
            </w:r>
            <w:r>
              <w:rPr>
                <w:rFonts w:hint="default" w:ascii="Times New Roman" w:hAnsi="Times New Roman" w:cs="Times New Roman"/>
                <w:b w:val="0"/>
                <w:bCs w:val="0"/>
                <w:color w:val="auto"/>
                <w:highlight w:val="none"/>
                <w:lang w:eastAsia="zh-CN"/>
              </w:rPr>
              <w:t>境</w:t>
            </w:r>
            <w:r>
              <w:rPr>
                <w:rFonts w:hint="default" w:ascii="Times New Roman" w:hAnsi="Times New Roman" w:cs="Times New Roman"/>
                <w:color w:val="auto"/>
                <w:highlight w:val="none"/>
                <w:lang w:eastAsia="zh-CN"/>
              </w:rPr>
              <w:t>内的柳城河干流和其主要支流上，工程河道整治长度7.429km，工程根据项目区位置划分为二郎段和福兴段，二郎段河道治理范围从店子坝为起点，猫儿咀为终点，二郎段河道综合治理长度5.634km；福兴段河道治理范围从银钱坝机耕桥为起点，福兴社区李家场为终点，</w:t>
            </w:r>
            <w:r>
              <w:rPr>
                <w:rFonts w:hint="eastAsia" w:cs="Times New Roman"/>
                <w:color w:val="auto"/>
                <w:highlight w:val="none"/>
                <w:lang w:eastAsia="zh-CN"/>
              </w:rPr>
              <w:t>福兴段河道综合治理长度1.795km。工程新建堤防总长5065m，</w:t>
            </w:r>
            <w:r>
              <w:rPr>
                <w:rFonts w:hint="default" w:ascii="Times New Roman" w:hAnsi="Times New Roman" w:cs="Times New Roman"/>
                <w:color w:val="auto"/>
                <w:highlight w:val="none"/>
                <w:lang w:eastAsia="zh-CN"/>
              </w:rPr>
              <w:t>其中柳城河二郎段新建堤防3651.65m（</w:t>
            </w:r>
            <w:r>
              <w:rPr>
                <w:rFonts w:hint="eastAsia" w:cs="Times New Roman"/>
                <w:color w:val="auto"/>
                <w:highlight w:val="none"/>
                <w:lang w:eastAsia="zh-CN"/>
              </w:rPr>
              <w:t>主河左岸上段931.79m，主河左岸下段390.00m，主河右岸1934.38m，河口段左岸200.35m，河口段右岸195.13m</w:t>
            </w:r>
            <w:r>
              <w:rPr>
                <w:rFonts w:hint="default" w:ascii="Times New Roman" w:hAnsi="Times New Roman" w:cs="Times New Roman"/>
                <w:color w:val="auto"/>
                <w:highlight w:val="none"/>
                <w:lang w:eastAsia="zh-CN"/>
              </w:rPr>
              <w:t>），福兴段新建堤防长1413.35m（</w:t>
            </w:r>
            <w:r>
              <w:rPr>
                <w:rFonts w:hint="eastAsia" w:cs="Times New Roman"/>
                <w:color w:val="auto"/>
                <w:highlight w:val="none"/>
                <w:lang w:eastAsia="zh-CN"/>
              </w:rPr>
              <w:t>左岸117.46m，右岸1295.89m</w:t>
            </w:r>
            <w:r>
              <w:rPr>
                <w:rFonts w:hint="default" w:ascii="Times New Roman" w:hAnsi="Times New Roman" w:cs="Times New Roman"/>
                <w:color w:val="auto"/>
                <w:highlight w:val="none"/>
                <w:lang w:eastAsia="zh-CN"/>
              </w:rPr>
              <w:t>），河道清淤7.429km；</w:t>
            </w:r>
            <w:r>
              <w:rPr>
                <w:rFonts w:hint="default" w:ascii="Times New Roman" w:hAnsi="Times New Roman" w:cs="Times New Roman"/>
                <w:color w:val="auto"/>
                <w:szCs w:val="24"/>
                <w:highlight w:val="none"/>
              </w:rPr>
              <w:t>共布置</w:t>
            </w:r>
            <w:r>
              <w:rPr>
                <w:rFonts w:hint="default" w:ascii="Times New Roman" w:hAnsi="Times New Roman" w:cs="Times New Roman"/>
                <w:color w:val="auto"/>
                <w:szCs w:val="24"/>
                <w:highlight w:val="none"/>
                <w:lang w:val="en-US" w:eastAsia="zh-CN"/>
              </w:rPr>
              <w:t>10</w:t>
            </w:r>
            <w:r>
              <w:rPr>
                <w:rFonts w:hint="default" w:ascii="Times New Roman" w:hAnsi="Times New Roman" w:cs="Times New Roman"/>
                <w:color w:val="auto"/>
                <w:szCs w:val="24"/>
                <w:highlight w:val="none"/>
              </w:rPr>
              <w:t>座下河</w:t>
            </w:r>
            <w:r>
              <w:rPr>
                <w:rFonts w:hint="default" w:ascii="Times New Roman" w:hAnsi="Times New Roman" w:cs="Times New Roman"/>
                <w:color w:val="auto"/>
                <w:sz w:val="24"/>
                <w:szCs w:val="24"/>
                <w:highlight w:val="none"/>
              </w:rPr>
              <w:t>梯步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11处排涝管涵</w:t>
            </w:r>
            <w:r>
              <w:rPr>
                <w:rFonts w:hint="default" w:ascii="Times New Roman" w:hAnsi="Times New Roman" w:cs="Times New Roman"/>
                <w:color w:val="auto"/>
                <w:highlight w:val="none"/>
              </w:rPr>
              <w:t>。</w:t>
            </w:r>
          </w:p>
          <w:p w14:paraId="7F45B24B">
            <w:pPr>
              <w:ind w:firstLine="480"/>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（2）石河镇石河镇段、双拱场段</w:t>
            </w:r>
          </w:p>
          <w:p w14:paraId="5E777BFE">
            <w:pPr>
              <w:ind w:firstLine="480"/>
              <w:rPr>
                <w:rFonts w:hint="default" w:ascii="Times New Roman" w:hAnsi="Times New Roman" w:cs="Times New Roman"/>
                <w:color w:val="auto"/>
                <w:highlight w:val="none"/>
              </w:rPr>
            </w:pPr>
            <w:r>
              <w:rPr>
                <w:rFonts w:hint="eastAsia" w:cs="Times New Roman"/>
                <w:b w:val="0"/>
                <w:bCs w:val="0"/>
                <w:color w:val="auto"/>
                <w:sz w:val="24"/>
                <w:szCs w:val="24"/>
                <w:highlight w:val="none"/>
                <w:lang w:val="en-US" w:eastAsia="zh-CN"/>
              </w:rPr>
              <w:t>石河镇石河镇段、双拱场段</w:t>
            </w:r>
            <w:r>
              <w:rPr>
                <w:rFonts w:hint="eastAsia" w:cs="Times New Roman"/>
                <w:b w:val="0"/>
                <w:bCs w:val="0"/>
                <w:color w:val="auto"/>
                <w:highlight w:val="none"/>
                <w:lang w:eastAsia="zh-CN"/>
              </w:rPr>
              <w:t>位</w:t>
            </w:r>
            <w:r>
              <w:rPr>
                <w:rFonts w:hint="eastAsia" w:cs="Times New Roman"/>
                <w:color w:val="auto"/>
                <w:highlight w:val="none"/>
                <w:lang w:eastAsia="zh-CN"/>
              </w:rPr>
              <w:t>于大竹县石河镇、双拱场境内</w:t>
            </w:r>
            <w:r>
              <w:rPr>
                <w:rFonts w:hint="default" w:ascii="Times New Roman" w:hAnsi="Times New Roman" w:cs="Times New Roman"/>
                <w:color w:val="auto"/>
                <w:highlight w:val="none"/>
                <w:lang w:eastAsia="zh-CN"/>
              </w:rPr>
              <w:t>，工程河道整治长度</w:t>
            </w:r>
            <w:r>
              <w:rPr>
                <w:rFonts w:hint="eastAsia" w:cs="Times New Roman"/>
                <w:color w:val="auto"/>
                <w:highlight w:val="none"/>
                <w:lang w:eastAsia="zh-CN"/>
              </w:rPr>
              <w:t>4.6km</w:t>
            </w:r>
            <w:r>
              <w:rPr>
                <w:rFonts w:hint="default" w:ascii="Times New Roman" w:hAnsi="Times New Roman" w:cs="Times New Roman"/>
                <w:color w:val="auto"/>
                <w:highlight w:val="none"/>
                <w:lang w:eastAsia="zh-CN"/>
              </w:rPr>
              <w:t>，</w:t>
            </w:r>
            <w:r>
              <w:rPr>
                <w:color w:val="auto"/>
                <w:highlight w:val="none"/>
              </w:rPr>
              <w:t>由新建护岸工程、岸坡清理工程、河道疏浚工程和附属工程等组成。</w:t>
            </w:r>
            <w:r>
              <w:rPr>
                <w:rFonts w:hint="default" w:ascii="Times New Roman" w:hAnsi="Times New Roman" w:cs="Times New Roman"/>
                <w:color w:val="auto"/>
                <w:highlight w:val="none"/>
                <w:lang w:eastAsia="zh-CN"/>
              </w:rPr>
              <w:t>工程根据项目区位置划分为</w:t>
            </w:r>
            <w:r>
              <w:rPr>
                <w:rFonts w:hint="eastAsia" w:cs="Times New Roman"/>
                <w:color w:val="auto"/>
                <w:highlight w:val="none"/>
                <w:lang w:eastAsia="zh-CN"/>
              </w:rPr>
              <w:t>石河镇段</w:t>
            </w:r>
            <w:r>
              <w:rPr>
                <w:rFonts w:hint="default" w:ascii="Times New Roman" w:hAnsi="Times New Roman" w:cs="Times New Roman"/>
                <w:color w:val="auto"/>
                <w:highlight w:val="none"/>
                <w:lang w:eastAsia="zh-CN"/>
              </w:rPr>
              <w:t>和</w:t>
            </w:r>
            <w:r>
              <w:rPr>
                <w:rFonts w:hint="eastAsia" w:cs="Times New Roman"/>
                <w:color w:val="auto"/>
                <w:highlight w:val="none"/>
                <w:lang w:eastAsia="zh-CN"/>
              </w:rPr>
              <w:t>双拱场段。石河镇段上游起于罗汉山处，下游止于后河坝处，对应中心桩号石0+000~石2+450，河道中心治理长度2450m</w:t>
            </w:r>
            <w:r>
              <w:rPr>
                <w:rFonts w:hint="default" w:ascii="Times New Roman" w:hAnsi="Times New Roman" w:cs="Times New Roman"/>
                <w:color w:val="auto"/>
                <w:highlight w:val="none"/>
                <w:lang w:eastAsia="zh-CN"/>
              </w:rPr>
              <w:t>；</w:t>
            </w:r>
            <w:r>
              <w:rPr>
                <w:rFonts w:hint="eastAsia" w:cs="Times New Roman"/>
                <w:color w:val="auto"/>
                <w:highlight w:val="none"/>
                <w:lang w:eastAsia="zh-CN"/>
              </w:rPr>
              <w:t>双拱场段上游起于小湾处，下游止于观音咀处，对应中心桩号双0+000~双2+150，河道中心治理长度2150m。工程新建护岸总长3710m，</w:t>
            </w:r>
            <w:r>
              <w:rPr>
                <w:color w:val="auto"/>
                <w:highlight w:val="none"/>
                <w:lang w:val="zh-CN"/>
              </w:rPr>
              <w:t>其中柳城河石河镇段新建护岸长2038m，左岸长394m，</w:t>
            </w:r>
            <w:r>
              <w:rPr>
                <w:color w:val="auto"/>
                <w:highlight w:val="none"/>
              </w:rPr>
              <w:t>起于张家大院子，止于朝门院子</w:t>
            </w:r>
            <w:r>
              <w:rPr>
                <w:color w:val="auto"/>
                <w:highlight w:val="none"/>
                <w:lang w:val="zh-CN"/>
              </w:rPr>
              <w:t>，右岸1644m，</w:t>
            </w:r>
            <w:r>
              <w:rPr>
                <w:color w:val="auto"/>
                <w:highlight w:val="none"/>
              </w:rPr>
              <w:t>起于罗汉山，止于赖家湾</w:t>
            </w:r>
            <w:r>
              <w:rPr>
                <w:color w:val="auto"/>
                <w:highlight w:val="none"/>
                <w:lang w:val="zh-CN"/>
              </w:rPr>
              <w:t>；柳城河双拱场段新建护岸长1672m，左岸长823m，</w:t>
            </w:r>
            <w:r>
              <w:rPr>
                <w:color w:val="auto"/>
                <w:highlight w:val="none"/>
              </w:rPr>
              <w:t>起于小湾，止于阳河咀</w:t>
            </w:r>
            <w:r>
              <w:rPr>
                <w:color w:val="auto"/>
                <w:highlight w:val="none"/>
                <w:lang w:val="zh-CN"/>
              </w:rPr>
              <w:t>，右岸长849m，</w:t>
            </w:r>
            <w:r>
              <w:rPr>
                <w:color w:val="auto"/>
                <w:highlight w:val="none"/>
              </w:rPr>
              <w:t>起于小湾，止于阳河咀</w:t>
            </w:r>
            <w:r>
              <w:rPr>
                <w:rFonts w:hint="eastAsia" w:cs="Times New Roman"/>
                <w:color w:val="auto"/>
                <w:highlight w:val="none"/>
                <w:lang w:eastAsia="zh-CN"/>
              </w:rPr>
              <w:t>。</w:t>
            </w:r>
            <w:r>
              <w:rPr>
                <w:rFonts w:hint="eastAsia" w:cs="Times New Roman"/>
                <w:color w:val="auto"/>
                <w:highlight w:val="none"/>
                <w:lang w:val="en-US" w:eastAsia="zh-CN"/>
              </w:rPr>
              <w:t>该工程河段</w:t>
            </w:r>
            <w:r>
              <w:rPr>
                <w:color w:val="auto"/>
                <w:highlight w:val="none"/>
              </w:rPr>
              <w:t>清理河岸总长5436m，石河镇段长2786m（左岸1992m，右岸317m）、双拱场段长2650m（左岸1582m，右岸1453m）</w:t>
            </w:r>
            <w:r>
              <w:rPr>
                <w:rFonts w:hint="eastAsia"/>
                <w:color w:val="auto"/>
                <w:highlight w:val="none"/>
                <w:lang w:eastAsia="zh-CN"/>
              </w:rPr>
              <w:t>。</w:t>
            </w:r>
            <w:r>
              <w:rPr>
                <w:rFonts w:hint="eastAsia" w:cs="Times New Roman"/>
                <w:color w:val="auto"/>
                <w:highlight w:val="none"/>
                <w:lang w:eastAsia="zh-CN"/>
              </w:rPr>
              <w:t>新建</w:t>
            </w:r>
            <w:r>
              <w:rPr>
                <w:rFonts w:hint="eastAsia" w:cs="Times New Roman"/>
                <w:color w:val="auto"/>
                <w:highlight w:val="none"/>
                <w:lang w:val="en-US" w:eastAsia="zh-CN"/>
              </w:rPr>
              <w:t>排涝</w:t>
            </w:r>
            <w:r>
              <w:rPr>
                <w:rFonts w:hint="eastAsia" w:cs="Times New Roman"/>
                <w:color w:val="auto"/>
                <w:highlight w:val="none"/>
                <w:lang w:eastAsia="zh-CN"/>
              </w:rPr>
              <w:t>管涵15处，下河梯步20处</w:t>
            </w:r>
            <w:r>
              <w:rPr>
                <w:rFonts w:hint="default" w:ascii="Times New Roman" w:hAnsi="Times New Roman" w:cs="Times New Roman"/>
                <w:color w:val="auto"/>
                <w:highlight w:val="none"/>
              </w:rPr>
              <w:t>。</w:t>
            </w:r>
          </w:p>
          <w:p w14:paraId="04675F57">
            <w:pPr>
              <w:ind w:firstLine="480"/>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eastAsia="zh-CN"/>
              </w:rPr>
              <w:t>（</w:t>
            </w:r>
            <w:r>
              <w:rPr>
                <w:rFonts w:hint="eastAsia" w:cs="Times New Roman"/>
                <w:b w:val="0"/>
                <w:bCs w:val="0"/>
                <w:color w:val="auto"/>
                <w:highlight w:val="none"/>
                <w:lang w:val="en-US" w:eastAsia="zh-CN"/>
              </w:rPr>
              <w:t>3</w:t>
            </w:r>
            <w:r>
              <w:rPr>
                <w:rFonts w:hint="eastAsia" w:cs="Times New Roman"/>
                <w:b w:val="0"/>
                <w:bCs w:val="0"/>
                <w:color w:val="auto"/>
                <w:highlight w:val="none"/>
                <w:lang w:eastAsia="zh-CN"/>
              </w:rPr>
              <w:t>）</w:t>
            </w:r>
            <w:r>
              <w:rPr>
                <w:rFonts w:hint="eastAsia" w:cs="Times New Roman"/>
                <w:b w:val="0"/>
                <w:bCs w:val="0"/>
                <w:color w:val="auto"/>
                <w:highlight w:val="none"/>
                <w:lang w:val="en-US" w:eastAsia="zh-CN"/>
              </w:rPr>
              <w:t>东柳河清河镇防洪工程</w:t>
            </w:r>
          </w:p>
          <w:p w14:paraId="24913A7F">
            <w:pPr>
              <w:keepNext w:val="0"/>
              <w:keepLines w:val="0"/>
              <w:pageBreakBefore w:val="0"/>
              <w:widowControl w:val="0"/>
              <w:kinsoku/>
              <w:wordWrap/>
              <w:overflowPunct/>
              <w:topLinePunct w:val="0"/>
              <w:bidi w:val="0"/>
              <w:snapToGrid/>
              <w:ind w:firstLineChars="200"/>
              <w:textAlignment w:val="auto"/>
              <w:rPr>
                <w:rFonts w:hint="eastAsia"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val="0"/>
                <w:color w:val="auto"/>
                <w:kern w:val="0"/>
                <w:sz w:val="24"/>
                <w:szCs w:val="24"/>
                <w:highlight w:val="none"/>
                <w:lang w:val="en-US" w:eastAsia="zh-CN" w:bidi="ar-SA"/>
              </w:rPr>
              <w:t>清河镇防洪工程治理长度4133m，</w:t>
            </w:r>
            <w:r>
              <w:rPr>
                <w:b w:val="0"/>
                <w:bCs/>
                <w:color w:val="auto"/>
                <w:sz w:val="24"/>
                <w:szCs w:val="24"/>
                <w:highlight w:val="none"/>
              </w:rPr>
              <w:t>治理对象包括干流段和支流段两部分</w:t>
            </w:r>
            <w:r>
              <w:rPr>
                <w:rFonts w:hint="eastAsia"/>
                <w:b w:val="0"/>
                <w:bCs/>
                <w:color w:val="auto"/>
                <w:sz w:val="24"/>
                <w:szCs w:val="24"/>
                <w:highlight w:val="none"/>
              </w:rPr>
              <w:t>，</w:t>
            </w:r>
            <w:r>
              <w:rPr>
                <w:b w:val="0"/>
                <w:bCs/>
                <w:color w:val="auto"/>
                <w:sz w:val="24"/>
                <w:szCs w:val="24"/>
                <w:highlight w:val="none"/>
              </w:rPr>
              <w:t>其中东柳河干流段治理长度</w:t>
            </w:r>
            <w:r>
              <w:rPr>
                <w:rFonts w:hint="eastAsia"/>
                <w:b w:val="0"/>
                <w:bCs/>
                <w:color w:val="auto"/>
                <w:sz w:val="24"/>
                <w:szCs w:val="24"/>
                <w:highlight w:val="none"/>
              </w:rPr>
              <w:t>3808</w:t>
            </w:r>
            <w:r>
              <w:rPr>
                <w:b w:val="0"/>
                <w:bCs/>
                <w:color w:val="auto"/>
                <w:sz w:val="24"/>
                <w:szCs w:val="24"/>
                <w:highlight w:val="none"/>
              </w:rPr>
              <w:t>m，起于</w:t>
            </w:r>
            <w:r>
              <w:rPr>
                <w:rFonts w:hint="eastAsia"/>
                <w:b w:val="0"/>
                <w:bCs/>
                <w:color w:val="auto"/>
                <w:sz w:val="24"/>
                <w:szCs w:val="24"/>
                <w:highlight w:val="none"/>
              </w:rPr>
              <w:t>4#公路桥</w:t>
            </w:r>
            <w:r>
              <w:rPr>
                <w:b w:val="0"/>
                <w:bCs/>
                <w:color w:val="auto"/>
                <w:sz w:val="24"/>
                <w:szCs w:val="24"/>
                <w:highlight w:val="none"/>
              </w:rPr>
              <w:t>止于刘家河拦水堰；田家沟支流段治理长度</w:t>
            </w:r>
            <w:r>
              <w:rPr>
                <w:rFonts w:hint="eastAsia"/>
                <w:b w:val="0"/>
                <w:bCs/>
                <w:color w:val="auto"/>
                <w:sz w:val="24"/>
                <w:szCs w:val="24"/>
                <w:highlight w:val="none"/>
              </w:rPr>
              <w:t>325m，起于5#公路桥上游约200m处止于汇合口处</w:t>
            </w:r>
            <w:r>
              <w:rPr>
                <w:rFonts w:hint="eastAsia" w:ascii="Times New Roman" w:hAnsi="Times New Roman" w:eastAsia="宋体"/>
                <w:b w:val="0"/>
                <w:color w:val="auto"/>
                <w:sz w:val="24"/>
                <w:szCs w:val="24"/>
                <w:highlight w:val="none"/>
              </w:rPr>
              <w:t>。</w:t>
            </w:r>
            <w:r>
              <w:rPr>
                <w:rFonts w:hint="eastAsia" w:ascii="Times New Roman" w:hAnsi="宋体" w:eastAsia="宋体" w:cs="Times New Roman"/>
                <w:b w:val="0"/>
                <w:color w:val="auto"/>
                <w:kern w:val="0"/>
                <w:sz w:val="24"/>
                <w:szCs w:val="24"/>
                <w:highlight w:val="none"/>
                <w:lang w:val="en-US" w:eastAsia="zh-CN" w:bidi="ar-SA"/>
              </w:rPr>
              <w:t>新建堤防总长度4512m，左岸新建2435m，右岸新建2077m。其中，东柳河干流段4131m：左岸新建堤防2321m(B段1050m、C段1271m）；右岸新建堤防1810m（A段1745m、B段65m）。田家沟支流段381m：左岸新建堤防114m(C段）；右岸新建堤防267m（C段）。新建人行桥</w:t>
            </w:r>
            <w:r>
              <w:rPr>
                <w:rFonts w:hint="eastAsia" w:cs="Times New Roman"/>
                <w:b w:val="0"/>
                <w:color w:val="auto"/>
                <w:kern w:val="0"/>
                <w:sz w:val="24"/>
                <w:szCs w:val="24"/>
                <w:highlight w:val="none"/>
                <w:lang w:val="en-US" w:eastAsia="zh-CN" w:bidi="ar-SA"/>
              </w:rPr>
              <w:t>1座、桥涵1座</w:t>
            </w:r>
            <w:r>
              <w:rPr>
                <w:rFonts w:hint="eastAsia" w:ascii="Times New Roman" w:hAnsi="宋体" w:eastAsia="宋体" w:cs="Times New Roman"/>
                <w:b w:val="0"/>
                <w:color w:val="auto"/>
                <w:kern w:val="0"/>
                <w:sz w:val="24"/>
                <w:szCs w:val="24"/>
                <w:highlight w:val="none"/>
                <w:lang w:val="en-US" w:eastAsia="zh-CN" w:bidi="ar-SA"/>
              </w:rPr>
              <w:t>，雨水管涵</w:t>
            </w:r>
            <w:r>
              <w:rPr>
                <w:rFonts w:hint="eastAsia" w:cs="Times New Roman"/>
                <w:b w:val="0"/>
                <w:color w:val="auto"/>
                <w:kern w:val="0"/>
                <w:sz w:val="24"/>
                <w:szCs w:val="24"/>
                <w:highlight w:val="none"/>
                <w:lang w:val="en-US" w:eastAsia="zh-CN" w:bidi="ar-SA"/>
              </w:rPr>
              <w:t>10</w:t>
            </w:r>
            <w:r>
              <w:rPr>
                <w:rFonts w:hint="eastAsia" w:ascii="Times New Roman" w:hAnsi="宋体" w:eastAsia="宋体" w:cs="Times New Roman"/>
                <w:b w:val="0"/>
                <w:color w:val="auto"/>
                <w:kern w:val="0"/>
                <w:sz w:val="24"/>
                <w:szCs w:val="24"/>
                <w:highlight w:val="none"/>
                <w:lang w:val="en-US" w:eastAsia="zh-CN" w:bidi="ar-SA"/>
              </w:rPr>
              <w:t>处。</w:t>
            </w:r>
          </w:p>
          <w:p w14:paraId="443D971E">
            <w:pPr>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4</w:t>
            </w:r>
            <w:r>
              <w:rPr>
                <w:rFonts w:hint="eastAsia" w:cs="Times New Roman"/>
                <w:color w:val="auto"/>
                <w:highlight w:val="none"/>
                <w:lang w:eastAsia="zh-CN"/>
              </w:rPr>
              <w:t>）</w:t>
            </w:r>
            <w:r>
              <w:rPr>
                <w:rFonts w:hint="eastAsia" w:cs="Times New Roman"/>
                <w:color w:val="auto"/>
                <w:highlight w:val="none"/>
                <w:lang w:val="en-US" w:eastAsia="zh-CN"/>
              </w:rPr>
              <w:t>东柳河杨家镇段防洪工程</w:t>
            </w:r>
          </w:p>
          <w:p w14:paraId="3B39E612">
            <w:pPr>
              <w:ind w:firstLine="480"/>
              <w:rPr>
                <w:rFonts w:hint="eastAsia" w:ascii="Times New Roman" w:hAnsi="宋体" w:eastAsia="宋体" w:cs="Times New Roman"/>
                <w:b w:val="0"/>
                <w:color w:val="auto"/>
                <w:kern w:val="0"/>
                <w:sz w:val="24"/>
                <w:szCs w:val="24"/>
                <w:highlight w:val="none"/>
                <w:lang w:val="en-US" w:eastAsia="zh-CN" w:bidi="ar-SA"/>
              </w:rPr>
            </w:pPr>
            <w:r>
              <w:rPr>
                <w:rFonts w:hint="eastAsia" w:ascii="Times New Roman" w:hAnsi="Times New Roman" w:eastAsia="宋体"/>
                <w:color w:val="auto"/>
                <w:sz w:val="24"/>
                <w:szCs w:val="24"/>
                <w:highlight w:val="none"/>
                <w:lang w:val="en-US" w:eastAsia="zh-CN"/>
              </w:rPr>
              <w:t>杨家镇防洪工程</w:t>
            </w:r>
            <w:r>
              <w:rPr>
                <w:rFonts w:hint="eastAsia"/>
                <w:color w:val="auto"/>
                <w:sz w:val="24"/>
                <w:szCs w:val="24"/>
                <w:highlight w:val="none"/>
                <w:lang w:val="en-US" w:eastAsia="zh-CN"/>
              </w:rPr>
              <w:t>治理长度</w:t>
            </w:r>
            <w:r>
              <w:rPr>
                <w:rFonts w:hint="eastAsia"/>
                <w:b w:val="0"/>
                <w:bCs/>
                <w:color w:val="auto"/>
                <w:sz w:val="24"/>
                <w:szCs w:val="24"/>
                <w:highlight w:val="none"/>
              </w:rPr>
              <w:t>5125m，其中干流段起于G5515公路桥上游872m处，止于杨家镇污水处理厂，河道中心治理长度4772m；清溪沟支流段起于入河口上游189m处止于入河口处</w:t>
            </w:r>
            <w:r>
              <w:rPr>
                <w:rFonts w:hint="eastAsia"/>
                <w:b w:val="0"/>
                <w:bCs/>
                <w:color w:val="auto"/>
                <w:sz w:val="24"/>
                <w:szCs w:val="24"/>
                <w:highlight w:val="none"/>
                <w:lang w:eastAsia="zh-CN"/>
              </w:rPr>
              <w:t>，</w:t>
            </w:r>
            <w:r>
              <w:rPr>
                <w:rFonts w:hint="eastAsia"/>
                <w:b w:val="0"/>
                <w:bCs/>
                <w:color w:val="auto"/>
                <w:sz w:val="24"/>
                <w:szCs w:val="24"/>
                <w:highlight w:val="none"/>
              </w:rPr>
              <w:t>河道中心治理长度189m</w:t>
            </w:r>
            <w:r>
              <w:rPr>
                <w:rFonts w:hint="eastAsia"/>
                <w:b w:val="0"/>
                <w:bCs/>
                <w:color w:val="auto"/>
                <w:sz w:val="24"/>
                <w:szCs w:val="24"/>
                <w:highlight w:val="none"/>
                <w:lang w:eastAsia="zh-CN"/>
              </w:rPr>
              <w:t>；</w:t>
            </w:r>
            <w:r>
              <w:rPr>
                <w:rFonts w:hint="eastAsia"/>
                <w:b w:val="0"/>
                <w:bCs/>
                <w:color w:val="auto"/>
                <w:sz w:val="24"/>
                <w:szCs w:val="24"/>
                <w:highlight w:val="none"/>
              </w:rPr>
              <w:t>蚂蟥沟支流段起于入河口上游164m处</w:t>
            </w:r>
            <w:r>
              <w:rPr>
                <w:rFonts w:hint="eastAsia"/>
                <w:b w:val="0"/>
                <w:bCs/>
                <w:color w:val="auto"/>
                <w:sz w:val="24"/>
                <w:szCs w:val="24"/>
                <w:highlight w:val="none"/>
                <w:lang w:eastAsia="zh-CN"/>
              </w:rPr>
              <w:t>，</w:t>
            </w:r>
            <w:r>
              <w:rPr>
                <w:rFonts w:hint="eastAsia"/>
                <w:b w:val="0"/>
                <w:bCs/>
                <w:color w:val="auto"/>
                <w:sz w:val="24"/>
                <w:szCs w:val="24"/>
                <w:highlight w:val="none"/>
              </w:rPr>
              <w:t>止于入河口处</w:t>
            </w:r>
            <w:r>
              <w:rPr>
                <w:rFonts w:hint="eastAsia"/>
                <w:b w:val="0"/>
                <w:bCs/>
                <w:color w:val="auto"/>
                <w:sz w:val="24"/>
                <w:szCs w:val="24"/>
                <w:highlight w:val="none"/>
                <w:lang w:eastAsia="zh-CN"/>
              </w:rPr>
              <w:t>，</w:t>
            </w:r>
            <w:r>
              <w:rPr>
                <w:rFonts w:hint="eastAsia"/>
                <w:b w:val="0"/>
                <w:bCs/>
                <w:color w:val="auto"/>
                <w:sz w:val="24"/>
                <w:szCs w:val="24"/>
                <w:highlight w:val="none"/>
              </w:rPr>
              <w:t>河道中心治理长度164m</w:t>
            </w:r>
            <w:r>
              <w:rPr>
                <w:rFonts w:hint="eastAsia" w:ascii="Times New Roman" w:hAnsi="Times New Roman" w:eastAsia="宋体"/>
                <w:b w:val="0"/>
                <w:bCs/>
                <w:color w:val="auto"/>
                <w:sz w:val="24"/>
                <w:szCs w:val="24"/>
                <w:highlight w:val="none"/>
              </w:rPr>
              <w:t>。</w:t>
            </w:r>
            <w:r>
              <w:rPr>
                <w:rFonts w:hint="eastAsia" w:ascii="Times New Roman" w:hAnsi="Times New Roman" w:eastAsia="宋体"/>
                <w:color w:val="auto"/>
                <w:sz w:val="24"/>
                <w:highlight w:val="none"/>
              </w:rPr>
              <w:t>新建堤防总长度4689m，其中主河道新建堤防长3963m（左岸1624m；右岸2339m）；清溪沟支流段新建堤防长392m（左岸196m，右岸196m）；蚂蟥沟支流段新建堤防长334m（左岸164m，右岸170m）</w:t>
            </w:r>
            <w:r>
              <w:rPr>
                <w:rFonts w:hint="eastAsia"/>
                <w:color w:val="auto"/>
                <w:sz w:val="24"/>
                <w:highlight w:val="none"/>
                <w:lang w:eastAsia="zh-CN"/>
              </w:rPr>
              <w:t>。</w:t>
            </w:r>
            <w:r>
              <w:rPr>
                <w:rFonts w:hint="eastAsia" w:ascii="Times New Roman" w:hAnsi="宋体" w:eastAsia="宋体" w:cs="Times New Roman"/>
                <w:b w:val="0"/>
                <w:color w:val="auto"/>
                <w:kern w:val="0"/>
                <w:sz w:val="24"/>
                <w:szCs w:val="24"/>
                <w:highlight w:val="none"/>
                <w:lang w:val="en-US" w:eastAsia="zh-CN" w:bidi="ar-SA"/>
              </w:rPr>
              <w:t>新建人行桥</w:t>
            </w:r>
            <w:r>
              <w:rPr>
                <w:rFonts w:hint="eastAsia" w:cs="Times New Roman"/>
                <w:b w:val="0"/>
                <w:color w:val="auto"/>
                <w:kern w:val="0"/>
                <w:sz w:val="24"/>
                <w:szCs w:val="24"/>
                <w:highlight w:val="none"/>
                <w:lang w:val="en-US" w:eastAsia="zh-CN" w:bidi="ar-SA"/>
              </w:rPr>
              <w:t>1座、桥涵1座</w:t>
            </w:r>
            <w:r>
              <w:rPr>
                <w:rFonts w:hint="eastAsia" w:ascii="Times New Roman" w:hAnsi="宋体" w:eastAsia="宋体" w:cs="Times New Roman"/>
                <w:b w:val="0"/>
                <w:color w:val="auto"/>
                <w:kern w:val="0"/>
                <w:sz w:val="24"/>
                <w:szCs w:val="24"/>
                <w:highlight w:val="none"/>
                <w:lang w:val="en-US" w:eastAsia="zh-CN" w:bidi="ar-SA"/>
              </w:rPr>
              <w:t>，雨水管涵</w:t>
            </w:r>
            <w:r>
              <w:rPr>
                <w:rFonts w:hint="eastAsia" w:hAnsi="宋体" w:cs="Times New Roman"/>
                <w:b w:val="0"/>
                <w:color w:val="auto"/>
                <w:kern w:val="0"/>
                <w:sz w:val="24"/>
                <w:szCs w:val="24"/>
                <w:highlight w:val="none"/>
                <w:lang w:val="en-US" w:eastAsia="zh-CN" w:bidi="ar-SA"/>
              </w:rPr>
              <w:t>4</w:t>
            </w:r>
            <w:r>
              <w:rPr>
                <w:rFonts w:hint="eastAsia" w:ascii="Times New Roman" w:hAnsi="宋体" w:eastAsia="宋体" w:cs="Times New Roman"/>
                <w:b w:val="0"/>
                <w:color w:val="auto"/>
                <w:kern w:val="0"/>
                <w:sz w:val="24"/>
                <w:szCs w:val="24"/>
                <w:highlight w:val="none"/>
                <w:lang w:val="en-US" w:eastAsia="zh-CN" w:bidi="ar-SA"/>
              </w:rPr>
              <w:t>处。</w:t>
            </w:r>
          </w:p>
          <w:p w14:paraId="3BBAE53E">
            <w:pPr>
              <w:ind w:firstLine="480" w:firstLineChars="0"/>
              <w:jc w:val="both"/>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rPr>
              <w:t>2.4.</w:t>
            </w:r>
            <w:r>
              <w:rPr>
                <w:rFonts w:hint="default" w:ascii="Times New Roman" w:hAnsi="Times New Roman" w:cs="Times New Roman"/>
                <w:b/>
                <w:bCs/>
                <w:color w:val="auto"/>
                <w:highlight w:val="none"/>
                <w:lang w:val="en-US" w:eastAsia="zh-CN"/>
              </w:rPr>
              <w:t>2主体工程</w:t>
            </w:r>
          </w:p>
          <w:p w14:paraId="6FF7F455">
            <w:pPr>
              <w:keepNext w:val="0"/>
              <w:keepLines w:val="0"/>
              <w:pageBreakBefore w:val="0"/>
              <w:widowControl w:val="0"/>
              <w:kinsoku/>
              <w:wordWrap/>
              <w:overflowPunct/>
              <w:topLinePunct w:val="0"/>
              <w:autoSpaceDE/>
              <w:autoSpaceDN/>
              <w:bidi w:val="0"/>
              <w:adjustRightInd/>
              <w:snapToGrid/>
              <w:ind w:left="0" w:leftChars="0" w:firstLine="480" w:firstLineChars="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2.4.2.1</w:t>
            </w:r>
            <w:r>
              <w:rPr>
                <w:rFonts w:hint="eastAsia" w:cs="Times New Roman"/>
                <w:b/>
                <w:bCs/>
                <w:color w:val="auto"/>
                <w:highlight w:val="none"/>
                <w:lang w:val="en-US" w:eastAsia="zh-CN"/>
              </w:rPr>
              <w:t>柳城河石河镇段防洪工程</w:t>
            </w:r>
          </w:p>
          <w:p w14:paraId="606E3792">
            <w:pPr>
              <w:keepNext w:val="0"/>
              <w:keepLines w:val="0"/>
              <w:pageBreakBefore w:val="0"/>
              <w:widowControl w:val="0"/>
              <w:kinsoku/>
              <w:wordWrap/>
              <w:overflowPunct/>
              <w:topLinePunct w:val="0"/>
              <w:autoSpaceDE/>
              <w:autoSpaceDN/>
              <w:bidi w:val="0"/>
              <w:adjustRightInd/>
              <w:snapToGrid/>
              <w:ind w:left="0" w:leftChars="0" w:firstLine="480" w:firstLineChars="0"/>
              <w:jc w:val="both"/>
              <w:textAlignment w:val="auto"/>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2.4.2.1.1堤防工程</w:t>
            </w:r>
          </w:p>
          <w:p w14:paraId="01D99D74">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rPr>
              <w:fldChar w:fldCharType="begin"/>
            </w:r>
            <w:r>
              <w:rPr>
                <w:rFonts w:hint="default" w:ascii="Times New Roman" w:hAnsi="Times New Roman" w:cs="Times New Roman"/>
                <w:b/>
                <w:bCs/>
                <w:color w:val="auto"/>
                <w:highlight w:val="none"/>
              </w:rPr>
              <w:instrText xml:space="preserve"> = 1 \* Arabic \* MERGEFORMAT </w:instrText>
            </w:r>
            <w:r>
              <w:rPr>
                <w:rFonts w:hint="default" w:ascii="Times New Roman" w:hAnsi="Times New Roman" w:cs="Times New Roman"/>
                <w:b/>
                <w:bCs/>
                <w:color w:val="auto"/>
                <w:highlight w:val="none"/>
              </w:rPr>
              <w:fldChar w:fldCharType="separate"/>
            </w:r>
            <w:r>
              <w:rPr>
                <w:rFonts w:hint="default" w:ascii="Times New Roman" w:hAnsi="Times New Roman" w:cs="Times New Roman"/>
                <w:b/>
                <w:bCs/>
                <w:color w:val="auto"/>
                <w:highlight w:val="none"/>
              </w:rPr>
              <w:t>1</w:t>
            </w:r>
            <w:r>
              <w:rPr>
                <w:rFonts w:hint="default" w:ascii="Times New Roman" w:hAnsi="Times New Roman" w:cs="Times New Roman"/>
                <w:b/>
                <w:bCs/>
                <w:color w:val="auto"/>
                <w:highlight w:val="none"/>
              </w:rPr>
              <w:fldChar w:fldCharType="end"/>
            </w:r>
            <w:r>
              <w:rPr>
                <w:rFonts w:hint="default" w:ascii="Times New Roman" w:hAnsi="Times New Roman" w:cs="Times New Roman"/>
                <w:b/>
                <w:bCs/>
                <w:color w:val="auto"/>
                <w:highlight w:val="none"/>
                <w:lang w:val="en-US" w:eastAsia="zh-CN"/>
              </w:rPr>
              <w:t>护岸堤轴线布置</w:t>
            </w:r>
          </w:p>
          <w:p w14:paraId="690E117C">
            <w:pPr>
              <w:keepNext w:val="0"/>
              <w:keepLines w:val="0"/>
              <w:pageBreakBefore w:val="0"/>
              <w:widowControl/>
              <w:kinsoku/>
              <w:wordWrap/>
              <w:overflowPunct/>
              <w:topLinePunct w:val="0"/>
              <w:autoSpaceDE/>
              <w:autoSpaceDN/>
              <w:bidi w:val="0"/>
              <w:adjustRightInd/>
              <w:snapToGrid/>
              <w:ind w:firstLine="480"/>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四川省大竹县柳城河石河镇二郎、福兴防洪治理工程位于大竹县石河镇境内，保护范围为位于柳城河干流的石河镇二郎社区（原二郎镇）和柳城河支流的福兴社区（原李家乡），工程新建堤防总长5065</w:t>
            </w:r>
            <w:r>
              <w:rPr>
                <w:rFonts w:hint="default" w:ascii="Times New Roman" w:hAnsi="Times New Roman" w:cs="Times New Roman"/>
                <w:color w:val="auto"/>
                <w:highlight w:val="none"/>
                <w:lang w:val="zh-CN"/>
              </w:rPr>
              <w:t>m，其中柳城河二郎段新建堤防</w:t>
            </w:r>
            <w:r>
              <w:rPr>
                <w:rFonts w:hint="default" w:ascii="Times New Roman" w:hAnsi="Times New Roman" w:cs="Times New Roman"/>
                <w:color w:val="auto"/>
                <w:highlight w:val="none"/>
              </w:rPr>
              <w:t>3651.65</w:t>
            </w:r>
            <w:r>
              <w:rPr>
                <w:rFonts w:hint="default" w:ascii="Times New Roman" w:hAnsi="Times New Roman" w:cs="Times New Roman"/>
                <w:color w:val="auto"/>
                <w:highlight w:val="none"/>
                <w:lang w:val="zh-CN"/>
              </w:rPr>
              <w:t>m（</w:t>
            </w:r>
            <w:r>
              <w:rPr>
                <w:rFonts w:hint="eastAsia" w:cs="Times New Roman"/>
                <w:color w:val="auto"/>
                <w:highlight w:val="none"/>
                <w:lang w:val="zh-CN"/>
              </w:rPr>
              <w:t>主河左岸上段931.79m，主河左岸下段390.00m，主河右岸1934.38m，河口段左岸200.35m，河口段右岸195.13m</w:t>
            </w:r>
            <w:r>
              <w:rPr>
                <w:rFonts w:hint="default" w:ascii="Times New Roman" w:hAnsi="Times New Roman" w:cs="Times New Roman"/>
                <w:color w:val="auto"/>
                <w:highlight w:val="none"/>
                <w:lang w:val="zh-CN"/>
              </w:rPr>
              <w:t>），福兴段新建堤防长</w:t>
            </w:r>
            <w:r>
              <w:rPr>
                <w:rFonts w:hint="default" w:ascii="Times New Roman" w:hAnsi="Times New Roman" w:cs="Times New Roman"/>
                <w:color w:val="auto"/>
                <w:highlight w:val="none"/>
              </w:rPr>
              <w:t>1413.35</w:t>
            </w:r>
            <w:r>
              <w:rPr>
                <w:rFonts w:hint="default" w:ascii="Times New Roman" w:hAnsi="Times New Roman" w:cs="Times New Roman"/>
                <w:color w:val="auto"/>
                <w:highlight w:val="none"/>
                <w:lang w:val="zh-CN"/>
              </w:rPr>
              <w:t>m（</w:t>
            </w:r>
            <w:r>
              <w:rPr>
                <w:rFonts w:hint="eastAsia" w:cs="Times New Roman"/>
                <w:color w:val="auto"/>
                <w:highlight w:val="none"/>
                <w:lang w:val="zh-CN"/>
              </w:rPr>
              <w:t>左岸117.46m，右岸1295.89m</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rPr>
              <w:t>。堤线基本沿着河道走势布置，避开了基本农田和穿河天然气管道等，起止点均位于桥梁挡墙或山丘高边坡处，并与岸坡形成闭合。</w:t>
            </w:r>
          </w:p>
          <w:p w14:paraId="1B7807FB">
            <w:pPr>
              <w:ind w:firstLine="480"/>
              <w:rPr>
                <w:rFonts w:hint="default" w:ascii="Times New Roman" w:hAnsi="Times New Roman" w:cs="Times New Roman"/>
                <w:color w:val="auto"/>
                <w:highlight w:val="none"/>
              </w:rPr>
            </w:pPr>
            <w:r>
              <w:rPr>
                <w:rFonts w:hint="eastAsia" w:cs="Times New Roman"/>
                <w:color w:val="auto"/>
                <w:highlight w:val="none"/>
                <w:lang w:eastAsia="zh-CN"/>
              </w:rPr>
              <w:t>四川省大竹县柳城河石河镇防洪治理工程</w:t>
            </w:r>
            <w:r>
              <w:rPr>
                <w:rFonts w:hint="default" w:ascii="Times New Roman" w:hAnsi="Times New Roman" w:cs="Times New Roman"/>
                <w:color w:val="auto"/>
                <w:highlight w:val="none"/>
              </w:rPr>
              <w:t>位于大竹县石河镇境内，保护范围为</w:t>
            </w:r>
            <w:r>
              <w:rPr>
                <w:color w:val="auto"/>
                <w:highlight w:val="none"/>
              </w:rPr>
              <w:t>柳城河石河镇</w:t>
            </w:r>
            <w:r>
              <w:rPr>
                <w:rFonts w:hint="eastAsia"/>
                <w:color w:val="auto"/>
                <w:highlight w:val="none"/>
                <w:lang w:eastAsia="zh-CN"/>
              </w:rPr>
              <w:t>、</w:t>
            </w:r>
            <w:r>
              <w:rPr>
                <w:rFonts w:hint="eastAsia"/>
                <w:color w:val="auto"/>
                <w:highlight w:val="none"/>
                <w:lang w:val="en-US" w:eastAsia="zh-CN"/>
              </w:rPr>
              <w:t>双拱场</w:t>
            </w:r>
            <w:r>
              <w:rPr>
                <w:color w:val="auto"/>
                <w:highlight w:val="none"/>
              </w:rPr>
              <w:t>沿河两岸居民及农田</w:t>
            </w:r>
            <w:r>
              <w:rPr>
                <w:rFonts w:hint="eastAsia" w:cs="Times New Roman"/>
                <w:color w:val="auto"/>
                <w:highlight w:val="none"/>
                <w:lang w:eastAsia="zh-CN"/>
              </w:rPr>
              <w:t>。</w:t>
            </w:r>
            <w:r>
              <w:rPr>
                <w:rFonts w:hint="default" w:ascii="Times New Roman" w:hAnsi="Times New Roman" w:cs="Times New Roman"/>
                <w:color w:val="auto"/>
                <w:highlight w:val="none"/>
              </w:rPr>
              <w:t>工程</w:t>
            </w:r>
            <w:r>
              <w:rPr>
                <w:rFonts w:hint="eastAsia" w:cs="Times New Roman"/>
                <w:color w:val="auto"/>
                <w:highlight w:val="none"/>
                <w:lang w:eastAsia="zh-CN"/>
              </w:rPr>
              <w:t>新建护岸总长3710m，其中柳城河石河镇段新建护岸长2038m（左岸394m，右岸1644m）；柳城河双拱场段新建护岸长1672m（左岸823m，右岸849m）</w:t>
            </w:r>
            <w:r>
              <w:rPr>
                <w:rFonts w:hint="default" w:ascii="Times New Roman" w:hAnsi="Times New Roman" w:cs="Times New Roman"/>
                <w:color w:val="auto"/>
                <w:highlight w:val="none"/>
                <w:lang w:eastAsia="zh-CN"/>
              </w:rPr>
              <w:t>，</w:t>
            </w:r>
            <w:r>
              <w:rPr>
                <w:rFonts w:hint="eastAsia" w:cs="Times New Roman"/>
                <w:color w:val="auto"/>
                <w:highlight w:val="none"/>
                <w:lang w:eastAsia="zh-CN"/>
              </w:rPr>
              <w:t>河道清淤4.6km（石河镇段长2450m、双拱场段长2150m）</w:t>
            </w:r>
            <w:r>
              <w:rPr>
                <w:rFonts w:hint="default" w:ascii="Times New Roman" w:hAnsi="Times New Roman" w:cs="Times New Roman"/>
                <w:color w:val="auto"/>
                <w:highlight w:val="none"/>
              </w:rPr>
              <w:t>。</w:t>
            </w:r>
            <w:r>
              <w:rPr>
                <w:color w:val="auto"/>
                <w:highlight w:val="none"/>
              </w:rPr>
              <w:t>堤线基本沿天然河道常年水边线布置，堤线平顺衔接、无截弯取直、不渠化河道</w:t>
            </w:r>
            <w:r>
              <w:rPr>
                <w:rFonts w:hint="default" w:ascii="Times New Roman" w:hAnsi="Times New Roman" w:cs="Times New Roman"/>
                <w:color w:val="auto"/>
                <w:highlight w:val="none"/>
              </w:rPr>
              <w:t>。</w:t>
            </w:r>
            <w:r>
              <w:rPr>
                <w:color w:val="auto"/>
                <w:highlight w:val="none"/>
              </w:rPr>
              <w:t>为保证各段堤线封闭，河段堤线的首、末端设置堤线封头段顺接上下游。其中石河镇段起点左右岸均顺接天然陡坡，终点顺接公路桥桥墩、天然陡坡。双拱场段起点左右岸均顺接天然陡坡，终点顺接民房临河堡坎、天然陡坡。</w:t>
            </w:r>
          </w:p>
          <w:p w14:paraId="4528654A">
            <w:pPr>
              <w:keepNext/>
              <w:keepLines/>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ROMAN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I</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二郎段堤防</w:t>
            </w:r>
          </w:p>
          <w:p w14:paraId="71631A4D">
            <w:pPr>
              <w:pageBreakBefore w:val="0"/>
              <w:widowControl/>
              <w:kinsoku/>
              <w:wordWrap/>
              <w:overflowPunct/>
              <w:topLinePunct w:val="0"/>
              <w:bidi w:val="0"/>
              <w:snapToGrid/>
              <w:spacing w:line="360" w:lineRule="auto"/>
              <w:ind w:firstLine="480" w:firstLineChars="0"/>
              <w:jc w:val="left"/>
              <w:textAlignment w:val="auto"/>
              <w:outlineLvl w:val="9"/>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柳城河干流的二郎段新建堤防</w:t>
            </w:r>
            <w:r>
              <w:rPr>
                <w:rFonts w:hint="default" w:ascii="Times New Roman" w:hAnsi="Times New Roman" w:cs="Times New Roman"/>
                <w:color w:val="auto"/>
                <w:highlight w:val="none"/>
              </w:rPr>
              <w:t>3651.65</w:t>
            </w:r>
            <w:r>
              <w:rPr>
                <w:rFonts w:hint="default" w:ascii="Times New Roman" w:hAnsi="Times New Roman" w:cs="Times New Roman"/>
                <w:color w:val="auto"/>
                <w:highlight w:val="none"/>
                <w:lang w:val="zh-CN"/>
              </w:rPr>
              <w:t>m（</w:t>
            </w:r>
            <w:r>
              <w:rPr>
                <w:rFonts w:hint="eastAsia" w:cs="Times New Roman"/>
                <w:color w:val="auto"/>
                <w:highlight w:val="none"/>
                <w:lang w:val="zh-CN"/>
              </w:rPr>
              <w:t>主河左岸上段931.79m，主河左岸下段390.00m，主河右岸1934.38m，河口段左岸200.35m，河口段右岸195.13m</w:t>
            </w:r>
            <w:r>
              <w:rPr>
                <w:rFonts w:hint="default" w:ascii="Times New Roman" w:hAnsi="Times New Roman" w:cs="Times New Roman"/>
                <w:color w:val="auto"/>
                <w:highlight w:val="none"/>
                <w:lang w:val="zh-CN"/>
              </w:rPr>
              <w:t>）。</w:t>
            </w:r>
          </w:p>
          <w:p w14:paraId="72138D86">
            <w:pPr>
              <w:pageBreakBefore w:val="0"/>
              <w:widowControl/>
              <w:kinsoku/>
              <w:wordWrap/>
              <w:overflowPunct/>
              <w:topLinePunct w:val="0"/>
              <w:bidi w:val="0"/>
              <w:snapToGrid/>
              <w:spacing w:line="360" w:lineRule="auto"/>
              <w:ind w:firstLine="480" w:firstLineChars="0"/>
              <w:jc w:val="left"/>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（1）二郎左岸堤防</w:t>
            </w:r>
          </w:p>
          <w:p w14:paraId="4948E5E7">
            <w:pPr>
              <w:pageBreakBefore w:val="0"/>
              <w:widowControl/>
              <w:kinsoku/>
              <w:wordWrap/>
              <w:overflowPunct/>
              <w:topLinePunct w:val="0"/>
              <w:bidi w:val="0"/>
              <w:snapToGrid/>
              <w:spacing w:line="360" w:lineRule="auto"/>
              <w:ind w:firstLine="480" w:firstLineChars="0"/>
              <w:jc w:val="left"/>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二郎左岸上段堤防</w:t>
            </w:r>
            <w:r>
              <w:rPr>
                <w:rFonts w:hint="default" w:ascii="Times New Roman" w:hAnsi="Times New Roman" w:cs="Times New Roman"/>
                <w:color w:val="auto"/>
                <w:highlight w:val="none"/>
                <w:lang w:val="zh-CN"/>
              </w:rPr>
              <w:t>长</w:t>
            </w:r>
            <w:r>
              <w:rPr>
                <w:rFonts w:hint="default" w:ascii="Times New Roman" w:hAnsi="Times New Roman" w:cs="Times New Roman"/>
                <w:color w:val="auto"/>
                <w:highlight w:val="none"/>
              </w:rPr>
              <w:t>931.79</w:t>
            </w:r>
            <w:r>
              <w:rPr>
                <w:rFonts w:hint="default" w:ascii="Times New Roman" w:hAnsi="Times New Roman" w:cs="Times New Roman"/>
                <w:color w:val="auto"/>
                <w:highlight w:val="none"/>
                <w:lang w:val="zh-CN"/>
              </w:rPr>
              <w:t>m，</w:t>
            </w:r>
            <w:r>
              <w:rPr>
                <w:rFonts w:hint="default" w:ascii="Times New Roman" w:hAnsi="Times New Roman" w:cs="Times New Roman"/>
                <w:color w:val="auto"/>
                <w:highlight w:val="none"/>
              </w:rPr>
              <w:t>二郎左岸下段堤防</w:t>
            </w:r>
            <w:r>
              <w:rPr>
                <w:rFonts w:hint="default" w:ascii="Times New Roman" w:hAnsi="Times New Roman" w:cs="Times New Roman"/>
                <w:color w:val="auto"/>
                <w:highlight w:val="none"/>
                <w:lang w:val="zh-CN"/>
              </w:rPr>
              <w:t>长</w:t>
            </w:r>
            <w:r>
              <w:rPr>
                <w:rFonts w:hint="default" w:ascii="Times New Roman" w:hAnsi="Times New Roman" w:cs="Times New Roman"/>
                <w:color w:val="auto"/>
                <w:highlight w:val="none"/>
              </w:rPr>
              <w:t>390.00</w:t>
            </w:r>
            <w:r>
              <w:rPr>
                <w:rFonts w:hint="default" w:ascii="Times New Roman" w:hAnsi="Times New Roman" w:cs="Times New Roman"/>
                <w:color w:val="auto"/>
                <w:highlight w:val="none"/>
                <w:lang w:val="zh-CN"/>
              </w:rPr>
              <w:t>m，</w:t>
            </w:r>
            <w:r>
              <w:rPr>
                <w:rFonts w:hint="default" w:ascii="Times New Roman" w:hAnsi="Times New Roman" w:cs="Times New Roman"/>
                <w:color w:val="auto"/>
                <w:highlight w:val="none"/>
              </w:rPr>
              <w:t>上段</w:t>
            </w:r>
            <w:r>
              <w:rPr>
                <w:rFonts w:hint="default" w:ascii="Times New Roman" w:hAnsi="Times New Roman" w:cs="Times New Roman"/>
                <w:color w:val="auto"/>
                <w:highlight w:val="none"/>
                <w:lang w:val="zh-CN"/>
              </w:rPr>
              <w:t>主要是保护二郎社区耕地及房屋，</w:t>
            </w:r>
            <w:r>
              <w:rPr>
                <w:rFonts w:hint="default" w:ascii="Times New Roman" w:hAnsi="Times New Roman" w:cs="Times New Roman"/>
                <w:color w:val="auto"/>
                <w:highlight w:val="none"/>
              </w:rPr>
              <w:t>由于二郎社区石板桥下游左岸200m后全部为基本农田，为了不占用基本农田，堤防起点设在吊楼房子和对岸处自然封头。堤线随岸坡的转弯而转弯，基本沿着原有河岸天然走势布置。堤防末端位于与左岸支沟会和口处，形成封头防止河水淘刷。下段主要</w:t>
            </w:r>
            <w:r>
              <w:rPr>
                <w:rFonts w:hint="default" w:ascii="Times New Roman" w:hAnsi="Times New Roman" w:cs="Times New Roman"/>
                <w:color w:val="auto"/>
                <w:highlight w:val="none"/>
                <w:lang w:val="zh-CN"/>
              </w:rPr>
              <w:t>保护</w:t>
            </w:r>
            <w:r>
              <w:rPr>
                <w:rFonts w:hint="default" w:ascii="Times New Roman" w:hAnsi="Times New Roman" w:cs="Times New Roman"/>
                <w:color w:val="auto"/>
                <w:highlight w:val="none"/>
              </w:rPr>
              <w:t>河岸的耕地。</w:t>
            </w:r>
          </w:p>
          <w:p w14:paraId="09F7F1DE">
            <w:pPr>
              <w:pageBreakBefore w:val="0"/>
              <w:widowControl/>
              <w:kinsoku/>
              <w:wordWrap/>
              <w:overflowPunct/>
              <w:topLinePunct w:val="0"/>
              <w:bidi w:val="0"/>
              <w:snapToGrid/>
              <w:spacing w:line="360" w:lineRule="auto"/>
              <w:ind w:firstLine="480" w:firstLineChars="0"/>
              <w:jc w:val="left"/>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（2）二郎右岸堤防</w:t>
            </w:r>
          </w:p>
          <w:p w14:paraId="001B5DA7">
            <w:pPr>
              <w:pageBreakBefore w:val="0"/>
              <w:widowControl/>
              <w:kinsoku/>
              <w:wordWrap/>
              <w:overflowPunct/>
              <w:topLinePunct w:val="0"/>
              <w:bidi w:val="0"/>
              <w:snapToGrid/>
              <w:spacing w:line="360" w:lineRule="auto"/>
              <w:ind w:firstLine="480" w:firstLineChars="0"/>
              <w:jc w:val="left"/>
              <w:textAlignment w:val="auto"/>
              <w:outlineLvl w:val="9"/>
              <w:rPr>
                <w:rFonts w:hint="default" w:ascii="Times New Roman" w:hAnsi="Times New Roman" w:cs="Times New Roman"/>
                <w:snapToGrid w:val="0"/>
                <w:color w:val="auto"/>
                <w:highlight w:val="none"/>
              </w:rPr>
            </w:pPr>
            <w:r>
              <w:rPr>
                <w:rFonts w:hint="default" w:ascii="Times New Roman" w:hAnsi="Times New Roman" w:cs="Times New Roman"/>
                <w:color w:val="auto"/>
                <w:highlight w:val="none"/>
              </w:rPr>
              <w:t>二郎右岸堤防</w:t>
            </w:r>
            <w:r>
              <w:rPr>
                <w:rFonts w:hint="default" w:ascii="Times New Roman" w:hAnsi="Times New Roman" w:cs="Times New Roman"/>
                <w:color w:val="auto"/>
                <w:highlight w:val="none"/>
                <w:lang w:val="zh-CN"/>
              </w:rPr>
              <w:t>长</w:t>
            </w:r>
            <w:r>
              <w:rPr>
                <w:rFonts w:hint="default" w:ascii="Times New Roman" w:hAnsi="Times New Roman" w:cs="Times New Roman"/>
                <w:color w:val="auto"/>
                <w:highlight w:val="none"/>
              </w:rPr>
              <w:t>1934.38</w:t>
            </w:r>
            <w:r>
              <w:rPr>
                <w:rFonts w:hint="default" w:ascii="Times New Roman" w:hAnsi="Times New Roman" w:cs="Times New Roman"/>
                <w:color w:val="auto"/>
                <w:highlight w:val="none"/>
                <w:lang w:val="zh-CN"/>
              </w:rPr>
              <w:t>m，主要是保护耕地和房屋，</w:t>
            </w:r>
            <w:r>
              <w:rPr>
                <w:rFonts w:hint="default" w:ascii="Times New Roman" w:hAnsi="Times New Roman" w:cs="Times New Roman"/>
                <w:color w:val="auto"/>
                <w:highlight w:val="none"/>
              </w:rPr>
              <w:t>堤防起点在吊楼房子旁公路桥处顺直衔接，自然封头。堤线随岸坡的转弯而转弯，基本沿着原有河岸天然走势布置。为了不占用基本农田，堤防末端位于胡田坝处，形成封头防止河水淘刷。</w:t>
            </w:r>
          </w:p>
          <w:p w14:paraId="5FFA6F61">
            <w:pPr>
              <w:pageBreakBefore w:val="0"/>
              <w:widowControl/>
              <w:kinsoku/>
              <w:wordWrap/>
              <w:overflowPunct/>
              <w:topLinePunct w:val="0"/>
              <w:bidi w:val="0"/>
              <w:snapToGrid/>
              <w:spacing w:line="360" w:lineRule="auto"/>
              <w:ind w:firstLine="480" w:firstLineChars="0"/>
              <w:jc w:val="left"/>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t>（3）二郎左岸河口段堤防</w:t>
            </w:r>
          </w:p>
          <w:p w14:paraId="4C94FD74">
            <w:pPr>
              <w:pageBreakBefore w:val="0"/>
              <w:widowControl w:val="0"/>
              <w:kinsoku/>
              <w:wordWrap/>
              <w:overflowPunct/>
              <w:topLinePunct w:val="0"/>
              <w:bidi w:val="0"/>
              <w:snapToGrid/>
              <w:spacing w:line="360" w:lineRule="auto"/>
              <w:ind w:firstLineChars="200"/>
              <w:jc w:val="both"/>
              <w:textAlignment w:val="auto"/>
              <w:outlineLvl w:val="9"/>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二郎左岸河口段堤防长395.48m，其中河口段左岸200.35m，河口段右岸195.13m。河口段堤防起点在杨家坝处，堤线随岸坡的转弯而转弯，基本沿着原有河岸天然走势布置。堤防终点在支沟和主沟汇合口处，形成封头防止河水淘刷。</w:t>
            </w:r>
          </w:p>
          <w:p w14:paraId="00E7A182">
            <w:pPr>
              <w:keepNext/>
              <w:keepLines/>
              <w:pageBreakBefore w:val="0"/>
              <w:widowControl w:val="0"/>
              <w:kinsoku/>
              <w:wordWrap/>
              <w:overflowPunct/>
              <w:topLinePunct w:val="0"/>
              <w:autoSpaceDE/>
              <w:autoSpaceDN/>
              <w:bidi w:val="0"/>
              <w:adjustRightInd/>
              <w:snapToGrid/>
              <w:spacing w:before="0" w:after="0"/>
              <w:ind w:firstLine="480" w:firstLineChars="200"/>
              <w:textAlignment w:val="auto"/>
              <w:outlineLvl w:val="9"/>
              <w:rPr>
                <w:color w:val="auto"/>
                <w:highlight w:val="none"/>
              </w:rPr>
            </w:pPr>
            <w:r>
              <w:rPr>
                <w:rFonts w:hint="eastAsia"/>
                <w:color w:val="auto"/>
                <w:highlight w:val="none"/>
              </w:rPr>
              <w:fldChar w:fldCharType="begin"/>
            </w:r>
            <w:r>
              <w:rPr>
                <w:rFonts w:hint="eastAsia"/>
                <w:color w:val="auto"/>
                <w:highlight w:val="none"/>
              </w:rPr>
              <w:instrText xml:space="preserve"> = 2 \* ROMAN \* MERGEFORMAT </w:instrText>
            </w:r>
            <w:r>
              <w:rPr>
                <w:rFonts w:hint="eastAsia"/>
                <w:color w:val="auto"/>
                <w:highlight w:val="none"/>
              </w:rPr>
              <w:fldChar w:fldCharType="separate"/>
            </w:r>
            <w:r>
              <w:rPr>
                <w:color w:val="auto"/>
                <w:highlight w:val="none"/>
              </w:rPr>
              <w:t>II</w:t>
            </w:r>
            <w:r>
              <w:rPr>
                <w:rFonts w:hint="eastAsia"/>
                <w:color w:val="auto"/>
                <w:highlight w:val="none"/>
              </w:rPr>
              <w:fldChar w:fldCharType="end"/>
            </w:r>
            <w:r>
              <w:rPr>
                <w:rFonts w:hint="eastAsia"/>
                <w:color w:val="auto"/>
                <w:highlight w:val="none"/>
              </w:rPr>
              <w:t>福兴段堤防</w:t>
            </w:r>
          </w:p>
          <w:p w14:paraId="396EC5F4">
            <w:pPr>
              <w:ind w:firstLine="480"/>
              <w:rPr>
                <w:rFonts w:hint="eastAsia"/>
                <w:color w:val="auto"/>
                <w:highlight w:val="none"/>
              </w:rPr>
            </w:pPr>
            <w:r>
              <w:rPr>
                <w:rFonts w:hint="eastAsia"/>
                <w:color w:val="auto"/>
                <w:highlight w:val="none"/>
                <w:lang w:val="zh-CN"/>
              </w:rPr>
              <w:t>柳城河支流的福兴段新建堤防长</w:t>
            </w:r>
            <w:r>
              <w:rPr>
                <w:rFonts w:hint="eastAsia"/>
                <w:color w:val="auto"/>
                <w:highlight w:val="none"/>
              </w:rPr>
              <w:t>1413.35</w:t>
            </w:r>
            <w:r>
              <w:rPr>
                <w:rFonts w:hint="eastAsia"/>
                <w:color w:val="auto"/>
                <w:highlight w:val="none"/>
                <w:lang w:val="zh-CN"/>
              </w:rPr>
              <w:t>m（左岸117.46m，右岸1295.89m），</w:t>
            </w:r>
            <w:r>
              <w:rPr>
                <w:rFonts w:hint="eastAsia"/>
                <w:color w:val="auto"/>
                <w:highlight w:val="none"/>
              </w:rPr>
              <w:t>堤防主要位于福兴社区及上下游的耕地处，福兴段堤防分为左右岸。</w:t>
            </w:r>
          </w:p>
          <w:p w14:paraId="3D540CD6">
            <w:pPr>
              <w:ind w:firstLine="480"/>
              <w:rPr>
                <w:color w:val="auto"/>
                <w:highlight w:val="none"/>
              </w:rPr>
            </w:pPr>
            <w:r>
              <w:rPr>
                <w:rFonts w:hint="eastAsia"/>
                <w:color w:val="auto"/>
                <w:highlight w:val="none"/>
              </w:rPr>
              <w:t>（1）福兴段左岸堤防</w:t>
            </w:r>
          </w:p>
          <w:p w14:paraId="690B1417">
            <w:pPr>
              <w:ind w:firstLine="480"/>
              <w:rPr>
                <w:color w:val="auto"/>
                <w:highlight w:val="none"/>
              </w:rPr>
            </w:pPr>
            <w:r>
              <w:rPr>
                <w:rFonts w:hint="eastAsia"/>
                <w:color w:val="auto"/>
                <w:highlight w:val="none"/>
              </w:rPr>
              <w:t>福兴段左岸堤防</w:t>
            </w:r>
            <w:r>
              <w:rPr>
                <w:rFonts w:hint="eastAsia"/>
                <w:color w:val="auto"/>
                <w:highlight w:val="none"/>
                <w:lang w:val="zh-CN"/>
              </w:rPr>
              <w:t>长</w:t>
            </w:r>
            <w:r>
              <w:rPr>
                <w:rFonts w:hint="eastAsia"/>
                <w:color w:val="auto"/>
                <w:highlight w:val="none"/>
              </w:rPr>
              <w:t>117.46</w:t>
            </w:r>
            <w:r>
              <w:rPr>
                <w:rFonts w:hint="eastAsia"/>
                <w:color w:val="auto"/>
                <w:highlight w:val="none"/>
                <w:lang w:val="zh-CN"/>
              </w:rPr>
              <w:t>m，主要是保护福兴社区街道，</w:t>
            </w:r>
            <w:r>
              <w:rPr>
                <w:rFonts w:hint="eastAsia"/>
                <w:color w:val="auto"/>
                <w:highlight w:val="none"/>
              </w:rPr>
              <w:t>堤防起点设在谢李家桥处顺直衔接，自然封头。堤线随岸坡的转弯而转弯，基本沿着原有河岸天然走势布置。堤防末端位于起点李家桥下游117.46m边坡处，形成封头防止河水淘刷。</w:t>
            </w:r>
          </w:p>
          <w:p w14:paraId="4C31949B">
            <w:pPr>
              <w:ind w:firstLine="480"/>
              <w:rPr>
                <w:color w:val="auto"/>
                <w:highlight w:val="none"/>
              </w:rPr>
            </w:pPr>
            <w:r>
              <w:rPr>
                <w:rFonts w:hint="eastAsia"/>
                <w:color w:val="auto"/>
                <w:highlight w:val="none"/>
              </w:rPr>
              <w:t>（2）福兴右上段堤防</w:t>
            </w:r>
          </w:p>
          <w:p w14:paraId="569DCD28">
            <w:pPr>
              <w:ind w:firstLine="480"/>
              <w:rPr>
                <w:rFonts w:hint="eastAsia"/>
                <w:color w:val="auto"/>
                <w:highlight w:val="none"/>
              </w:rPr>
            </w:pPr>
            <w:r>
              <w:rPr>
                <w:rFonts w:hint="eastAsia"/>
                <w:color w:val="auto"/>
                <w:highlight w:val="none"/>
              </w:rPr>
              <w:t>福兴段右上段岸堤防</w:t>
            </w:r>
            <w:r>
              <w:rPr>
                <w:rFonts w:hint="eastAsia"/>
                <w:color w:val="auto"/>
                <w:highlight w:val="none"/>
                <w:lang w:val="zh-CN"/>
              </w:rPr>
              <w:t>长</w:t>
            </w:r>
            <w:r>
              <w:rPr>
                <w:rFonts w:hint="eastAsia"/>
                <w:color w:val="auto"/>
                <w:highlight w:val="none"/>
              </w:rPr>
              <w:t>1295.89</w:t>
            </w:r>
            <w:r>
              <w:rPr>
                <w:rFonts w:hint="eastAsia"/>
                <w:color w:val="auto"/>
                <w:highlight w:val="none"/>
                <w:lang w:val="zh-CN"/>
              </w:rPr>
              <w:t>m，主要是保护福兴社区耕地，为了不占用基本农田，</w:t>
            </w:r>
            <w:r>
              <w:rPr>
                <w:rFonts w:hint="eastAsia"/>
                <w:color w:val="auto"/>
                <w:highlight w:val="none"/>
              </w:rPr>
              <w:t>堤防起点设在谢二坝机耕桥丘陵处顺直衔接，自然封头。堤线随岸坡的转弯而转弯，基本沿着原有河岸天然走势布置。堤防末端位于李家桥下游117.46m耕地边坡处，形成封头防止河水淘刷。</w:t>
            </w:r>
          </w:p>
          <w:p w14:paraId="240DC9A0">
            <w:pPr>
              <w:keepNext/>
              <w:keepLines/>
              <w:pageBreakBefore w:val="0"/>
              <w:widowControl w:val="0"/>
              <w:kinsoku/>
              <w:wordWrap/>
              <w:overflowPunct/>
              <w:topLinePunct w:val="0"/>
              <w:autoSpaceDE/>
              <w:autoSpaceDN/>
              <w:bidi w:val="0"/>
              <w:adjustRightInd/>
              <w:snapToGrid/>
              <w:spacing w:before="0" w:beforeLines="0" w:after="0" w:afterLines="0" w:line="360" w:lineRule="auto"/>
              <w:ind w:firstLine="480" w:firstLineChars="200"/>
              <w:jc w:val="both"/>
              <w:textAlignment w:val="auto"/>
              <w:outlineLvl w:val="9"/>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3 \* ROMAN \* MERGEFORMAT </w:instrText>
            </w:r>
            <w:r>
              <w:rPr>
                <w:rFonts w:hint="default" w:ascii="Times New Roman" w:hAnsi="Times New Roman" w:cs="Times New Roman"/>
                <w:color w:val="auto"/>
                <w:highlight w:val="none"/>
              </w:rPr>
              <w:fldChar w:fldCharType="separate"/>
            </w:r>
            <w:r>
              <w:rPr>
                <w:color w:val="auto"/>
                <w:highlight w:val="none"/>
              </w:rPr>
              <w:t>III</w:t>
            </w:r>
            <w:r>
              <w:rPr>
                <w:rFonts w:hint="default" w:ascii="Times New Roman" w:hAnsi="Times New Roman" w:cs="Times New Roman"/>
                <w:color w:val="auto"/>
                <w:highlight w:val="none"/>
              </w:rPr>
              <w:fldChar w:fldCharType="end"/>
            </w:r>
            <w:r>
              <w:rPr>
                <w:rFonts w:hint="eastAsia" w:ascii="Times New Roman" w:hAnsi="Times New Roman" w:cs="Times New Roman"/>
                <w:color w:val="auto"/>
                <w:highlight w:val="none"/>
                <w:lang w:eastAsia="zh-CN"/>
              </w:rPr>
              <w:t>石河镇段</w:t>
            </w:r>
            <w:r>
              <w:rPr>
                <w:rFonts w:hint="default" w:ascii="Times New Roman" w:hAnsi="Times New Roman" w:cs="Times New Roman"/>
                <w:color w:val="auto"/>
                <w:highlight w:val="none"/>
              </w:rPr>
              <w:t>堤防</w:t>
            </w:r>
          </w:p>
          <w:p w14:paraId="15375833">
            <w:pPr>
              <w:pageBreakBefore w:val="0"/>
              <w:widowControl/>
              <w:kinsoku/>
              <w:wordWrap/>
              <w:overflowPunct/>
              <w:topLinePunct w:val="0"/>
              <w:bidi w:val="0"/>
              <w:snapToGrid/>
              <w:spacing w:line="360" w:lineRule="auto"/>
              <w:ind w:firstLine="480" w:firstLineChars="0"/>
              <w:jc w:val="left"/>
              <w:textAlignment w:val="auto"/>
              <w:outlineLvl w:val="9"/>
              <w:rPr>
                <w:rFonts w:hint="default" w:ascii="Times New Roman" w:hAnsi="Times New Roman" w:cs="Times New Roman"/>
                <w:color w:val="auto"/>
                <w:highlight w:val="none"/>
                <w:lang w:val="zh-CN"/>
              </w:rPr>
            </w:pPr>
            <w:r>
              <w:rPr>
                <w:color w:val="auto"/>
                <w:highlight w:val="none"/>
                <w:lang w:val="zh-CN"/>
              </w:rPr>
              <w:t>石河镇段新建护岸长2038m，左岸长394m，</w:t>
            </w:r>
            <w:r>
              <w:rPr>
                <w:color w:val="auto"/>
                <w:highlight w:val="none"/>
              </w:rPr>
              <w:t>起于张家大院子，止于朝门院子</w:t>
            </w:r>
            <w:r>
              <w:rPr>
                <w:color w:val="auto"/>
                <w:highlight w:val="none"/>
                <w:lang w:val="zh-CN"/>
              </w:rPr>
              <w:t>，右岸1644m，</w:t>
            </w:r>
            <w:r>
              <w:rPr>
                <w:color w:val="auto"/>
                <w:highlight w:val="none"/>
              </w:rPr>
              <w:t>起于罗汉山，止于赖家湾</w:t>
            </w:r>
            <w:r>
              <w:rPr>
                <w:rFonts w:hint="eastAsia"/>
                <w:color w:val="auto"/>
                <w:highlight w:val="none"/>
                <w:lang w:eastAsia="zh-CN"/>
              </w:rPr>
              <w:t>。</w:t>
            </w:r>
            <w:r>
              <w:rPr>
                <w:rFonts w:hint="eastAsia"/>
                <w:color w:val="auto"/>
                <w:highlight w:val="none"/>
                <w:lang w:val="en-US" w:eastAsia="zh-CN"/>
              </w:rPr>
              <w:t>对应桩号</w:t>
            </w:r>
            <w:r>
              <w:rPr>
                <w:rFonts w:hint="eastAsia" w:cs="Times New Roman"/>
                <w:color w:val="auto"/>
                <w:highlight w:val="none"/>
                <w:lang w:val="en-US" w:eastAsia="zh-CN"/>
              </w:rPr>
              <w:t>为</w:t>
            </w:r>
            <w:r>
              <w:rPr>
                <w:color w:val="auto"/>
                <w:highlight w:val="none"/>
              </w:rPr>
              <w:t>石Z0+447～石Z0+841、石Y0+428～石Y0+953、石Y0+965～石Y2+084段</w:t>
            </w:r>
            <w:r>
              <w:rPr>
                <w:rFonts w:hint="default" w:ascii="Times New Roman" w:hAnsi="Times New Roman" w:cs="Times New Roman"/>
                <w:color w:val="auto"/>
                <w:highlight w:val="none"/>
                <w:lang w:val="zh-CN"/>
              </w:rPr>
              <w:t>。</w:t>
            </w:r>
          </w:p>
          <w:p w14:paraId="60B32F1A">
            <w:pPr>
              <w:ind w:firstLine="480"/>
              <w:rPr>
                <w:color w:val="auto"/>
                <w:highlight w:val="none"/>
              </w:rPr>
            </w:pPr>
            <w:r>
              <w:rPr>
                <w:color w:val="auto"/>
                <w:highlight w:val="none"/>
              </w:rPr>
              <w:t>新建堤防为斜坡式，在P=20%水位以上0.5m新建堤顶步道，堤顶步道宽2.0m，临水侧设置防浪墙+青石栏杆。堤顶步道以上岸坡坡比结合现状地形采用不统一的稳定坡比与现状岸坡平顺衔接或维持现状，局部堤段由于现状地势较低，堤顶步道背水侧需土石压实填筑，坡比1:2，坡面采用草皮护坡（台湾二号草皮），背水侧坡脚修建C25砼排水沟。堤顶步道以下斜坡坡比1:1.75，坡面采用C25钢筋砼框格梁+空心</w:t>
            </w:r>
            <w:r>
              <w:rPr>
                <w:rFonts w:hint="eastAsia"/>
                <w:color w:val="auto"/>
                <w:highlight w:val="none"/>
              </w:rPr>
              <w:t>（实心）</w:t>
            </w:r>
            <w:r>
              <w:rPr>
                <w:color w:val="auto"/>
                <w:highlight w:val="none"/>
              </w:rPr>
              <w:t>六棱块+麦冬护坡；斜坡坡脚新建C25混凝土重力式挡墙，挡墙高2.0～3.5m，墙顶宽0.8m，墙背采用开挖料压实回填，墙身设排水孔，呈梅花型布设，排水管进水口设碎石反滤包；挡墙建基面置于基岩基础或块石挤压换填基础上，采用基岩基础的，嵌入岩基深度不小于0.6m。</w:t>
            </w:r>
          </w:p>
          <w:p w14:paraId="1773BDDF">
            <w:pPr>
              <w:keepNext/>
              <w:keepLines/>
              <w:pageBreakBefore w:val="0"/>
              <w:widowControl w:val="0"/>
              <w:kinsoku/>
              <w:wordWrap/>
              <w:overflowPunct/>
              <w:topLinePunct w:val="0"/>
              <w:autoSpaceDE/>
              <w:autoSpaceDN/>
              <w:bidi w:val="0"/>
              <w:adjustRightInd/>
              <w:snapToGrid/>
              <w:spacing w:before="0" w:after="0"/>
              <w:ind w:firstLine="480" w:firstLineChars="200"/>
              <w:textAlignment w:val="auto"/>
              <w:outlineLvl w:val="9"/>
              <w:rPr>
                <w:color w:val="auto"/>
                <w:highlight w:val="none"/>
              </w:rPr>
            </w:pPr>
            <w:r>
              <w:rPr>
                <w:rFonts w:hint="eastAsia"/>
                <w:color w:val="auto"/>
                <w:highlight w:val="none"/>
              </w:rPr>
              <w:fldChar w:fldCharType="begin"/>
            </w:r>
            <w:r>
              <w:rPr>
                <w:rFonts w:hint="eastAsia"/>
                <w:color w:val="auto"/>
                <w:highlight w:val="none"/>
              </w:rPr>
              <w:instrText xml:space="preserve"> = 4 \* ROMAN \* MERGEFORMAT </w:instrText>
            </w:r>
            <w:r>
              <w:rPr>
                <w:rFonts w:hint="eastAsia"/>
                <w:color w:val="auto"/>
                <w:highlight w:val="none"/>
              </w:rPr>
              <w:fldChar w:fldCharType="separate"/>
            </w:r>
            <w:r>
              <w:rPr>
                <w:color w:val="auto"/>
                <w:highlight w:val="none"/>
              </w:rPr>
              <w:t>IV</w:t>
            </w:r>
            <w:r>
              <w:rPr>
                <w:rFonts w:hint="eastAsia"/>
                <w:color w:val="auto"/>
                <w:highlight w:val="none"/>
              </w:rPr>
              <w:fldChar w:fldCharType="end"/>
            </w:r>
            <w:r>
              <w:rPr>
                <w:rFonts w:hint="eastAsia"/>
                <w:color w:val="auto"/>
                <w:highlight w:val="none"/>
                <w:lang w:eastAsia="zh-CN"/>
              </w:rPr>
              <w:t>双拱场段</w:t>
            </w:r>
            <w:r>
              <w:rPr>
                <w:rFonts w:hint="eastAsia"/>
                <w:color w:val="auto"/>
                <w:highlight w:val="none"/>
              </w:rPr>
              <w:t>堤防</w:t>
            </w:r>
          </w:p>
          <w:p w14:paraId="048F1803">
            <w:pPr>
              <w:ind w:firstLine="480"/>
              <w:rPr>
                <w:rFonts w:hint="eastAsia"/>
                <w:color w:val="auto"/>
                <w:highlight w:val="none"/>
              </w:rPr>
            </w:pPr>
            <w:r>
              <w:rPr>
                <w:color w:val="auto"/>
                <w:highlight w:val="none"/>
                <w:lang w:val="zh-CN"/>
              </w:rPr>
              <w:t>柳城河双拱场段新建护岸长1672m，左岸长823m，</w:t>
            </w:r>
            <w:r>
              <w:rPr>
                <w:color w:val="auto"/>
                <w:highlight w:val="none"/>
              </w:rPr>
              <w:t>起于小湾，止于阳河咀</w:t>
            </w:r>
            <w:r>
              <w:rPr>
                <w:color w:val="auto"/>
                <w:highlight w:val="none"/>
                <w:lang w:val="zh-CN"/>
              </w:rPr>
              <w:t>，右岸长849m，</w:t>
            </w:r>
            <w:r>
              <w:rPr>
                <w:color w:val="auto"/>
                <w:highlight w:val="none"/>
              </w:rPr>
              <w:t>起于小湾，止于阳河咀</w:t>
            </w:r>
            <w:r>
              <w:rPr>
                <w:rFonts w:hint="eastAsia"/>
                <w:color w:val="auto"/>
                <w:highlight w:val="none"/>
                <w:lang w:eastAsia="zh-CN"/>
              </w:rPr>
              <w:t>。</w:t>
            </w:r>
            <w:r>
              <w:rPr>
                <w:rFonts w:hint="eastAsia"/>
                <w:color w:val="auto"/>
                <w:highlight w:val="none"/>
                <w:lang w:val="en-US" w:eastAsia="zh-CN"/>
              </w:rPr>
              <w:t>对应</w:t>
            </w:r>
            <w:r>
              <w:rPr>
                <w:color w:val="auto"/>
                <w:highlight w:val="none"/>
              </w:rPr>
              <w:t>桩号</w:t>
            </w:r>
            <w:r>
              <w:rPr>
                <w:rFonts w:hint="eastAsia"/>
                <w:color w:val="auto"/>
                <w:highlight w:val="none"/>
                <w:lang w:val="en-US" w:eastAsia="zh-CN"/>
              </w:rPr>
              <w:t>为</w:t>
            </w:r>
            <w:r>
              <w:rPr>
                <w:color w:val="auto"/>
                <w:highlight w:val="none"/>
              </w:rPr>
              <w:t>双Z0+129～双Z0+393、双Z0+682～双Z1+241段、双Y0+123～双Y0+446、双Y0+712～双Y1+238段</w:t>
            </w:r>
            <w:r>
              <w:rPr>
                <w:rFonts w:hint="eastAsia"/>
                <w:color w:val="auto"/>
                <w:highlight w:val="none"/>
              </w:rPr>
              <w:t>。</w:t>
            </w:r>
          </w:p>
          <w:p w14:paraId="60D2A7A4">
            <w:pPr>
              <w:jc w:val="both"/>
              <w:rPr>
                <w:rFonts w:hint="default" w:ascii="Times New Roman" w:hAnsi="Times New Roman" w:cs="Times New Roman"/>
                <w:color w:val="auto"/>
                <w:highlight w:val="none"/>
                <w:lang w:val="en-US" w:eastAsia="zh-CN"/>
              </w:rPr>
            </w:pPr>
            <w:r>
              <w:rPr>
                <w:color w:val="auto"/>
                <w:highlight w:val="none"/>
              </w:rPr>
              <w:t>新建堤防为斜坡式，在P=20%水位以上0.5m新建堤顶步道，堤顶步道宽2.0m，临水侧设置防浪墙+青石栏杆。堤顶步道以上岸坡坡比结合现状地形采用不统一的稳定坡比与现状岸坡平顺衔接或维持现状，局部堤段由于现状地势较低，堤顶步道背水侧需土石压实填筑，坡比1:2，坡面采用草皮护坡（台湾二号草皮），背水侧坡脚修建C25砼排水沟。堤顶步道以下斜坡坡比1:1.75，坡面采用C25钢筋砼框格梁+空心</w:t>
            </w:r>
            <w:r>
              <w:rPr>
                <w:rFonts w:hint="eastAsia"/>
                <w:color w:val="auto"/>
                <w:highlight w:val="none"/>
              </w:rPr>
              <w:t>（实心）</w:t>
            </w:r>
            <w:r>
              <w:rPr>
                <w:color w:val="auto"/>
                <w:highlight w:val="none"/>
              </w:rPr>
              <w:t>六棱块+麦冬护坡；斜坡坡脚新建C25混凝土重力式挡墙，挡墙高2.0～4.0m，墙顶宽0.8m，墙背采用开挖料压实回填，墙身设排水孔，呈梅花型布设，排水管进水口设碎石反滤包；挡墙建基面置于基岩基础或块石挤压换填基础上，采用基岩基础的，嵌入岩基深度不小于0.6m。</w:t>
            </w:r>
          </w:p>
          <w:p w14:paraId="1F58A296">
            <w:pPr>
              <w:jc w:val="both"/>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fldChar w:fldCharType="begin"/>
            </w:r>
            <w:r>
              <w:rPr>
                <w:rFonts w:hint="default" w:ascii="Times New Roman" w:hAnsi="Times New Roman" w:cs="Times New Roman"/>
                <w:b/>
                <w:bCs/>
                <w:color w:val="auto"/>
                <w:highlight w:val="none"/>
                <w:lang w:val="en-US" w:eastAsia="zh-CN"/>
              </w:rPr>
              <w:instrText xml:space="preserve"> = 2 \* Arabic \* MERGEFORMAT </w:instrText>
            </w:r>
            <w:r>
              <w:rPr>
                <w:rFonts w:hint="default" w:ascii="Times New Roman" w:hAnsi="Times New Roman" w:cs="Times New Roman"/>
                <w:b/>
                <w:bCs/>
                <w:color w:val="auto"/>
                <w:highlight w:val="none"/>
                <w:lang w:val="en-US" w:eastAsia="zh-CN"/>
              </w:rPr>
              <w:fldChar w:fldCharType="separate"/>
            </w:r>
            <w:r>
              <w:rPr>
                <w:b/>
                <w:bCs/>
                <w:color w:val="auto"/>
                <w:highlight w:val="none"/>
              </w:rPr>
              <w:t>2</w:t>
            </w:r>
            <w:r>
              <w:rPr>
                <w:rFonts w:hint="default" w:ascii="Times New Roman" w:hAnsi="Times New Roman" w:cs="Times New Roman"/>
                <w:b/>
                <w:bCs/>
                <w:color w:val="auto"/>
                <w:highlight w:val="none"/>
                <w:lang w:val="en-US" w:eastAsia="zh-CN"/>
              </w:rPr>
              <w:fldChar w:fldCharType="end"/>
            </w:r>
            <w:r>
              <w:rPr>
                <w:rFonts w:hint="default" w:ascii="Times New Roman" w:hAnsi="Times New Roman" w:cs="Times New Roman"/>
                <w:b/>
                <w:bCs/>
                <w:color w:val="auto"/>
                <w:highlight w:val="none"/>
                <w:lang w:val="en-US" w:eastAsia="zh-CN"/>
              </w:rPr>
              <w:t>护岸堤</w:t>
            </w:r>
            <w:r>
              <w:rPr>
                <w:rFonts w:hint="eastAsia" w:ascii="Times New Roman" w:hAnsi="Times New Roman" w:cs="Times New Roman"/>
                <w:b/>
                <w:bCs/>
                <w:color w:val="auto"/>
                <w:highlight w:val="none"/>
                <w:lang w:val="en-US" w:eastAsia="zh-CN"/>
              </w:rPr>
              <w:t>断面</w:t>
            </w:r>
          </w:p>
          <w:p w14:paraId="224B62AC">
            <w:pPr>
              <w:keepNext/>
              <w:keepLines/>
              <w:pageBreakBefore w:val="0"/>
              <w:widowControl w:val="0"/>
              <w:kinsoku/>
              <w:wordWrap/>
              <w:overflowPunct/>
              <w:topLinePunct w:val="0"/>
              <w:autoSpaceDE/>
              <w:autoSpaceDN/>
              <w:bidi w:val="0"/>
              <w:adjustRightInd/>
              <w:snapToGrid/>
              <w:spacing w:before="0" w:beforeLines="0" w:after="0" w:afterLines="0"/>
              <w:ind w:firstLine="480" w:firstLineChars="200"/>
              <w:jc w:val="both"/>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ROMAN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I</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二郎段堤防</w:t>
            </w:r>
            <w:r>
              <w:rPr>
                <w:rFonts w:hint="default" w:ascii="Times New Roman" w:hAnsi="Times New Roman" w:cs="Times New Roman"/>
                <w:color w:val="auto"/>
                <w:highlight w:val="none"/>
                <w:lang w:val="en-US" w:eastAsia="zh-CN"/>
              </w:rPr>
              <w:t>断面</w:t>
            </w:r>
          </w:p>
          <w:p w14:paraId="357C211A">
            <w:pPr>
              <w:ind w:firstLine="480"/>
              <w:rPr>
                <w:color w:val="auto"/>
                <w:highlight w:val="none"/>
              </w:rPr>
            </w:pPr>
            <w:r>
              <w:rPr>
                <w:rFonts w:hint="eastAsia"/>
                <w:color w:val="auto"/>
                <w:highlight w:val="none"/>
              </w:rPr>
              <w:t>（1）二郎</w:t>
            </w:r>
            <w:r>
              <w:rPr>
                <w:rFonts w:hint="eastAsia"/>
                <w:color w:val="auto"/>
                <w:highlight w:val="none"/>
                <w:lang w:val="zh-CN"/>
              </w:rPr>
              <w:t>柳城河干流</w:t>
            </w:r>
            <w:r>
              <w:rPr>
                <w:rFonts w:hint="eastAsia"/>
                <w:color w:val="auto"/>
                <w:highlight w:val="none"/>
              </w:rPr>
              <w:t>段堤防</w:t>
            </w:r>
          </w:p>
          <w:p w14:paraId="0D486251">
            <w:pPr>
              <w:ind w:firstLine="480"/>
              <w:rPr>
                <w:rFonts w:hint="eastAsia"/>
                <w:color w:val="auto"/>
                <w:highlight w:val="none"/>
              </w:rPr>
            </w:pPr>
            <w:r>
              <w:rPr>
                <w:rFonts w:hint="eastAsia"/>
                <w:color w:val="auto"/>
                <w:highlight w:val="none"/>
              </w:rPr>
              <w:t>二郎</w:t>
            </w:r>
            <w:r>
              <w:rPr>
                <w:rFonts w:hint="eastAsia"/>
                <w:color w:val="auto"/>
                <w:highlight w:val="none"/>
                <w:lang w:val="zh-CN"/>
              </w:rPr>
              <w:t>段</w:t>
            </w:r>
            <w:r>
              <w:rPr>
                <w:rFonts w:hAnsi="宋体"/>
                <w:color w:val="auto"/>
                <w:szCs w:val="24"/>
                <w:highlight w:val="none"/>
              </w:rPr>
              <w:t>防洪堤高</w:t>
            </w:r>
            <w:r>
              <w:rPr>
                <w:rFonts w:hint="eastAsia"/>
                <w:color w:val="auto"/>
                <w:szCs w:val="24"/>
                <w:highlight w:val="none"/>
              </w:rPr>
              <w:t>8.0m</w:t>
            </w:r>
            <w:r>
              <w:rPr>
                <w:rFonts w:hAnsi="宋体"/>
                <w:color w:val="auto"/>
                <w:szCs w:val="24"/>
                <w:highlight w:val="none"/>
              </w:rPr>
              <w:t>，</w:t>
            </w:r>
            <w:r>
              <w:rPr>
                <w:rFonts w:hint="eastAsia" w:hAnsi="宋体"/>
                <w:color w:val="auto"/>
                <w:szCs w:val="24"/>
                <w:highlight w:val="none"/>
              </w:rPr>
              <w:t>采用镇脚基础加斜坡式护岸的堤防型式，镇脚采用</w:t>
            </w:r>
            <w:r>
              <w:rPr>
                <w:color w:val="auto"/>
                <w:szCs w:val="24"/>
                <w:highlight w:val="none"/>
              </w:rPr>
              <w:t>C</w:t>
            </w:r>
            <w:r>
              <w:rPr>
                <w:rFonts w:hint="eastAsia"/>
                <w:color w:val="auto"/>
                <w:szCs w:val="24"/>
                <w:highlight w:val="none"/>
              </w:rPr>
              <w:t>25</w:t>
            </w:r>
            <w:r>
              <w:rPr>
                <w:rFonts w:hAnsi="宋体"/>
                <w:color w:val="auto"/>
                <w:szCs w:val="24"/>
                <w:highlight w:val="none"/>
              </w:rPr>
              <w:t>砼的</w:t>
            </w:r>
            <w:r>
              <w:rPr>
                <w:rFonts w:hint="eastAsia" w:hAnsi="宋体"/>
                <w:color w:val="auto"/>
                <w:szCs w:val="24"/>
                <w:highlight w:val="none"/>
              </w:rPr>
              <w:t>直墙重力式</w:t>
            </w:r>
            <w:r>
              <w:rPr>
                <w:rFonts w:hAnsi="宋体"/>
                <w:color w:val="auto"/>
                <w:szCs w:val="24"/>
                <w:highlight w:val="none"/>
              </w:rPr>
              <w:t>防洪墙形式，</w:t>
            </w:r>
            <w:r>
              <w:rPr>
                <w:rFonts w:hint="eastAsia" w:hAnsi="宋体"/>
                <w:color w:val="auto"/>
                <w:szCs w:val="24"/>
                <w:highlight w:val="none"/>
              </w:rPr>
              <w:t>镇脚顶宽1.5m，底宽1.5m，高3.0m</w:t>
            </w:r>
            <w:r>
              <w:rPr>
                <w:color w:val="auto"/>
                <w:highlight w:val="none"/>
              </w:rPr>
              <w:t>，</w:t>
            </w:r>
            <w:r>
              <w:rPr>
                <w:rFonts w:hint="eastAsia"/>
                <w:color w:val="auto"/>
                <w:highlight w:val="none"/>
              </w:rPr>
              <w:t>底部设20cm厚的C20砼垫层。镇脚至堤顶高5.0m，采用C25钢砼框格梁结构，堤防迎水面边坡坡比1:1.75，框格梁断面尺寸为0.3*0.4m，间距为3.0m，框格梁内砌筑C25钢砼预制六菱块，六菱块以下设5cmM10水泥砂浆</w:t>
            </w:r>
            <w:r>
              <w:rPr>
                <w:rFonts w:hint="eastAsia"/>
                <w:color w:val="auto"/>
                <w:highlight w:val="none"/>
                <w:lang w:eastAsia="zh-CN"/>
              </w:rPr>
              <w:t>，</w:t>
            </w:r>
            <w:r>
              <w:rPr>
                <w:rFonts w:hint="eastAsia"/>
                <w:color w:val="auto"/>
                <w:highlight w:val="none"/>
              </w:rPr>
              <w:t>水泥砂浆以下设20cm厚的碎石垫层。堤身采用土方开挖利用料填筑，压实度不低于0.93；堤顶宽3.0m，设C25砼防浪墙，墙顶宽30cm，墙高0.5m，墙顶高0.7m仿实木砼生态栏杆</w:t>
            </w:r>
            <w:r>
              <w:rPr>
                <w:rFonts w:hint="eastAsia"/>
                <w:color w:val="auto"/>
                <w:highlight w:val="none"/>
                <w:lang w:eastAsia="zh-CN"/>
              </w:rPr>
              <w:t>，</w:t>
            </w:r>
            <w:r>
              <w:rPr>
                <w:rFonts w:hint="eastAsia"/>
                <w:color w:val="auto"/>
                <w:highlight w:val="none"/>
              </w:rPr>
              <w:t>堤顶采用20cmC30砼路面，C30砼路面以下设20cm厚的碎石垫层，堤顶外侧采用30cm*30cmC30砼排水沟，排水沟顶部设雨水篦子。</w:t>
            </w:r>
          </w:p>
          <w:p w14:paraId="6C198A86">
            <w:pPr>
              <w:ind w:firstLine="480"/>
              <w:rPr>
                <w:color w:val="auto"/>
                <w:highlight w:val="none"/>
              </w:rPr>
            </w:pPr>
            <w:r>
              <w:rPr>
                <w:rFonts w:hint="eastAsia"/>
                <w:color w:val="auto"/>
                <w:highlight w:val="none"/>
              </w:rPr>
              <w:t>部分堤段由于地形狭窄，采用仰斜式挡墙护坡。</w:t>
            </w:r>
          </w:p>
          <w:p w14:paraId="39802D3E">
            <w:pPr>
              <w:ind w:firstLine="480"/>
              <w:rPr>
                <w:color w:val="auto"/>
                <w:highlight w:val="none"/>
              </w:rPr>
            </w:pPr>
            <w:r>
              <w:rPr>
                <w:rFonts w:hint="eastAsia"/>
                <w:color w:val="auto"/>
                <w:highlight w:val="none"/>
              </w:rPr>
              <w:t>（2）二郎左岸河口段堤防</w:t>
            </w:r>
          </w:p>
          <w:p w14:paraId="48B5E59E">
            <w:pPr>
              <w:ind w:firstLine="480"/>
              <w:rPr>
                <w:rFonts w:hAnsi="宋体"/>
                <w:color w:val="auto"/>
                <w:szCs w:val="24"/>
                <w:highlight w:val="none"/>
              </w:rPr>
            </w:pPr>
            <w:r>
              <w:rPr>
                <w:rFonts w:hint="eastAsia"/>
                <w:color w:val="auto"/>
                <w:highlight w:val="none"/>
              </w:rPr>
              <w:t>二郎左岸河口段堤防</w:t>
            </w:r>
            <w:r>
              <w:rPr>
                <w:rFonts w:hint="eastAsia" w:hAnsi="宋体"/>
                <w:color w:val="auto"/>
                <w:szCs w:val="24"/>
                <w:highlight w:val="none"/>
              </w:rPr>
              <w:t>采用</w:t>
            </w:r>
            <w:r>
              <w:rPr>
                <w:color w:val="auto"/>
                <w:szCs w:val="24"/>
                <w:highlight w:val="none"/>
              </w:rPr>
              <w:t>C</w:t>
            </w:r>
            <w:r>
              <w:rPr>
                <w:rFonts w:hint="eastAsia"/>
                <w:color w:val="auto"/>
                <w:szCs w:val="24"/>
                <w:highlight w:val="none"/>
              </w:rPr>
              <w:t>25</w:t>
            </w:r>
            <w:r>
              <w:rPr>
                <w:rFonts w:hAnsi="宋体"/>
                <w:color w:val="auto"/>
                <w:szCs w:val="24"/>
                <w:highlight w:val="none"/>
              </w:rPr>
              <w:t>砼的</w:t>
            </w:r>
            <w:r>
              <w:rPr>
                <w:rFonts w:hint="eastAsia" w:hAnsi="宋体"/>
                <w:color w:val="auto"/>
                <w:szCs w:val="24"/>
                <w:highlight w:val="none"/>
              </w:rPr>
              <w:t>仰斜式</w:t>
            </w:r>
            <w:r>
              <w:rPr>
                <w:rFonts w:hAnsi="宋体"/>
                <w:color w:val="auto"/>
                <w:szCs w:val="24"/>
                <w:highlight w:val="none"/>
              </w:rPr>
              <w:t>防洪墙形式，</w:t>
            </w:r>
            <w:r>
              <w:rPr>
                <w:rFonts w:hint="eastAsia" w:hAnsi="宋体"/>
                <w:color w:val="auto"/>
                <w:szCs w:val="24"/>
                <w:highlight w:val="none"/>
              </w:rPr>
              <w:t>堤</w:t>
            </w:r>
            <w:r>
              <w:rPr>
                <w:rFonts w:hAnsi="宋体"/>
                <w:color w:val="auto"/>
                <w:szCs w:val="24"/>
                <w:highlight w:val="none"/>
              </w:rPr>
              <w:t>顶宽为</w:t>
            </w:r>
            <w:r>
              <w:rPr>
                <w:rFonts w:hint="eastAsia"/>
                <w:color w:val="auto"/>
                <w:szCs w:val="24"/>
                <w:highlight w:val="none"/>
              </w:rPr>
              <w:t>0.8</w:t>
            </w:r>
            <w:r>
              <w:rPr>
                <w:color w:val="auto"/>
                <w:szCs w:val="24"/>
                <w:highlight w:val="none"/>
              </w:rPr>
              <w:t>m，</w:t>
            </w:r>
            <w:r>
              <w:rPr>
                <w:rFonts w:hint="eastAsia"/>
                <w:color w:val="auto"/>
                <w:highlight w:val="none"/>
              </w:rPr>
              <w:t>堤顶设高0.5m，厚30cm的C25砼防浪墙，防浪墙顶设高0.7m仿实木砼生态栏杆，堤顶采用20cmC30砼路面，C30砼路面以下设20cm厚的碎石垫层，堤顶外侧采用30cm*30cmC30砼排水沟，排水沟顶部设雨水篦子。</w:t>
            </w:r>
            <w:r>
              <w:rPr>
                <w:rFonts w:hint="eastAsia" w:hAnsi="宋体"/>
                <w:color w:val="auto"/>
                <w:szCs w:val="24"/>
                <w:highlight w:val="none"/>
              </w:rPr>
              <w:t>堤防</w:t>
            </w:r>
            <w:r>
              <w:rPr>
                <w:rFonts w:hAnsi="宋体"/>
                <w:color w:val="auto"/>
                <w:szCs w:val="24"/>
                <w:highlight w:val="none"/>
              </w:rPr>
              <w:t>迎水面设计坡比为1：0.</w:t>
            </w:r>
            <w:r>
              <w:rPr>
                <w:rFonts w:hint="eastAsia" w:hAnsi="宋体"/>
                <w:color w:val="auto"/>
                <w:szCs w:val="24"/>
                <w:highlight w:val="none"/>
              </w:rPr>
              <w:t>25</w:t>
            </w:r>
            <w:r>
              <w:rPr>
                <w:rFonts w:hAnsi="宋体"/>
                <w:color w:val="auto"/>
                <w:szCs w:val="24"/>
                <w:highlight w:val="none"/>
              </w:rPr>
              <w:t>，背坡</w:t>
            </w:r>
            <w:r>
              <w:rPr>
                <w:rFonts w:hint="eastAsia" w:hAnsi="宋体"/>
                <w:color w:val="auto"/>
                <w:szCs w:val="24"/>
                <w:highlight w:val="none"/>
              </w:rPr>
              <w:t>设计坡比</w:t>
            </w:r>
            <w:r>
              <w:rPr>
                <w:rFonts w:hAnsi="宋体"/>
                <w:color w:val="auto"/>
                <w:szCs w:val="24"/>
                <w:highlight w:val="none"/>
              </w:rPr>
              <w:t>1：</w:t>
            </w:r>
            <w:r>
              <w:rPr>
                <w:rFonts w:hint="eastAsia" w:hAnsi="宋体"/>
                <w:color w:val="auto"/>
                <w:szCs w:val="24"/>
                <w:highlight w:val="none"/>
              </w:rPr>
              <w:t>0.2</w:t>
            </w:r>
            <w:r>
              <w:rPr>
                <w:rFonts w:hAnsi="宋体"/>
                <w:color w:val="auto"/>
                <w:szCs w:val="24"/>
                <w:highlight w:val="none"/>
              </w:rPr>
              <w:t>，</w:t>
            </w:r>
            <w:r>
              <w:rPr>
                <w:rFonts w:hint="eastAsia" w:hAnsi="宋体"/>
                <w:color w:val="auto"/>
                <w:szCs w:val="24"/>
                <w:highlight w:val="none"/>
              </w:rPr>
              <w:t>堤身高度2.8m，堤身底宽1.50m，</w:t>
            </w:r>
            <w:r>
              <w:rPr>
                <w:rFonts w:hAnsi="宋体"/>
                <w:color w:val="auto"/>
                <w:szCs w:val="24"/>
                <w:highlight w:val="none"/>
              </w:rPr>
              <w:t>堤防设Φ</w:t>
            </w:r>
            <w:r>
              <w:rPr>
                <w:rFonts w:hint="eastAsia" w:hAnsi="宋体"/>
                <w:color w:val="auto"/>
                <w:szCs w:val="24"/>
                <w:highlight w:val="none"/>
              </w:rPr>
              <w:t>75</w:t>
            </w:r>
            <w:r>
              <w:rPr>
                <w:rFonts w:hAnsi="宋体"/>
                <w:color w:val="auto"/>
                <w:szCs w:val="24"/>
                <w:highlight w:val="none"/>
              </w:rPr>
              <w:t>PVC排水管，间距</w:t>
            </w:r>
            <w:r>
              <w:rPr>
                <w:rFonts w:hint="eastAsia" w:hAnsi="宋体"/>
                <w:color w:val="auto"/>
                <w:szCs w:val="24"/>
                <w:highlight w:val="none"/>
              </w:rPr>
              <w:t>1.5</w:t>
            </w:r>
            <w:r>
              <w:rPr>
                <w:rFonts w:hAnsi="宋体"/>
                <w:color w:val="auto"/>
                <w:szCs w:val="24"/>
                <w:highlight w:val="none"/>
              </w:rPr>
              <w:t>m，呈梅花状布设，排水管进水口端段设</w:t>
            </w:r>
            <w:r>
              <w:rPr>
                <w:rFonts w:hint="eastAsia" w:hAnsi="宋体"/>
                <w:color w:val="auto"/>
                <w:szCs w:val="24"/>
                <w:highlight w:val="none"/>
              </w:rPr>
              <w:t>反滤土工布包裹的砂砾石反滤包</w:t>
            </w:r>
            <w:r>
              <w:rPr>
                <w:rFonts w:hAnsi="宋体"/>
                <w:color w:val="auto"/>
                <w:szCs w:val="24"/>
                <w:highlight w:val="none"/>
              </w:rPr>
              <w:t>。防洪堤分段长度10.0m，</w:t>
            </w:r>
            <w:r>
              <w:rPr>
                <w:rFonts w:hint="eastAsia" w:hAnsi="宋体"/>
                <w:color w:val="auto"/>
                <w:szCs w:val="24"/>
                <w:highlight w:val="none"/>
              </w:rPr>
              <w:t>基底设80cm厚的大块石换填</w:t>
            </w:r>
            <w:r>
              <w:rPr>
                <w:rFonts w:hAnsi="宋体"/>
                <w:color w:val="auto"/>
                <w:szCs w:val="24"/>
                <w:highlight w:val="none"/>
              </w:rPr>
              <w:t>。</w:t>
            </w:r>
          </w:p>
          <w:p w14:paraId="3582E841">
            <w:pPr>
              <w:keepNext/>
              <w:keepLines/>
              <w:pageBreakBefore w:val="0"/>
              <w:widowControl w:val="0"/>
              <w:kinsoku/>
              <w:wordWrap/>
              <w:overflowPunct/>
              <w:topLinePunct w:val="0"/>
              <w:autoSpaceDE/>
              <w:autoSpaceDN/>
              <w:bidi w:val="0"/>
              <w:adjustRightInd/>
              <w:snapToGrid/>
              <w:spacing w:before="0" w:after="0"/>
              <w:ind w:firstLine="480" w:firstLineChars="200"/>
              <w:textAlignment w:val="auto"/>
              <w:outlineLvl w:val="9"/>
              <w:rPr>
                <w:rFonts w:hint="default" w:eastAsia="宋体"/>
                <w:color w:val="auto"/>
                <w:highlight w:val="none"/>
                <w:lang w:val="en-US" w:eastAsia="zh-CN"/>
              </w:rPr>
            </w:pPr>
            <w:r>
              <w:rPr>
                <w:rFonts w:hint="eastAsia"/>
                <w:color w:val="auto"/>
                <w:highlight w:val="none"/>
              </w:rPr>
              <w:fldChar w:fldCharType="begin"/>
            </w:r>
            <w:r>
              <w:rPr>
                <w:rFonts w:hint="eastAsia"/>
                <w:color w:val="auto"/>
                <w:highlight w:val="none"/>
              </w:rPr>
              <w:instrText xml:space="preserve"> = 2 \* ROMAN \* MERGEFORMAT </w:instrText>
            </w:r>
            <w:r>
              <w:rPr>
                <w:rFonts w:hint="eastAsia"/>
                <w:color w:val="auto"/>
                <w:highlight w:val="none"/>
              </w:rPr>
              <w:fldChar w:fldCharType="separate"/>
            </w:r>
            <w:r>
              <w:rPr>
                <w:color w:val="auto"/>
                <w:highlight w:val="none"/>
              </w:rPr>
              <w:t>II</w:t>
            </w:r>
            <w:r>
              <w:rPr>
                <w:rFonts w:hint="eastAsia"/>
                <w:color w:val="auto"/>
                <w:highlight w:val="none"/>
              </w:rPr>
              <w:fldChar w:fldCharType="end"/>
            </w:r>
            <w:r>
              <w:rPr>
                <w:rFonts w:hint="eastAsia"/>
                <w:color w:val="auto"/>
                <w:highlight w:val="none"/>
              </w:rPr>
              <w:t>福兴段堤防</w:t>
            </w:r>
            <w:r>
              <w:rPr>
                <w:rFonts w:hint="eastAsia"/>
                <w:color w:val="auto"/>
                <w:highlight w:val="none"/>
                <w:lang w:val="en-US" w:eastAsia="zh-CN"/>
              </w:rPr>
              <w:t>断面</w:t>
            </w:r>
          </w:p>
          <w:p w14:paraId="100ACD60">
            <w:pPr>
              <w:ind w:firstLine="480"/>
              <w:rPr>
                <w:rFonts w:hint="eastAsia"/>
                <w:color w:val="auto"/>
                <w:highlight w:val="none"/>
              </w:rPr>
            </w:pPr>
            <w:r>
              <w:rPr>
                <w:rFonts w:hint="eastAsia"/>
                <w:color w:val="auto"/>
                <w:highlight w:val="none"/>
                <w:lang w:val="zh-CN"/>
              </w:rPr>
              <w:t>福兴段</w:t>
            </w:r>
            <w:r>
              <w:rPr>
                <w:rFonts w:hAnsi="宋体"/>
                <w:color w:val="auto"/>
                <w:szCs w:val="24"/>
                <w:highlight w:val="none"/>
              </w:rPr>
              <w:t>防洪堤高</w:t>
            </w:r>
            <w:r>
              <w:rPr>
                <w:rFonts w:hint="eastAsia"/>
                <w:color w:val="auto"/>
                <w:szCs w:val="24"/>
                <w:highlight w:val="none"/>
              </w:rPr>
              <w:t>6.0m</w:t>
            </w:r>
            <w:r>
              <w:rPr>
                <w:rFonts w:hAnsi="宋体"/>
                <w:color w:val="auto"/>
                <w:szCs w:val="24"/>
                <w:highlight w:val="none"/>
              </w:rPr>
              <w:t>，</w:t>
            </w:r>
            <w:r>
              <w:rPr>
                <w:rFonts w:hint="eastAsia" w:hAnsi="宋体"/>
                <w:color w:val="auto"/>
                <w:szCs w:val="24"/>
                <w:highlight w:val="none"/>
              </w:rPr>
              <w:t>采用镇脚基础加斜坡式护岸的堤防型式，镇脚采用</w:t>
            </w:r>
            <w:r>
              <w:rPr>
                <w:color w:val="auto"/>
                <w:szCs w:val="24"/>
                <w:highlight w:val="none"/>
              </w:rPr>
              <w:t>C</w:t>
            </w:r>
            <w:r>
              <w:rPr>
                <w:rFonts w:hint="eastAsia"/>
                <w:color w:val="auto"/>
                <w:szCs w:val="24"/>
                <w:highlight w:val="none"/>
              </w:rPr>
              <w:t>25</w:t>
            </w:r>
            <w:r>
              <w:rPr>
                <w:rFonts w:hAnsi="宋体"/>
                <w:color w:val="auto"/>
                <w:szCs w:val="24"/>
                <w:highlight w:val="none"/>
              </w:rPr>
              <w:t>砼的</w:t>
            </w:r>
            <w:r>
              <w:rPr>
                <w:rFonts w:hint="eastAsia" w:hAnsi="宋体"/>
                <w:color w:val="auto"/>
                <w:szCs w:val="24"/>
                <w:highlight w:val="none"/>
              </w:rPr>
              <w:t>直墙重力式</w:t>
            </w:r>
            <w:r>
              <w:rPr>
                <w:rFonts w:hAnsi="宋体"/>
                <w:color w:val="auto"/>
                <w:szCs w:val="24"/>
                <w:highlight w:val="none"/>
              </w:rPr>
              <w:t>防洪墙形式，</w:t>
            </w:r>
            <w:r>
              <w:rPr>
                <w:rFonts w:hint="eastAsia" w:hAnsi="宋体"/>
                <w:color w:val="auto"/>
                <w:szCs w:val="24"/>
                <w:highlight w:val="none"/>
              </w:rPr>
              <w:t>镇脚顶宽1.2m，底宽1.2m，高2.0m</w:t>
            </w:r>
            <w:r>
              <w:rPr>
                <w:color w:val="auto"/>
                <w:highlight w:val="none"/>
              </w:rPr>
              <w:t>，</w:t>
            </w:r>
            <w:r>
              <w:rPr>
                <w:rFonts w:hint="eastAsia"/>
                <w:color w:val="auto"/>
                <w:highlight w:val="none"/>
              </w:rPr>
              <w:t>底部设20cm厚的C20砼垫层。镇脚至堤顶高4.0m，采用C25钢砼框格梁结构，堤防迎水面边坡坡比1:1.75，框格梁断面尺寸为0.3*0.4m，间距为3.0m，框格梁内砌筑C25钢砼预制六菱块，六菱块以下设5cmM10水泥砂浆</w:t>
            </w:r>
            <w:r>
              <w:rPr>
                <w:rFonts w:hint="eastAsia"/>
                <w:color w:val="auto"/>
                <w:highlight w:val="none"/>
                <w:lang w:eastAsia="zh-CN"/>
              </w:rPr>
              <w:t>，</w:t>
            </w:r>
            <w:r>
              <w:rPr>
                <w:rFonts w:hint="eastAsia"/>
                <w:color w:val="auto"/>
                <w:highlight w:val="none"/>
              </w:rPr>
              <w:t>水泥砂浆以下设20cm厚的碎石垫层。堤身采用土方开挖利用料填筑，压实度不低于0.93，项目区40km范围内无允许开采的填筑料场，不足部分，可至九盆料场购买；堤顶宽3.0m，设C25砼防浪墙，墙顶宽30cm，墙高0.5m，墙顶高0.7m仿实木砼生态栏杆</w:t>
            </w:r>
            <w:r>
              <w:rPr>
                <w:rFonts w:hint="eastAsia"/>
                <w:color w:val="auto"/>
                <w:highlight w:val="none"/>
                <w:lang w:eastAsia="zh-CN"/>
              </w:rPr>
              <w:t>，</w:t>
            </w:r>
            <w:r>
              <w:rPr>
                <w:rFonts w:hint="eastAsia"/>
                <w:color w:val="auto"/>
                <w:highlight w:val="none"/>
              </w:rPr>
              <w:t>堤顶采用20cmC30砼路面，C30砼路面以下设20cm厚的碎石垫层，堤顶外侧采用30cm*30cmC30砼排水沟，排水沟顶部设雨水篦子。</w:t>
            </w:r>
          </w:p>
          <w:p w14:paraId="3F498D99">
            <w:pPr>
              <w:ind w:firstLine="480"/>
              <w:rPr>
                <w:rFonts w:hint="default"/>
                <w:b/>
                <w:bCs/>
                <w:color w:val="auto"/>
                <w:highlight w:val="none"/>
                <w:lang w:val="en-US"/>
              </w:rPr>
            </w:pPr>
            <w:r>
              <w:rPr>
                <w:rFonts w:hint="default" w:ascii="Times New Roman" w:hAnsi="Times New Roman" w:cs="Times New Roman"/>
                <w:b/>
                <w:bCs/>
                <w:color w:val="auto"/>
                <w:highlight w:val="none"/>
              </w:rPr>
              <w:fldChar w:fldCharType="begin"/>
            </w:r>
            <w:r>
              <w:rPr>
                <w:rFonts w:hint="default" w:ascii="Times New Roman" w:hAnsi="Times New Roman" w:cs="Times New Roman"/>
                <w:b/>
                <w:bCs/>
                <w:color w:val="auto"/>
                <w:highlight w:val="none"/>
              </w:rPr>
              <w:instrText xml:space="preserve"> = 3 \* ROMAN \* MERGEFORMAT </w:instrText>
            </w:r>
            <w:r>
              <w:rPr>
                <w:rFonts w:hint="default" w:ascii="Times New Roman" w:hAnsi="Times New Roman" w:cs="Times New Roman"/>
                <w:b/>
                <w:bCs/>
                <w:color w:val="auto"/>
                <w:highlight w:val="none"/>
              </w:rPr>
              <w:fldChar w:fldCharType="separate"/>
            </w:r>
            <w:r>
              <w:rPr>
                <w:b/>
                <w:bCs/>
                <w:color w:val="auto"/>
                <w:highlight w:val="none"/>
              </w:rPr>
              <w:t>III</w:t>
            </w:r>
            <w:r>
              <w:rPr>
                <w:rFonts w:hint="default" w:ascii="Times New Roman" w:hAnsi="Times New Roman" w:cs="Times New Roman"/>
                <w:b/>
                <w:bCs/>
                <w:color w:val="auto"/>
                <w:highlight w:val="none"/>
              </w:rPr>
              <w:fldChar w:fldCharType="end"/>
            </w:r>
            <w:r>
              <w:rPr>
                <w:rFonts w:hint="eastAsia" w:ascii="Times New Roman" w:hAnsi="Times New Roman" w:cs="Times New Roman"/>
                <w:b/>
                <w:bCs/>
                <w:color w:val="auto"/>
                <w:highlight w:val="none"/>
                <w:lang w:eastAsia="zh-CN"/>
              </w:rPr>
              <w:t>石河镇段</w:t>
            </w:r>
            <w:r>
              <w:rPr>
                <w:rFonts w:hint="eastAsia" w:cs="Times New Roman"/>
                <w:b/>
                <w:bCs/>
                <w:color w:val="auto"/>
                <w:highlight w:val="none"/>
                <w:lang w:eastAsia="zh-CN"/>
              </w:rPr>
              <w:t>、</w:t>
            </w:r>
            <w:r>
              <w:rPr>
                <w:rFonts w:hint="eastAsia" w:cs="Times New Roman"/>
                <w:b/>
                <w:bCs/>
                <w:color w:val="auto"/>
                <w:highlight w:val="none"/>
                <w:lang w:val="en-US" w:eastAsia="zh-CN"/>
              </w:rPr>
              <w:t>双拱场段堤防断面</w:t>
            </w:r>
          </w:p>
          <w:p w14:paraId="703C5AB0">
            <w:pPr>
              <w:ind w:firstLine="480"/>
              <w:rPr>
                <w:rFonts w:hint="eastAsia" w:eastAsia="宋体"/>
                <w:color w:val="auto"/>
                <w:highlight w:val="none"/>
                <w:lang w:eastAsia="zh-CN"/>
              </w:rPr>
            </w:pPr>
            <w:r>
              <w:rPr>
                <w:rFonts w:hint="eastAsia" w:ascii="Times New Roman" w:hAnsi="Times New Roman" w:eastAsia="宋体" w:cs="Times New Roman"/>
                <w:b w:val="0"/>
                <w:bCs w:val="0"/>
                <w:snapToGrid w:val="0"/>
                <w:color w:val="auto"/>
                <w:sz w:val="24"/>
                <w:szCs w:val="22"/>
                <w:highlight w:val="none"/>
                <w:lang w:val="en-US" w:eastAsia="zh-CN" w:bidi="ar-SA"/>
              </w:rPr>
              <w:t>根据设计资料，</w:t>
            </w:r>
            <w:r>
              <w:rPr>
                <w:rFonts w:hint="eastAsia" w:cs="Times New Roman"/>
                <w:b w:val="0"/>
                <w:bCs w:val="0"/>
                <w:snapToGrid w:val="0"/>
                <w:color w:val="auto"/>
                <w:sz w:val="24"/>
                <w:szCs w:val="22"/>
                <w:highlight w:val="none"/>
                <w:lang w:val="en-US" w:eastAsia="zh-CN" w:bidi="ar-SA"/>
              </w:rPr>
              <w:t>该</w:t>
            </w:r>
            <w:r>
              <w:rPr>
                <w:rFonts w:hint="eastAsia"/>
                <w:color w:val="auto"/>
                <w:highlight w:val="none"/>
                <w:lang w:val="en-US" w:eastAsia="zh-CN"/>
              </w:rPr>
              <w:t>工程河段的</w:t>
            </w:r>
            <w:r>
              <w:rPr>
                <w:color w:val="auto"/>
                <w:highlight w:val="none"/>
              </w:rPr>
              <w:t>主要堤型为复合式堤型结构断面</w:t>
            </w:r>
            <w:r>
              <w:rPr>
                <w:rFonts w:hint="eastAsia"/>
                <w:color w:val="auto"/>
                <w:highlight w:val="none"/>
                <w:lang w:eastAsia="zh-CN"/>
              </w:rPr>
              <w:t>，</w:t>
            </w:r>
            <w:r>
              <w:rPr>
                <w:rFonts w:hint="eastAsia"/>
                <w:color w:val="auto"/>
                <w:highlight w:val="none"/>
                <w:lang w:val="en-US" w:eastAsia="zh-CN"/>
              </w:rPr>
              <w:t>石河镇段、双拱场段</w:t>
            </w:r>
            <w:r>
              <w:rPr>
                <w:color w:val="auto"/>
                <w:highlight w:val="none"/>
              </w:rPr>
              <w:t>坡式断面均为断面Ⅰ类型，即：2.0m~4.0m高C25砼镇脚+预制六棱块护坡+2.0m宽堤顶步道，护岸断面</w:t>
            </w:r>
            <w:r>
              <w:rPr>
                <w:rFonts w:hint="eastAsia"/>
                <w:color w:val="auto"/>
                <w:highlight w:val="none"/>
                <w:lang w:val="en-US" w:eastAsia="zh-CN"/>
              </w:rPr>
              <w:t>总</w:t>
            </w:r>
            <w:r>
              <w:rPr>
                <w:color w:val="auto"/>
                <w:highlight w:val="none"/>
              </w:rPr>
              <w:t>长3710m</w:t>
            </w:r>
            <w:r>
              <w:rPr>
                <w:rFonts w:hint="eastAsia"/>
                <w:color w:val="auto"/>
                <w:highlight w:val="none"/>
                <w:lang w:eastAsia="zh-CN"/>
              </w:rPr>
              <w:t>。</w:t>
            </w:r>
          </w:p>
          <w:p w14:paraId="459923AA">
            <w:pPr>
              <w:spacing w:beforeLines="-2147483648" w:afterLines="-2147483648"/>
              <w:ind w:firstLine="480"/>
              <w:jc w:val="left"/>
              <w:rPr>
                <w:color w:val="auto"/>
                <w:highlight w:val="none"/>
              </w:rPr>
            </w:pPr>
            <w:r>
              <w:rPr>
                <w:rFonts w:hint="eastAsia"/>
                <w:color w:val="auto"/>
                <w:highlight w:val="none"/>
                <w:lang w:val="en-US" w:eastAsia="zh-CN"/>
              </w:rPr>
              <w:t>具体结构为：</w:t>
            </w:r>
            <w:r>
              <w:rPr>
                <w:color w:val="auto"/>
                <w:highlight w:val="none"/>
              </w:rPr>
              <w:t>下部设置2.0m~4.0m高C25砼小挡墙作为镇脚，墙顶宽0.8m，迎水坡直立，背坡坡比1:0.4。墙踵采取大块石护脚，埋深1.5m。墙顶至5年一遇洪水位加0.5m高程，采用C25钢筋砼框格</w:t>
            </w:r>
            <w:r>
              <w:rPr>
                <w:rFonts w:hint="eastAsia"/>
                <w:color w:val="auto"/>
                <w:highlight w:val="none"/>
                <w:lang w:val="en-US" w:eastAsia="zh-CN"/>
              </w:rPr>
              <w:t>梁</w:t>
            </w:r>
            <w:r>
              <w:rPr>
                <w:color w:val="auto"/>
                <w:highlight w:val="none"/>
              </w:rPr>
              <w:t>+预制六棱块护坡，坡顶设置2m宽堤顶步道，堤顶步道结构自上而下分别是，</w:t>
            </w:r>
            <w:r>
              <w:rPr>
                <w:rFonts w:hint="eastAsia"/>
                <w:color w:val="auto"/>
                <w:highlight w:val="none"/>
              </w:rPr>
              <w:t>6</w:t>
            </w:r>
            <w:r>
              <w:rPr>
                <w:color w:val="auto"/>
                <w:highlight w:val="none"/>
              </w:rPr>
              <w:t>cm厚</w:t>
            </w:r>
            <w:r>
              <w:rPr>
                <w:rFonts w:hint="eastAsia"/>
                <w:color w:val="auto"/>
                <w:highlight w:val="none"/>
              </w:rPr>
              <w:t>透水砖（通体石英砂200*100）</w:t>
            </w:r>
            <w:r>
              <w:rPr>
                <w:color w:val="auto"/>
                <w:highlight w:val="none"/>
              </w:rPr>
              <w:t>，5cm厚砂浆层，10cm厚C20砼垫层，10cm碎石垫层。堤顶步道背水侧需土石压实填筑，坡比1:2，坡面采用草皮护坡（台湾二号草皮），背水侧坡脚修建C25砼排水沟。</w:t>
            </w:r>
          </w:p>
          <w:p w14:paraId="7A347A2C">
            <w:pPr>
              <w:spacing w:beforeLines="-2147483648" w:afterLines="-2147483648"/>
              <w:ind w:firstLine="480"/>
              <w:jc w:val="left"/>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本项目堤防</w:t>
            </w:r>
            <w:r>
              <w:rPr>
                <w:rFonts w:hint="default" w:ascii="Times New Roman" w:hAnsi="Times New Roman" w:eastAsia="宋体" w:cs="Times New Roman"/>
                <w:color w:val="auto"/>
                <w:sz w:val="24"/>
                <w:szCs w:val="24"/>
                <w:highlight w:val="none"/>
                <w:lang w:val="en-US" w:eastAsia="zh-CN"/>
              </w:rPr>
              <w:t>断面结构图</w:t>
            </w:r>
            <w:r>
              <w:rPr>
                <w:rFonts w:hint="default" w:ascii="Times New Roman" w:hAnsi="Times New Roman" w:cs="Times New Roman"/>
                <w:color w:val="auto"/>
                <w:sz w:val="24"/>
                <w:szCs w:val="24"/>
                <w:highlight w:val="none"/>
                <w:lang w:val="en-US" w:eastAsia="zh-CN"/>
              </w:rPr>
              <w:t>见附图</w:t>
            </w:r>
            <w:r>
              <w:rPr>
                <w:rFonts w:hint="eastAsia"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w:t>
            </w:r>
          </w:p>
          <w:p w14:paraId="019002A0">
            <w:pPr>
              <w:jc w:val="both"/>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fldChar w:fldCharType="begin"/>
            </w:r>
            <w:r>
              <w:rPr>
                <w:rFonts w:hint="default" w:ascii="Times New Roman" w:hAnsi="Times New Roman" w:eastAsia="宋体" w:cs="Times New Roman"/>
                <w:b/>
                <w:bCs/>
                <w:color w:val="auto"/>
                <w:highlight w:val="none"/>
                <w:lang w:val="en-US" w:eastAsia="zh-CN"/>
              </w:rPr>
              <w:instrText xml:space="preserve"> = 3 \* Arabic \* MERGEFORMAT </w:instrText>
            </w:r>
            <w:r>
              <w:rPr>
                <w:rFonts w:hint="default" w:ascii="Times New Roman" w:hAnsi="Times New Roman" w:eastAsia="宋体" w:cs="Times New Roman"/>
                <w:b/>
                <w:bCs/>
                <w:color w:val="auto"/>
                <w:highlight w:val="none"/>
                <w:lang w:val="en-US" w:eastAsia="zh-CN"/>
              </w:rPr>
              <w:fldChar w:fldCharType="separate"/>
            </w:r>
            <w:r>
              <w:rPr>
                <w:rFonts w:hint="default"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fldChar w:fldCharType="end"/>
            </w:r>
            <w:r>
              <w:rPr>
                <w:rFonts w:hint="eastAsia" w:ascii="Times New Roman" w:hAnsi="Times New Roman" w:eastAsia="宋体" w:cs="Times New Roman"/>
                <w:b/>
                <w:bCs/>
                <w:color w:val="auto"/>
                <w:highlight w:val="none"/>
                <w:lang w:val="en-US" w:eastAsia="zh-CN"/>
              </w:rPr>
              <w:t>堤顶结构</w:t>
            </w:r>
          </w:p>
          <w:p w14:paraId="53D42E61">
            <w:pPr>
              <w:jc w:val="both"/>
              <w:rPr>
                <w:rFonts w:hint="eastAsia" w:ascii="Times New Roman" w:hAnsi="Times New Roman" w:eastAsia="宋体" w:cs="Times New Roman"/>
                <w:color w:val="auto"/>
                <w:highlight w:val="none"/>
                <w:lang w:val="en-US" w:eastAsia="zh-CN"/>
              </w:rPr>
            </w:pPr>
            <w:r>
              <w:rPr>
                <w:rFonts w:hint="eastAsia" w:cs="Times New Roman"/>
                <w:b w:val="0"/>
                <w:bCs w:val="0"/>
                <w:snapToGrid w:val="0"/>
                <w:color w:val="auto"/>
                <w:sz w:val="24"/>
                <w:szCs w:val="22"/>
                <w:highlight w:val="none"/>
                <w:lang w:val="en-US" w:eastAsia="zh-CN" w:bidi="ar-SA"/>
              </w:rPr>
              <w:t>石河镇二郎、福兴段：</w:t>
            </w:r>
            <w:r>
              <w:rPr>
                <w:rFonts w:hint="eastAsia" w:ascii="Times New Roman" w:hAnsi="Times New Roman" w:eastAsia="宋体" w:cs="Times New Roman"/>
                <w:b w:val="0"/>
                <w:bCs w:val="0"/>
                <w:snapToGrid w:val="0"/>
                <w:color w:val="auto"/>
                <w:sz w:val="24"/>
                <w:szCs w:val="22"/>
                <w:highlight w:val="none"/>
                <w:lang w:val="en-US" w:eastAsia="zh-CN" w:bidi="ar-SA"/>
              </w:rPr>
              <w:t>根据设计资料，</w:t>
            </w:r>
            <w:r>
              <w:rPr>
                <w:rFonts w:hint="eastAsia" w:cs="Times New Roman"/>
                <w:b w:val="0"/>
                <w:bCs w:val="0"/>
                <w:snapToGrid w:val="0"/>
                <w:color w:val="auto"/>
                <w:sz w:val="24"/>
                <w:szCs w:val="22"/>
                <w:highlight w:val="none"/>
                <w:lang w:val="en-US" w:eastAsia="zh-CN" w:bidi="ar-SA"/>
              </w:rPr>
              <w:t>该工程河段的</w:t>
            </w:r>
            <w:r>
              <w:rPr>
                <w:rFonts w:hint="eastAsia" w:ascii="Times New Roman" w:hAnsi="Times New Roman" w:eastAsia="宋体" w:cs="Times New Roman"/>
                <w:b w:val="0"/>
                <w:bCs w:val="0"/>
                <w:snapToGrid w:val="0"/>
                <w:color w:val="auto"/>
                <w:sz w:val="24"/>
                <w:szCs w:val="22"/>
                <w:highlight w:val="none"/>
                <w:lang w:val="en-US" w:eastAsia="zh-CN" w:bidi="ar-SA"/>
              </w:rPr>
              <w:t>护岸堤堤顶设高0.5m，厚30cm的C25砼防浪墙，防浪墙顶设高0.7m仿实木砼生态栏杆堤顶采用20cmC30砼路面，C30砼路面以下设20cm厚的碎石垫</w:t>
            </w:r>
            <w:r>
              <w:rPr>
                <w:rFonts w:hint="eastAsia" w:ascii="Times New Roman" w:hAnsi="Times New Roman" w:eastAsia="宋体" w:cs="Times New Roman"/>
                <w:color w:val="auto"/>
                <w:highlight w:val="none"/>
                <w:lang w:val="en-US" w:eastAsia="zh-CN"/>
              </w:rPr>
              <w:t>层，堤顶外侧采用30cm*30cmC30砼排水沟，排水沟顶部设雨水篦子。</w:t>
            </w:r>
          </w:p>
          <w:p w14:paraId="4A39F383">
            <w:pPr>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石河镇石河镇段、双拱场段：</w:t>
            </w:r>
            <w:r>
              <w:rPr>
                <w:rFonts w:hint="eastAsia" w:ascii="Times New Roman" w:hAnsi="Times New Roman" w:eastAsia="宋体" w:cs="Times New Roman"/>
                <w:b w:val="0"/>
                <w:bCs w:val="0"/>
                <w:snapToGrid w:val="0"/>
                <w:color w:val="auto"/>
                <w:sz w:val="24"/>
                <w:szCs w:val="22"/>
                <w:highlight w:val="none"/>
                <w:lang w:val="en-US" w:eastAsia="zh-CN" w:bidi="ar-SA"/>
              </w:rPr>
              <w:t>根据设计资料，</w:t>
            </w:r>
            <w:r>
              <w:rPr>
                <w:rFonts w:hint="eastAsia" w:cs="Times New Roman"/>
                <w:b w:val="0"/>
                <w:bCs w:val="0"/>
                <w:snapToGrid w:val="0"/>
                <w:color w:val="auto"/>
                <w:sz w:val="24"/>
                <w:szCs w:val="22"/>
                <w:highlight w:val="none"/>
                <w:lang w:val="en-US" w:eastAsia="zh-CN" w:bidi="ar-SA"/>
              </w:rPr>
              <w:t>该工程河段</w:t>
            </w:r>
            <w:r>
              <w:rPr>
                <w:color w:val="auto"/>
                <w:highlight w:val="none"/>
              </w:rPr>
              <w:t>新建2.0m宽的堤顶步道，堤顶步道总长3710m，其中：石河镇段长2038m，双拱场段长1672m。堤顶步道顶高程以设计洪水位（P=20%）+0.5m的高程控制。步道结构层从上至下分别为</w:t>
            </w:r>
            <w:r>
              <w:rPr>
                <w:rFonts w:hint="eastAsia"/>
                <w:color w:val="auto"/>
                <w:highlight w:val="none"/>
              </w:rPr>
              <w:t>0.06m透水砖（通体石英砂200*100）</w:t>
            </w:r>
            <w:r>
              <w:rPr>
                <w:color w:val="auto"/>
                <w:highlight w:val="none"/>
              </w:rPr>
              <w:t>，0.05m厚水泥砂浆，0.1m厚C20砼垫层，0.1m厚碎石垫层。背水侧设置路沿石，采用C25砼浇筑，截面尺寸为0.2m×0.31m，临水侧设置C30钢筋砼防浪墙</w:t>
            </w:r>
            <w:r>
              <w:rPr>
                <w:rFonts w:hint="eastAsia"/>
                <w:color w:val="auto"/>
                <w:highlight w:val="none"/>
              </w:rPr>
              <w:t>（</w:t>
            </w:r>
            <w:r>
              <w:rPr>
                <w:color w:val="auto"/>
                <w:highlight w:val="none"/>
              </w:rPr>
              <w:t>高0.5m</w:t>
            </w:r>
            <w:r>
              <w:rPr>
                <w:rFonts w:hint="eastAsia"/>
                <w:color w:val="auto"/>
                <w:highlight w:val="none"/>
              </w:rPr>
              <w:t>）</w:t>
            </w:r>
            <w:r>
              <w:rPr>
                <w:color w:val="auto"/>
                <w:highlight w:val="none"/>
              </w:rPr>
              <w:t>+青石栏杆</w:t>
            </w:r>
            <w:r>
              <w:rPr>
                <w:rFonts w:hint="eastAsia"/>
                <w:color w:val="auto"/>
                <w:highlight w:val="none"/>
              </w:rPr>
              <w:t>（</w:t>
            </w:r>
            <w:r>
              <w:rPr>
                <w:color w:val="auto"/>
                <w:highlight w:val="none"/>
              </w:rPr>
              <w:t>高0.7m</w:t>
            </w:r>
            <w:r>
              <w:rPr>
                <w:rFonts w:hint="eastAsia"/>
                <w:color w:val="auto"/>
                <w:highlight w:val="none"/>
              </w:rPr>
              <w:t>）</w:t>
            </w:r>
            <w:r>
              <w:rPr>
                <w:rFonts w:hint="eastAsia" w:ascii="Times New Roman" w:hAnsi="Times New Roman" w:eastAsia="宋体" w:cs="Times New Roman"/>
                <w:color w:val="auto"/>
                <w:highlight w:val="none"/>
                <w:lang w:val="en-US" w:eastAsia="zh-CN"/>
              </w:rPr>
              <w:t>。</w:t>
            </w:r>
          </w:p>
          <w:p w14:paraId="6972AB60">
            <w:pPr>
              <w:jc w:val="both"/>
              <w:rPr>
                <w:rFonts w:hint="eastAsia"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fldChar w:fldCharType="begin"/>
            </w:r>
            <w:r>
              <w:rPr>
                <w:rFonts w:hint="default" w:ascii="Times New Roman" w:hAnsi="Times New Roman" w:eastAsia="宋体" w:cs="Times New Roman"/>
                <w:b/>
                <w:bCs/>
                <w:color w:val="auto"/>
                <w:highlight w:val="none"/>
                <w:lang w:val="en-US" w:eastAsia="zh-CN"/>
              </w:rPr>
              <w:instrText xml:space="preserve"> = 4 \* Arabic \* MERGEFORMAT </w:instrText>
            </w:r>
            <w:r>
              <w:rPr>
                <w:rFonts w:hint="default" w:ascii="Times New Roman" w:hAnsi="Times New Roman" w:eastAsia="宋体" w:cs="Times New Roman"/>
                <w:b/>
                <w:bCs/>
                <w:color w:val="auto"/>
                <w:highlight w:val="none"/>
                <w:lang w:val="en-US" w:eastAsia="zh-CN"/>
              </w:rPr>
              <w:fldChar w:fldCharType="separate"/>
            </w:r>
            <w:r>
              <w:rPr>
                <w:rFonts w:hint="default" w:ascii="Times New Roman" w:hAnsi="Times New Roman" w:eastAsia="宋体" w:cs="Times New Roman"/>
                <w:b/>
                <w:bCs/>
                <w:color w:val="auto"/>
                <w:highlight w:val="none"/>
                <w:lang w:val="en-US" w:eastAsia="zh-CN"/>
              </w:rPr>
              <w:t>4</w:t>
            </w:r>
            <w:r>
              <w:rPr>
                <w:rFonts w:hint="default" w:ascii="Times New Roman" w:hAnsi="Times New Roman" w:eastAsia="宋体" w:cs="Times New Roman"/>
                <w:b/>
                <w:bCs/>
                <w:color w:val="auto"/>
                <w:highlight w:val="none"/>
                <w:lang w:val="en-US" w:eastAsia="zh-CN"/>
              </w:rPr>
              <w:fldChar w:fldCharType="end"/>
            </w:r>
            <w:r>
              <w:rPr>
                <w:rFonts w:hint="eastAsia" w:ascii="Times New Roman" w:hAnsi="Times New Roman" w:eastAsia="宋体" w:cs="Times New Roman"/>
                <w:b/>
                <w:bCs/>
                <w:color w:val="auto"/>
                <w:highlight w:val="none"/>
                <w:lang w:val="en-US" w:eastAsia="zh-CN"/>
              </w:rPr>
              <w:t>护坡</w:t>
            </w:r>
          </w:p>
          <w:p w14:paraId="2D5D8A67">
            <w:pPr>
              <w:jc w:val="both"/>
              <w:rPr>
                <w:rFonts w:hint="eastAsia" w:ascii="Times New Roman" w:hAnsi="Times New Roman" w:eastAsia="宋体" w:cs="Times New Roman"/>
                <w:color w:val="auto"/>
                <w:highlight w:val="none"/>
                <w:lang w:val="en-US" w:eastAsia="zh-CN"/>
              </w:rPr>
            </w:pPr>
            <w:r>
              <w:rPr>
                <w:rFonts w:hint="eastAsia" w:cs="Times New Roman"/>
                <w:b w:val="0"/>
                <w:bCs w:val="0"/>
                <w:snapToGrid w:val="0"/>
                <w:color w:val="auto"/>
                <w:sz w:val="24"/>
                <w:szCs w:val="22"/>
                <w:highlight w:val="none"/>
                <w:lang w:val="en-US" w:eastAsia="zh-CN" w:bidi="ar-SA"/>
              </w:rPr>
              <w:t>石河镇二郎、福兴段：</w:t>
            </w:r>
            <w:r>
              <w:rPr>
                <w:rFonts w:hint="eastAsia" w:ascii="Times New Roman" w:hAnsi="Times New Roman" w:eastAsia="宋体" w:cs="Times New Roman"/>
                <w:color w:val="auto"/>
                <w:highlight w:val="none"/>
                <w:lang w:val="en-US" w:eastAsia="zh-CN"/>
              </w:rPr>
              <w:t>根据设计资料，</w:t>
            </w:r>
            <w:r>
              <w:rPr>
                <w:rFonts w:hint="eastAsia" w:cs="Times New Roman"/>
                <w:b w:val="0"/>
                <w:bCs w:val="0"/>
                <w:snapToGrid w:val="0"/>
                <w:color w:val="auto"/>
                <w:sz w:val="24"/>
                <w:szCs w:val="22"/>
                <w:highlight w:val="none"/>
                <w:lang w:val="en-US" w:eastAsia="zh-CN" w:bidi="ar-SA"/>
              </w:rPr>
              <w:t>该工程河段的</w:t>
            </w:r>
            <w:r>
              <w:rPr>
                <w:rFonts w:hint="eastAsia" w:ascii="Times New Roman" w:hAnsi="Times New Roman" w:eastAsia="宋体" w:cs="Times New Roman"/>
                <w:color w:val="auto"/>
                <w:highlight w:val="none"/>
                <w:lang w:val="en-US" w:eastAsia="zh-CN"/>
              </w:rPr>
              <w:t>堤防镇脚至堤顶的护坡上设置C25钢砼框格梁，框格梁尺寸为0.3*0.4m，框格梁内采用浆砌C25钢砼预制六棱块护坡，计坡比不陡于</w:t>
            </w:r>
            <w:r>
              <w:rPr>
                <w:rFonts w:hint="default" w:ascii="Times New Roman" w:hAnsi="Times New Roman" w:eastAsia="宋体" w:cs="Times New Roman"/>
                <w:color w:val="auto"/>
                <w:highlight w:val="none"/>
                <w:lang w:val="en-US" w:eastAsia="zh-CN"/>
              </w:rPr>
              <w:t>1:1</w:t>
            </w:r>
            <w:r>
              <w:rPr>
                <w:rFonts w:hint="eastAsia" w:ascii="Times New Roman" w:hAnsi="Times New Roman" w:eastAsia="宋体" w:cs="Times New Roman"/>
                <w:color w:val="auto"/>
                <w:highlight w:val="none"/>
                <w:lang w:val="en-US" w:eastAsia="zh-CN"/>
              </w:rPr>
              <w:t>.75。</w:t>
            </w:r>
          </w:p>
          <w:p w14:paraId="52C9EED4">
            <w:pPr>
              <w:jc w:val="both"/>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石河镇石河镇段、双拱场段：</w:t>
            </w:r>
            <w:r>
              <w:rPr>
                <w:rFonts w:hint="eastAsia" w:ascii="Times New Roman" w:hAnsi="Times New Roman" w:eastAsia="宋体" w:cs="Times New Roman"/>
                <w:color w:val="auto"/>
                <w:highlight w:val="none"/>
                <w:lang w:val="en-US" w:eastAsia="zh-CN"/>
              </w:rPr>
              <w:t>根据设计资料，</w:t>
            </w:r>
            <w:r>
              <w:rPr>
                <w:rFonts w:hint="eastAsia" w:cs="Times New Roman"/>
                <w:b w:val="0"/>
                <w:bCs w:val="0"/>
                <w:snapToGrid w:val="0"/>
                <w:color w:val="auto"/>
                <w:sz w:val="24"/>
                <w:szCs w:val="22"/>
                <w:highlight w:val="none"/>
                <w:lang w:val="en-US" w:eastAsia="zh-CN" w:bidi="ar-SA"/>
              </w:rPr>
              <w:t>该工程河段的</w:t>
            </w:r>
            <w:r>
              <w:rPr>
                <w:color w:val="auto"/>
                <w:highlight w:val="none"/>
              </w:rPr>
              <w:t>坡比不陡于1:1.75，护坡顶高程根据5年一遇常水位控制，护坡采用C25砼框格梁+</w:t>
            </w:r>
            <w:r>
              <w:rPr>
                <w:rFonts w:hint="eastAsia"/>
                <w:color w:val="auto"/>
                <w:highlight w:val="none"/>
              </w:rPr>
              <w:t>预制</w:t>
            </w:r>
            <w:r>
              <w:rPr>
                <w:color w:val="auto"/>
                <w:highlight w:val="none"/>
              </w:rPr>
              <w:t>六棱块+麦冬护坡</w:t>
            </w:r>
            <w:r>
              <w:rPr>
                <w:rFonts w:hint="eastAsia" w:ascii="Times New Roman" w:hAnsi="Times New Roman" w:eastAsia="宋体" w:cs="Times New Roman"/>
                <w:color w:val="auto"/>
                <w:highlight w:val="none"/>
                <w:lang w:val="en-US" w:eastAsia="zh-CN"/>
              </w:rPr>
              <w:t>。</w:t>
            </w:r>
          </w:p>
          <w:p w14:paraId="491C1A3F">
            <w:pPr>
              <w:jc w:val="both"/>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fldChar w:fldCharType="begin"/>
            </w:r>
            <w:r>
              <w:rPr>
                <w:rFonts w:hint="eastAsia" w:ascii="Times New Roman" w:hAnsi="Times New Roman" w:eastAsia="宋体" w:cs="Times New Roman"/>
                <w:b/>
                <w:bCs/>
                <w:color w:val="auto"/>
                <w:highlight w:val="none"/>
                <w:lang w:val="en-US" w:eastAsia="zh-CN"/>
              </w:rPr>
              <w:instrText xml:space="preserve"> = 5 \* Arabic \* MERGEFORMAT </w:instrText>
            </w:r>
            <w:r>
              <w:rPr>
                <w:rFonts w:hint="eastAsia" w:ascii="Times New Roman" w:hAnsi="Times New Roman" w:eastAsia="宋体" w:cs="Times New Roman"/>
                <w:b/>
                <w:bCs/>
                <w:color w:val="auto"/>
                <w:highlight w:val="none"/>
                <w:lang w:val="en-US" w:eastAsia="zh-CN"/>
              </w:rPr>
              <w:fldChar w:fldCharType="separate"/>
            </w:r>
            <w:r>
              <w:rPr>
                <w:rFonts w:hint="default" w:ascii="Times New Roman" w:hAnsi="Times New Roman" w:eastAsia="宋体" w:cs="Times New Roman"/>
                <w:b/>
                <w:bCs/>
                <w:color w:val="auto"/>
                <w:highlight w:val="none"/>
                <w:lang w:val="en-US" w:eastAsia="zh-CN"/>
              </w:rPr>
              <w:t>5</w:t>
            </w:r>
            <w:r>
              <w:rPr>
                <w:rFonts w:hint="eastAsia" w:ascii="Times New Roman" w:hAnsi="Times New Roman" w:eastAsia="宋体" w:cs="Times New Roman"/>
                <w:b/>
                <w:bCs/>
                <w:color w:val="auto"/>
                <w:highlight w:val="none"/>
                <w:lang w:val="en-US" w:eastAsia="zh-CN"/>
              </w:rPr>
              <w:fldChar w:fldCharType="end"/>
            </w:r>
            <w:r>
              <w:rPr>
                <w:rFonts w:hint="eastAsia" w:ascii="Times New Roman" w:hAnsi="Times New Roman" w:eastAsia="宋体" w:cs="Times New Roman"/>
                <w:b/>
                <w:bCs/>
                <w:color w:val="auto"/>
                <w:highlight w:val="none"/>
                <w:lang w:val="en-US" w:eastAsia="zh-CN"/>
              </w:rPr>
              <w:t>护脚</w:t>
            </w:r>
          </w:p>
          <w:p w14:paraId="478CB4BC">
            <w:pPr>
              <w:jc w:val="both"/>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根据设计资料，</w:t>
            </w:r>
            <w:r>
              <w:rPr>
                <w:rFonts w:hint="eastAsia" w:cs="Times New Roman"/>
                <w:color w:val="auto"/>
                <w:highlight w:val="none"/>
                <w:lang w:val="en-US" w:eastAsia="zh-CN"/>
              </w:rPr>
              <w:t>石河镇2个防洪治理工程的</w:t>
            </w:r>
            <w:r>
              <w:rPr>
                <w:color w:val="auto"/>
                <w:highlight w:val="none"/>
              </w:rPr>
              <w:t>挡墙堤脚采取堆石护脚。设计护脚高</w:t>
            </w:r>
            <w:r>
              <w:rPr>
                <w:rFonts w:hint="eastAsia" w:ascii="宋体" w:hAnsi="宋体" w:cs="宋体"/>
                <w:color w:val="auto"/>
                <w:highlight w:val="none"/>
              </w:rPr>
              <w:t>≮</w:t>
            </w:r>
            <w:r>
              <w:rPr>
                <w:color w:val="auto"/>
                <w:highlight w:val="none"/>
              </w:rPr>
              <w:t>1.0m，底高程与挡墙底高程齐平，护脚采用大块石材料，块石料抗风化性能好，质地坚硬的岩石，无风化剥落和裂纹，外形大致呈方形；无尖角、薄边；厚度宜取20—30cm，石材表面的泥垢，水锈使用前应用水冲洗干净；饱和抗压强度不小于30MPa，容重不小于23KN/m</w:t>
            </w:r>
            <w:r>
              <w:rPr>
                <w:color w:val="auto"/>
                <w:highlight w:val="none"/>
                <w:vertAlign w:val="superscript"/>
              </w:rPr>
              <w:t>3</w:t>
            </w:r>
            <w:r>
              <w:rPr>
                <w:color w:val="auto"/>
                <w:highlight w:val="none"/>
              </w:rPr>
              <w:t>，软化系数不小于0.75。</w:t>
            </w:r>
          </w:p>
          <w:p w14:paraId="1235413E">
            <w:pPr>
              <w:jc w:val="both"/>
              <w:rPr>
                <w:rFonts w:hint="eastAsia"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fldChar w:fldCharType="begin"/>
            </w:r>
            <w:r>
              <w:rPr>
                <w:rFonts w:hint="default" w:ascii="Times New Roman" w:hAnsi="Times New Roman" w:eastAsia="宋体" w:cs="Times New Roman"/>
                <w:b/>
                <w:bCs/>
                <w:color w:val="auto"/>
                <w:highlight w:val="none"/>
                <w:lang w:val="en-US" w:eastAsia="zh-CN"/>
              </w:rPr>
              <w:instrText xml:space="preserve"> = 6 \* Arabic \* MERGEFORMAT </w:instrText>
            </w:r>
            <w:r>
              <w:rPr>
                <w:rFonts w:hint="default" w:ascii="Times New Roman" w:hAnsi="Times New Roman" w:eastAsia="宋体" w:cs="Times New Roman"/>
                <w:b/>
                <w:bCs/>
                <w:color w:val="auto"/>
                <w:highlight w:val="none"/>
                <w:lang w:val="en-US" w:eastAsia="zh-CN"/>
              </w:rPr>
              <w:fldChar w:fldCharType="separate"/>
            </w:r>
            <w:r>
              <w:rPr>
                <w:rFonts w:hint="default" w:ascii="Times New Roman" w:hAnsi="Times New Roman" w:eastAsia="宋体" w:cs="Times New Roman"/>
                <w:b/>
                <w:bCs/>
                <w:color w:val="auto"/>
                <w:highlight w:val="none"/>
                <w:lang w:val="en-US" w:eastAsia="zh-CN"/>
              </w:rPr>
              <w:t>6</w:t>
            </w:r>
            <w:r>
              <w:rPr>
                <w:rFonts w:hint="default" w:ascii="Times New Roman" w:hAnsi="Times New Roman" w:eastAsia="宋体" w:cs="Times New Roman"/>
                <w:b/>
                <w:bCs/>
                <w:color w:val="auto"/>
                <w:highlight w:val="none"/>
                <w:lang w:val="en-US" w:eastAsia="zh-CN"/>
              </w:rPr>
              <w:fldChar w:fldCharType="end"/>
            </w:r>
            <w:r>
              <w:rPr>
                <w:rFonts w:hint="eastAsia" w:ascii="Times New Roman" w:hAnsi="Times New Roman" w:eastAsia="宋体" w:cs="Times New Roman"/>
                <w:b/>
                <w:bCs/>
                <w:color w:val="auto"/>
                <w:highlight w:val="none"/>
                <w:lang w:val="en-US" w:eastAsia="zh-CN"/>
              </w:rPr>
              <w:t>堤后背水坡设计</w:t>
            </w:r>
          </w:p>
          <w:p w14:paraId="1A62BD38">
            <w:pPr>
              <w:jc w:val="both"/>
              <w:rPr>
                <w:rFonts w:hint="eastAsia" w:ascii="Times New Roman" w:hAnsi="Times New Roman" w:eastAsia="宋体" w:cs="Times New Roman"/>
                <w:color w:val="auto"/>
                <w:highlight w:val="none"/>
                <w:lang w:val="en-US" w:eastAsia="zh-CN"/>
              </w:rPr>
            </w:pPr>
            <w:r>
              <w:rPr>
                <w:rFonts w:hint="eastAsia" w:cs="Times New Roman"/>
                <w:b w:val="0"/>
                <w:bCs w:val="0"/>
                <w:snapToGrid w:val="0"/>
                <w:color w:val="auto"/>
                <w:sz w:val="24"/>
                <w:szCs w:val="22"/>
                <w:highlight w:val="none"/>
                <w:lang w:val="en-US" w:eastAsia="zh-CN" w:bidi="ar-SA"/>
              </w:rPr>
              <w:t>石河镇二郎、福兴段：</w:t>
            </w:r>
            <w:r>
              <w:rPr>
                <w:rFonts w:hint="eastAsia" w:ascii="Times New Roman" w:hAnsi="Times New Roman" w:eastAsia="宋体" w:cs="Times New Roman"/>
                <w:color w:val="auto"/>
                <w:highlight w:val="none"/>
                <w:lang w:val="en-US" w:eastAsia="zh-CN"/>
              </w:rPr>
              <w:t>根据设计资料，</w:t>
            </w:r>
            <w:r>
              <w:rPr>
                <w:rFonts w:hint="eastAsia" w:cs="Times New Roman"/>
                <w:b w:val="0"/>
                <w:bCs w:val="0"/>
                <w:snapToGrid w:val="0"/>
                <w:color w:val="auto"/>
                <w:sz w:val="24"/>
                <w:szCs w:val="22"/>
                <w:highlight w:val="none"/>
                <w:lang w:val="en-US" w:eastAsia="zh-CN" w:bidi="ar-SA"/>
              </w:rPr>
              <w:t>该工程河段</w:t>
            </w:r>
            <w:r>
              <w:rPr>
                <w:rFonts w:hint="eastAsia" w:ascii="Times New Roman" w:hAnsi="Times New Roman" w:eastAsia="宋体" w:cs="Times New Roman"/>
                <w:color w:val="auto"/>
                <w:highlight w:val="none"/>
                <w:lang w:val="en-US" w:eastAsia="zh-CN"/>
              </w:rPr>
              <w:t>堤后为堤体填筑区域，本次堤后背水坡高度在2m以内，背水坡的坡比按1:</w:t>
            </w:r>
            <w:r>
              <w:rPr>
                <w:rFonts w:hint="default"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设计。因为堤身回填而产生的部分河段堤后排涝问题通过在堤后新建排水渠，每隔400m~500m的低洼处埋设Φ300 PE管涵解决，为防止河水倒灌，穿堤管涵设置拍门。</w:t>
            </w:r>
          </w:p>
          <w:p w14:paraId="0FEEDDAF">
            <w:pPr>
              <w:ind w:firstLine="48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石河镇石河镇段、双拱场段：</w:t>
            </w:r>
            <w:r>
              <w:rPr>
                <w:rFonts w:hint="eastAsia" w:ascii="Times New Roman" w:hAnsi="Times New Roman" w:eastAsia="宋体" w:cs="Times New Roman"/>
                <w:color w:val="auto"/>
                <w:highlight w:val="none"/>
                <w:lang w:val="en-US" w:eastAsia="zh-CN"/>
              </w:rPr>
              <w:t>根据设计资料，</w:t>
            </w:r>
            <w:r>
              <w:rPr>
                <w:color w:val="auto"/>
                <w:highlight w:val="none"/>
              </w:rPr>
              <w:t>堤后为堤体填筑区域，本次堤后背水坡高度在3m以内，参照类似工程经验，背水坡的坡比按1:2设计，采用草皮护坡（台湾二号草皮）。因为堤身回填而产生的部分河段堤后排涝问题通过在堤后低洼处新建穿堤涵洞解决</w:t>
            </w:r>
            <w:r>
              <w:rPr>
                <w:rFonts w:hint="eastAsia" w:ascii="Times New Roman" w:hAnsi="Times New Roman" w:eastAsia="宋体" w:cs="Times New Roman"/>
                <w:color w:val="auto"/>
                <w:highlight w:val="none"/>
                <w:lang w:val="en-US" w:eastAsia="zh-CN"/>
              </w:rPr>
              <w:t>。</w:t>
            </w:r>
          </w:p>
          <w:p w14:paraId="4B0A4936">
            <w:pPr>
              <w:ind w:left="0" w:leftChars="0" w:firstLine="480" w:firstLineChars="0"/>
              <w:jc w:val="both"/>
              <w:rPr>
                <w:rFonts w:hint="default" w:ascii="Times New Roman" w:hAnsi="Times New Roman" w:cs="Times New Roman"/>
                <w:b/>
                <w:bCs/>
                <w:color w:val="auto"/>
                <w:highlight w:val="none"/>
              </w:rPr>
            </w:pPr>
            <w:r>
              <w:rPr>
                <w:rFonts w:hint="eastAsia" w:cs="Times New Roman"/>
                <w:b/>
                <w:bCs/>
                <w:color w:val="auto"/>
                <w:highlight w:val="none"/>
                <w:lang w:val="en-US" w:eastAsia="zh-CN"/>
              </w:rPr>
              <w:t>2.4.2.1.2</w:t>
            </w:r>
            <w:r>
              <w:rPr>
                <w:rFonts w:hint="eastAsia"/>
                <w:b/>
                <w:bCs/>
                <w:color w:val="auto"/>
                <w:highlight w:val="none"/>
              </w:rPr>
              <w:t>穿堤建筑物及排涝工程</w:t>
            </w:r>
          </w:p>
          <w:p w14:paraId="1E7DDE23">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rPr>
              <w:fldChar w:fldCharType="begin"/>
            </w:r>
            <w:r>
              <w:rPr>
                <w:rFonts w:hint="default" w:ascii="Times New Roman" w:hAnsi="Times New Roman" w:cs="Times New Roman"/>
                <w:b/>
                <w:bCs/>
                <w:color w:val="auto"/>
                <w:highlight w:val="none"/>
              </w:rPr>
              <w:instrText xml:space="preserve"> = 1 \* Arabic \* MERGEFORMAT </w:instrText>
            </w:r>
            <w:r>
              <w:rPr>
                <w:rFonts w:hint="default" w:ascii="Times New Roman" w:hAnsi="Times New Roman" w:cs="Times New Roman"/>
                <w:b/>
                <w:bCs/>
                <w:color w:val="auto"/>
                <w:highlight w:val="none"/>
              </w:rPr>
              <w:fldChar w:fldCharType="separate"/>
            </w:r>
            <w:r>
              <w:rPr>
                <w:rFonts w:hint="default" w:ascii="Times New Roman" w:hAnsi="Times New Roman" w:cs="Times New Roman"/>
                <w:b/>
                <w:bCs/>
                <w:color w:val="auto"/>
                <w:highlight w:val="none"/>
              </w:rPr>
              <w:t>1</w:t>
            </w:r>
            <w:r>
              <w:rPr>
                <w:rFonts w:hint="default" w:ascii="Times New Roman" w:hAnsi="Times New Roman" w:cs="Times New Roman"/>
                <w:b/>
                <w:bCs/>
                <w:color w:val="auto"/>
                <w:highlight w:val="none"/>
              </w:rPr>
              <w:fldChar w:fldCharType="end"/>
            </w:r>
            <w:r>
              <w:rPr>
                <w:rFonts w:hint="eastAsia" w:ascii="Times New Roman" w:hAnsi="Times New Roman" w:cs="Times New Roman"/>
                <w:b/>
                <w:bCs/>
                <w:color w:val="auto"/>
                <w:highlight w:val="none"/>
                <w:lang w:val="en-US" w:eastAsia="zh-CN"/>
              </w:rPr>
              <w:t>穿堤涵管</w:t>
            </w:r>
          </w:p>
          <w:p w14:paraId="17EA8C5E">
            <w:pPr>
              <w:numPr>
                <w:ilvl w:val="-1"/>
                <w:numId w:val="0"/>
              </w:numPr>
              <w:ind w:firstLine="480"/>
              <w:rPr>
                <w:rFonts w:hint="eastAsia" w:cs="Times New Roman"/>
                <w:b w:val="0"/>
                <w:bCs w:val="0"/>
                <w:snapToGrid w:val="0"/>
                <w:color w:val="auto"/>
                <w:sz w:val="24"/>
                <w:szCs w:val="22"/>
                <w:highlight w:val="none"/>
                <w:lang w:val="en-US" w:eastAsia="zh-CN" w:bidi="ar-SA"/>
              </w:rPr>
            </w:pPr>
            <w:r>
              <w:rPr>
                <w:rFonts w:hint="eastAsia" w:cs="Times New Roman"/>
                <w:b w:val="0"/>
                <w:bCs w:val="0"/>
                <w:snapToGrid w:val="0"/>
                <w:color w:val="auto"/>
                <w:sz w:val="24"/>
                <w:szCs w:val="22"/>
                <w:highlight w:val="none"/>
                <w:lang w:val="en-US" w:eastAsia="zh-CN" w:bidi="ar-SA"/>
              </w:rPr>
              <w:t>石河镇二郎、福兴段</w:t>
            </w:r>
          </w:p>
          <w:p w14:paraId="0B33CFAE">
            <w:pPr>
              <w:keepNext w:val="0"/>
              <w:keepLines w:val="0"/>
              <w:pageBreakBefore w:val="0"/>
              <w:widowControl/>
              <w:numPr>
                <w:ilvl w:val="-1"/>
                <w:numId w:val="0"/>
              </w:numPr>
              <w:kinsoku/>
              <w:wordWrap/>
              <w:overflowPunct/>
              <w:topLinePunct w:val="0"/>
              <w:autoSpaceDE/>
              <w:autoSpaceDN/>
              <w:bidi w:val="0"/>
              <w:adjustRightInd/>
              <w:snapToGrid/>
              <w:ind w:firstLine="480" w:firstLineChars="0"/>
              <w:textAlignment w:val="auto"/>
              <w:rPr>
                <w:rFonts w:hint="eastAsia"/>
                <w:color w:val="auto"/>
                <w:highlight w:val="none"/>
              </w:rPr>
            </w:pPr>
            <w:r>
              <w:rPr>
                <w:rFonts w:hint="eastAsia"/>
                <w:color w:val="auto"/>
                <w:highlight w:val="none"/>
              </w:rPr>
              <w:t>根据</w:t>
            </w:r>
            <w:r>
              <w:rPr>
                <w:rFonts w:hint="eastAsia"/>
                <w:color w:val="auto"/>
                <w:highlight w:val="none"/>
                <w:lang w:val="en-US" w:eastAsia="zh-CN"/>
              </w:rPr>
              <w:t>总体布</w:t>
            </w:r>
            <w:r>
              <w:rPr>
                <w:rFonts w:hint="eastAsia"/>
                <w:color w:val="auto"/>
                <w:highlight w:val="none"/>
              </w:rPr>
              <w:t>置，部分堤顶高程高于现状地面，为防止内涝，需在堤后地面低洼处设置涵管，以保证堤后涝水顺利排出。</w:t>
            </w:r>
            <w:r>
              <w:rPr>
                <w:rFonts w:hint="eastAsia" w:ascii="Times New Roman" w:hAnsi="Times New Roman" w:eastAsia="宋体" w:cs="Times New Roman"/>
                <w:color w:val="auto"/>
                <w:highlight w:val="none"/>
                <w:lang w:val="en-US" w:eastAsia="zh-CN"/>
              </w:rPr>
              <w:t>根据设计资料，</w:t>
            </w:r>
            <w:r>
              <w:rPr>
                <w:rFonts w:hint="eastAsia"/>
                <w:color w:val="auto"/>
                <w:highlight w:val="none"/>
                <w:lang w:val="en-US" w:eastAsia="zh-CN"/>
              </w:rPr>
              <w:t>该</w:t>
            </w:r>
            <w:r>
              <w:rPr>
                <w:color w:val="auto"/>
                <w:highlight w:val="none"/>
              </w:rPr>
              <w:t>工程管涵设计</w:t>
            </w:r>
            <w:r>
              <w:rPr>
                <w:rFonts w:hint="eastAsia"/>
                <w:color w:val="auto"/>
                <w:highlight w:val="none"/>
              </w:rPr>
              <w:t>均用作堤后排水</w:t>
            </w:r>
            <w:r>
              <w:rPr>
                <w:rFonts w:hint="eastAsia"/>
                <w:color w:val="auto"/>
                <w:highlight w:val="none"/>
                <w:lang w:eastAsia="zh-CN"/>
              </w:rPr>
              <w:t>，</w:t>
            </w:r>
            <w:r>
              <w:rPr>
                <w:rFonts w:hint="eastAsia"/>
                <w:color w:val="auto"/>
                <w:highlight w:val="none"/>
              </w:rPr>
              <w:t>故</w:t>
            </w:r>
            <w:r>
              <w:rPr>
                <w:color w:val="auto"/>
                <w:highlight w:val="none"/>
              </w:rPr>
              <w:t>标准为</w:t>
            </w:r>
            <w:r>
              <w:rPr>
                <w:rFonts w:hint="eastAsia"/>
                <w:color w:val="auto"/>
                <w:highlight w:val="none"/>
              </w:rPr>
              <w:t>5</w:t>
            </w:r>
            <w:r>
              <w:rPr>
                <w:color w:val="auto"/>
                <w:highlight w:val="none"/>
              </w:rPr>
              <w:t>年一遇，均采用钢筋混凝土穿堤涵管排除洪水，按自由出流管涵设计</w:t>
            </w:r>
            <w:r>
              <w:rPr>
                <w:rFonts w:hint="eastAsia"/>
                <w:color w:val="auto"/>
                <w:highlight w:val="none"/>
                <w:lang w:eastAsia="zh-CN"/>
              </w:rPr>
              <w:t>。在各段堤</w:t>
            </w:r>
            <w:r>
              <w:rPr>
                <w:rFonts w:hint="eastAsia"/>
                <w:color w:val="auto"/>
                <w:highlight w:val="none"/>
              </w:rPr>
              <w:t>防堤背后新建一条C20砼排水沟排涝，沟走向与堤背地势平行，从上往下游排至河道，二郎段排水沟为净空尺寸0..3*0.3m，壁厚为20cm的C20砼排水沟</w:t>
            </w:r>
            <w:r>
              <w:rPr>
                <w:rFonts w:hint="eastAsia"/>
                <w:color w:val="auto"/>
                <w:highlight w:val="none"/>
                <w:lang w:eastAsia="zh-CN"/>
              </w:rPr>
              <w:t>；</w:t>
            </w:r>
            <w:r>
              <w:rPr>
                <w:rFonts w:hint="eastAsia"/>
                <w:color w:val="auto"/>
                <w:highlight w:val="none"/>
              </w:rPr>
              <w:t>福兴段排水沟净空尺寸为0.3*0.3m，壁厚20cm的C20砼排水沟，平均每隔500m设Φ300PE管涵穿堤排入柳城河，堤内侧设拍门，防止河</w:t>
            </w:r>
            <w:r>
              <w:rPr>
                <w:rFonts w:hint="eastAsia"/>
                <w:color w:val="auto"/>
                <w:sz w:val="24"/>
                <w:szCs w:val="24"/>
                <w:highlight w:val="none"/>
              </w:rPr>
              <w:t>水倒灌</w:t>
            </w:r>
            <w:r>
              <w:rPr>
                <w:color w:val="auto"/>
                <w:sz w:val="24"/>
                <w:szCs w:val="24"/>
                <w:highlight w:val="none"/>
              </w:rPr>
              <w:t>。</w:t>
            </w:r>
            <w:r>
              <w:rPr>
                <w:rFonts w:hint="eastAsia"/>
                <w:color w:val="auto"/>
                <w:sz w:val="24"/>
                <w:szCs w:val="24"/>
                <w:highlight w:val="none"/>
              </w:rPr>
              <w:t>共涉及11处排涝管涵。</w:t>
            </w:r>
            <w:r>
              <w:rPr>
                <w:rFonts w:hint="eastAsia" w:cs="Times New Roman"/>
                <w:snapToGrid w:val="0"/>
                <w:color w:val="auto"/>
                <w:sz w:val="24"/>
                <w:szCs w:val="24"/>
                <w:highlight w:val="none"/>
                <w:lang w:val="en-US" w:eastAsia="zh-CN"/>
              </w:rPr>
              <w:t>其中，</w:t>
            </w:r>
            <w:r>
              <w:rPr>
                <w:rFonts w:hint="eastAsia" w:cs="Times New Roman"/>
                <w:color w:val="auto"/>
                <w:sz w:val="24"/>
                <w:szCs w:val="24"/>
                <w:highlight w:val="none"/>
                <w:lang w:val="en-US" w:eastAsia="zh-CN"/>
              </w:rPr>
              <w:t>二郎段新建</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处</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福兴段新建5处。</w:t>
            </w:r>
          </w:p>
          <w:p w14:paraId="2957F608">
            <w:pPr>
              <w:ind w:firstLine="48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s="Times New Roman"/>
                <w:color w:val="auto"/>
                <w:highlight w:val="none"/>
                <w:lang w:val="en-US" w:eastAsia="zh-CN"/>
              </w:rPr>
              <w:t>石河镇石河镇段、双拱场段</w:t>
            </w:r>
          </w:p>
          <w:p w14:paraId="3ECC889F">
            <w:pPr>
              <w:ind w:firstLine="480"/>
              <w:rPr>
                <w:rFonts w:hint="default" w:cs="Times New Roman"/>
                <w:color w:val="auto"/>
                <w:highlight w:val="none"/>
                <w:lang w:val="en-US" w:eastAsia="zh-CN"/>
              </w:rPr>
            </w:pPr>
            <w:r>
              <w:rPr>
                <w:rFonts w:hint="eastAsia"/>
                <w:color w:val="auto"/>
                <w:highlight w:val="none"/>
              </w:rPr>
              <w:t>根据</w:t>
            </w:r>
            <w:r>
              <w:rPr>
                <w:rFonts w:hint="eastAsia"/>
                <w:color w:val="auto"/>
                <w:highlight w:val="none"/>
                <w:lang w:val="en-US" w:eastAsia="zh-CN"/>
              </w:rPr>
              <w:t>总体布</w:t>
            </w:r>
            <w:r>
              <w:rPr>
                <w:rFonts w:hint="eastAsia"/>
                <w:color w:val="auto"/>
                <w:highlight w:val="none"/>
              </w:rPr>
              <w:t>置，部分堤顶高程高于现状地面，为防止内涝，需在堤后地面低洼处设置涵管，以保证堤后涝水顺利排出。</w:t>
            </w:r>
            <w:r>
              <w:rPr>
                <w:rFonts w:hint="eastAsia"/>
                <w:color w:val="auto"/>
                <w:highlight w:val="none"/>
                <w:lang w:val="en-US" w:eastAsia="zh-CN"/>
              </w:rPr>
              <w:t>该工程河段</w:t>
            </w:r>
            <w:r>
              <w:rPr>
                <w:color w:val="auto"/>
                <w:highlight w:val="none"/>
              </w:rPr>
              <w:t>共涉及15处排涝管涵，其中，石河镇段新建8处，双拱场新建7处</w:t>
            </w:r>
            <w:r>
              <w:rPr>
                <w:rFonts w:hint="eastAsia"/>
                <w:color w:val="auto"/>
                <w:highlight w:val="none"/>
                <w:lang w:eastAsia="zh-CN"/>
              </w:rPr>
              <w:t>。</w:t>
            </w:r>
            <w:r>
              <w:rPr>
                <w:rFonts w:hint="eastAsia"/>
                <w:color w:val="auto"/>
                <w:highlight w:val="none"/>
                <w:lang w:val="en-US" w:eastAsia="zh-CN"/>
              </w:rPr>
              <w:t>该工程河段</w:t>
            </w:r>
            <w:r>
              <w:rPr>
                <w:rFonts w:hint="eastAsia" w:cs="Times New Roman"/>
                <w:color w:val="auto"/>
                <w:highlight w:val="none"/>
                <w:lang w:val="en-US" w:eastAsia="zh-CN"/>
              </w:rPr>
              <w:t>穿堤涵管布置表详见表2.4-1。</w:t>
            </w:r>
          </w:p>
          <w:p w14:paraId="5F568F1D">
            <w:pPr>
              <w:pStyle w:val="32"/>
              <w:jc w:val="center"/>
              <w:rPr>
                <w:rFonts w:hint="default" w:ascii="Times New Roman" w:hAnsi="Times New Roman" w:eastAsia="宋体" w:cs="Times New Roman"/>
                <w:b/>
                <w:bCs/>
                <w:snapToGrid w:val="0"/>
                <w:color w:val="auto"/>
                <w:highlight w:val="none"/>
              </w:rPr>
            </w:pPr>
            <w:r>
              <w:rPr>
                <w:rFonts w:hint="default" w:ascii="Times New Roman" w:hAnsi="Times New Roman" w:eastAsia="宋体" w:cs="Times New Roman"/>
                <w:b/>
                <w:bCs/>
                <w:snapToGrid w:val="0"/>
                <w:color w:val="auto"/>
                <w:highlight w:val="none"/>
              </w:rPr>
              <w:t>表</w:t>
            </w:r>
            <w:r>
              <w:rPr>
                <w:rFonts w:hint="default" w:ascii="Times New Roman" w:hAnsi="Times New Roman" w:eastAsia="宋体" w:cs="Times New Roman"/>
                <w:b/>
                <w:bCs/>
                <w:snapToGrid w:val="0"/>
                <w:color w:val="auto"/>
                <w:highlight w:val="none"/>
                <w:lang w:val="en-US" w:eastAsia="zh-CN"/>
              </w:rPr>
              <w:t>2.</w:t>
            </w:r>
            <w:r>
              <w:rPr>
                <w:rFonts w:hint="eastAsia" w:ascii="Times New Roman" w:hAnsi="Times New Roman" w:eastAsia="宋体" w:cs="Times New Roman"/>
                <w:b/>
                <w:bCs/>
                <w:snapToGrid w:val="0"/>
                <w:color w:val="auto"/>
                <w:highlight w:val="none"/>
                <w:lang w:val="en-US" w:eastAsia="zh-CN"/>
              </w:rPr>
              <w:t>4</w:t>
            </w:r>
            <w:r>
              <w:rPr>
                <w:rFonts w:hint="default" w:ascii="Times New Roman" w:hAnsi="Times New Roman" w:eastAsia="宋体" w:cs="Times New Roman"/>
                <w:b/>
                <w:bCs/>
                <w:snapToGrid w:val="0"/>
                <w:color w:val="auto"/>
                <w:highlight w:val="none"/>
                <w:lang w:val="en-US" w:eastAsia="zh-CN"/>
              </w:rPr>
              <w:t>-</w:t>
            </w:r>
            <w:r>
              <w:rPr>
                <w:rFonts w:hint="eastAsia" w:ascii="Times New Roman" w:hAnsi="Times New Roman" w:eastAsia="宋体" w:cs="Times New Roman"/>
                <w:b/>
                <w:bCs/>
                <w:snapToGrid w:val="0"/>
                <w:color w:val="auto"/>
                <w:highlight w:val="none"/>
                <w:lang w:val="en-US" w:eastAsia="zh-CN"/>
              </w:rPr>
              <w:t>1</w:t>
            </w:r>
            <w:r>
              <w:rPr>
                <w:rFonts w:hint="default" w:ascii="Times New Roman" w:hAnsi="Times New Roman" w:eastAsia="宋体" w:cs="Times New Roman"/>
                <w:b/>
                <w:bCs/>
                <w:snapToGrid w:val="0"/>
                <w:color w:val="auto"/>
                <w:highlight w:val="none"/>
              </w:rPr>
              <w:t xml:space="preserve">  </w:t>
            </w:r>
            <w:r>
              <w:rPr>
                <w:rFonts w:hint="eastAsia" w:ascii="Times New Roman" w:hAnsi="Times New Roman" w:eastAsia="宋体" w:cs="Times New Roman"/>
                <w:b/>
                <w:bCs/>
                <w:snapToGrid w:val="0"/>
                <w:color w:val="auto"/>
                <w:highlight w:val="none"/>
                <w:lang w:val="en-US" w:eastAsia="zh-CN"/>
              </w:rPr>
              <w:t>石河镇石河镇段、双拱场段</w:t>
            </w:r>
            <w:r>
              <w:rPr>
                <w:rFonts w:hint="default" w:ascii="Times New Roman" w:hAnsi="Times New Roman" w:eastAsia="宋体" w:cs="Times New Roman"/>
                <w:b/>
                <w:bCs/>
                <w:snapToGrid w:val="0"/>
                <w:color w:val="auto"/>
                <w:highlight w:val="none"/>
              </w:rPr>
              <w:t>穿堤涵管布置表</w:t>
            </w:r>
          </w:p>
          <w:tbl>
            <w:tblPr>
              <w:tblStyle w:val="11"/>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674"/>
              <w:gridCol w:w="1179"/>
              <w:gridCol w:w="979"/>
              <w:gridCol w:w="732"/>
              <w:gridCol w:w="730"/>
              <w:gridCol w:w="1048"/>
              <w:gridCol w:w="1018"/>
              <w:gridCol w:w="616"/>
              <w:gridCol w:w="1165"/>
            </w:tblGrid>
            <w:tr w14:paraId="25AE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45" w:type="pct"/>
                  <w:tcBorders>
                    <w:tl2br w:val="nil"/>
                    <w:tr2bl w:val="nil"/>
                  </w:tcBorders>
                  <w:shd w:val="clear" w:color="auto" w:fill="auto"/>
                  <w:noWrap/>
                  <w:vAlign w:val="center"/>
                </w:tcPr>
                <w:p w14:paraId="1151602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highlight w:val="none"/>
                    </w:rPr>
                  </w:pPr>
                  <w:r>
                    <w:rPr>
                      <w:b/>
                      <w:bCs/>
                      <w:color w:val="auto"/>
                      <w:sz w:val="21"/>
                      <w:szCs w:val="21"/>
                      <w:highlight w:val="none"/>
                    </w:rPr>
                    <w:t>编号</w:t>
                  </w:r>
                </w:p>
              </w:tc>
              <w:tc>
                <w:tcPr>
                  <w:tcW w:w="368" w:type="pct"/>
                  <w:tcBorders>
                    <w:tl2br w:val="nil"/>
                    <w:tr2bl w:val="nil"/>
                  </w:tcBorders>
                  <w:shd w:val="clear" w:color="auto" w:fill="auto"/>
                  <w:noWrap/>
                  <w:vAlign w:val="center"/>
                </w:tcPr>
                <w:p w14:paraId="4C03C6B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highlight w:val="none"/>
                    </w:rPr>
                  </w:pPr>
                  <w:r>
                    <w:rPr>
                      <w:b/>
                      <w:bCs/>
                      <w:color w:val="auto"/>
                      <w:sz w:val="21"/>
                      <w:szCs w:val="21"/>
                      <w:highlight w:val="none"/>
                    </w:rPr>
                    <w:t>左右岸</w:t>
                  </w:r>
                </w:p>
              </w:tc>
              <w:tc>
                <w:tcPr>
                  <w:tcW w:w="645" w:type="pct"/>
                  <w:tcBorders>
                    <w:tl2br w:val="nil"/>
                    <w:tr2bl w:val="nil"/>
                  </w:tcBorders>
                  <w:shd w:val="clear" w:color="auto" w:fill="auto"/>
                  <w:noWrap/>
                  <w:vAlign w:val="center"/>
                </w:tcPr>
                <w:p w14:paraId="7A979F7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highlight w:val="none"/>
                    </w:rPr>
                  </w:pPr>
                  <w:r>
                    <w:rPr>
                      <w:b/>
                      <w:bCs/>
                      <w:color w:val="auto"/>
                      <w:sz w:val="21"/>
                      <w:szCs w:val="21"/>
                      <w:highlight w:val="none"/>
                    </w:rPr>
                    <w:t>桩号</w:t>
                  </w:r>
                </w:p>
              </w:tc>
              <w:tc>
                <w:tcPr>
                  <w:tcW w:w="535" w:type="pct"/>
                  <w:tcBorders>
                    <w:tl2br w:val="nil"/>
                    <w:tr2bl w:val="nil"/>
                  </w:tcBorders>
                  <w:shd w:val="clear" w:color="auto" w:fill="auto"/>
                  <w:vAlign w:val="center"/>
                </w:tcPr>
                <w:p w14:paraId="6833549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highlight w:val="none"/>
                    </w:rPr>
                  </w:pPr>
                  <w:r>
                    <w:rPr>
                      <w:b/>
                      <w:bCs/>
                      <w:color w:val="auto"/>
                      <w:sz w:val="21"/>
                      <w:szCs w:val="21"/>
                      <w:highlight w:val="none"/>
                    </w:rPr>
                    <w:t>排涝流量（m³/s）</w:t>
                  </w:r>
                </w:p>
              </w:tc>
              <w:tc>
                <w:tcPr>
                  <w:tcW w:w="400" w:type="pct"/>
                  <w:tcBorders>
                    <w:tl2br w:val="nil"/>
                    <w:tr2bl w:val="nil"/>
                  </w:tcBorders>
                  <w:shd w:val="clear" w:color="auto" w:fill="auto"/>
                  <w:noWrap/>
                  <w:vAlign w:val="center"/>
                </w:tcPr>
                <w:p w14:paraId="1A7C668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highlight w:val="none"/>
                    </w:rPr>
                  </w:pPr>
                  <w:r>
                    <w:rPr>
                      <w:b/>
                      <w:bCs/>
                      <w:color w:val="auto"/>
                      <w:sz w:val="21"/>
                      <w:szCs w:val="21"/>
                      <w:highlight w:val="none"/>
                    </w:rPr>
                    <w:t>规格</w:t>
                  </w:r>
                </w:p>
              </w:tc>
              <w:tc>
                <w:tcPr>
                  <w:tcW w:w="399" w:type="pct"/>
                  <w:tcBorders>
                    <w:tl2br w:val="nil"/>
                    <w:tr2bl w:val="nil"/>
                  </w:tcBorders>
                  <w:shd w:val="clear" w:color="auto" w:fill="auto"/>
                  <w:vAlign w:val="center"/>
                </w:tcPr>
                <w:p w14:paraId="09DDA1C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highlight w:val="none"/>
                    </w:rPr>
                  </w:pPr>
                  <w:r>
                    <w:rPr>
                      <w:b/>
                      <w:bCs/>
                      <w:color w:val="auto"/>
                      <w:sz w:val="21"/>
                      <w:szCs w:val="21"/>
                      <w:highlight w:val="none"/>
                    </w:rPr>
                    <w:t>长度</w:t>
                  </w:r>
                  <w:r>
                    <w:rPr>
                      <w:b/>
                      <w:bCs/>
                      <w:color w:val="auto"/>
                      <w:sz w:val="21"/>
                      <w:szCs w:val="21"/>
                      <w:highlight w:val="none"/>
                    </w:rPr>
                    <w:br w:type="textWrapping"/>
                  </w:r>
                  <w:r>
                    <w:rPr>
                      <w:b/>
                      <w:bCs/>
                      <w:color w:val="auto"/>
                      <w:sz w:val="21"/>
                      <w:szCs w:val="21"/>
                      <w:highlight w:val="none"/>
                    </w:rPr>
                    <w:t>（m）</w:t>
                  </w:r>
                </w:p>
              </w:tc>
              <w:tc>
                <w:tcPr>
                  <w:tcW w:w="573" w:type="pct"/>
                  <w:tcBorders>
                    <w:tl2br w:val="nil"/>
                    <w:tr2bl w:val="nil"/>
                  </w:tcBorders>
                  <w:shd w:val="clear" w:color="auto" w:fill="auto"/>
                  <w:vAlign w:val="center"/>
                </w:tcPr>
                <w:p w14:paraId="17A15F93">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highlight w:val="none"/>
                    </w:rPr>
                  </w:pPr>
                  <w:r>
                    <w:rPr>
                      <w:b/>
                      <w:bCs/>
                      <w:color w:val="auto"/>
                      <w:sz w:val="21"/>
                      <w:szCs w:val="21"/>
                      <w:highlight w:val="none"/>
                    </w:rPr>
                    <w:t>进口底板高程（m）</w:t>
                  </w:r>
                </w:p>
              </w:tc>
              <w:tc>
                <w:tcPr>
                  <w:tcW w:w="557" w:type="pct"/>
                  <w:tcBorders>
                    <w:tl2br w:val="nil"/>
                    <w:tr2bl w:val="nil"/>
                  </w:tcBorders>
                  <w:shd w:val="clear" w:color="auto" w:fill="auto"/>
                  <w:vAlign w:val="center"/>
                </w:tcPr>
                <w:p w14:paraId="68E3BDA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highlight w:val="none"/>
                    </w:rPr>
                  </w:pPr>
                  <w:r>
                    <w:rPr>
                      <w:b/>
                      <w:bCs/>
                      <w:color w:val="auto"/>
                      <w:sz w:val="21"/>
                      <w:szCs w:val="21"/>
                      <w:highlight w:val="none"/>
                    </w:rPr>
                    <w:t>出口底板高程（m）</w:t>
                  </w:r>
                </w:p>
              </w:tc>
              <w:tc>
                <w:tcPr>
                  <w:tcW w:w="337" w:type="pct"/>
                  <w:tcBorders>
                    <w:tl2br w:val="nil"/>
                    <w:tr2bl w:val="nil"/>
                  </w:tcBorders>
                  <w:shd w:val="clear" w:color="auto" w:fill="auto"/>
                  <w:noWrap/>
                  <w:vAlign w:val="center"/>
                </w:tcPr>
                <w:p w14:paraId="325E652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highlight w:val="none"/>
                    </w:rPr>
                  </w:pPr>
                  <w:r>
                    <w:rPr>
                      <w:b/>
                      <w:bCs/>
                      <w:color w:val="auto"/>
                      <w:sz w:val="21"/>
                      <w:szCs w:val="21"/>
                      <w:highlight w:val="none"/>
                    </w:rPr>
                    <w:t>底坡</w:t>
                  </w:r>
                </w:p>
              </w:tc>
              <w:tc>
                <w:tcPr>
                  <w:tcW w:w="637" w:type="pct"/>
                  <w:tcBorders>
                    <w:tl2br w:val="nil"/>
                    <w:tr2bl w:val="nil"/>
                  </w:tcBorders>
                  <w:shd w:val="clear" w:color="auto" w:fill="auto"/>
                  <w:noWrap/>
                  <w:vAlign w:val="center"/>
                </w:tcPr>
                <w:p w14:paraId="31116FD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highlight w:val="none"/>
                    </w:rPr>
                  </w:pPr>
                  <w:r>
                    <w:rPr>
                      <w:b/>
                      <w:bCs/>
                      <w:color w:val="auto"/>
                      <w:sz w:val="21"/>
                      <w:szCs w:val="21"/>
                      <w:highlight w:val="none"/>
                    </w:rPr>
                    <w:t>备注</w:t>
                  </w:r>
                </w:p>
              </w:tc>
            </w:tr>
            <w:tr w14:paraId="0377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tcBorders>
                    <w:tl2br w:val="nil"/>
                    <w:tr2bl w:val="nil"/>
                  </w:tcBorders>
                  <w:shd w:val="clear" w:color="auto" w:fill="auto"/>
                  <w:noWrap/>
                  <w:vAlign w:val="center"/>
                </w:tcPr>
                <w:p w14:paraId="4B487723">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1#管涵</w:t>
                  </w:r>
                </w:p>
              </w:tc>
              <w:tc>
                <w:tcPr>
                  <w:tcW w:w="368" w:type="pct"/>
                  <w:tcBorders>
                    <w:tl2br w:val="nil"/>
                    <w:tr2bl w:val="nil"/>
                  </w:tcBorders>
                  <w:shd w:val="clear" w:color="auto" w:fill="auto"/>
                  <w:noWrap/>
                  <w:vAlign w:val="center"/>
                </w:tcPr>
                <w:p w14:paraId="6251AEE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左岸</w:t>
                  </w:r>
                </w:p>
              </w:tc>
              <w:tc>
                <w:tcPr>
                  <w:tcW w:w="645" w:type="pct"/>
                  <w:tcBorders>
                    <w:tl2br w:val="nil"/>
                    <w:tr2bl w:val="nil"/>
                  </w:tcBorders>
                  <w:shd w:val="clear" w:color="auto" w:fill="auto"/>
                  <w:noWrap/>
                  <w:vAlign w:val="center"/>
                </w:tcPr>
                <w:p w14:paraId="4192965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石Z0+478</w:t>
                  </w:r>
                </w:p>
              </w:tc>
              <w:tc>
                <w:tcPr>
                  <w:tcW w:w="535" w:type="pct"/>
                  <w:tcBorders>
                    <w:tl2br w:val="nil"/>
                    <w:tr2bl w:val="nil"/>
                  </w:tcBorders>
                  <w:shd w:val="clear" w:color="auto" w:fill="auto"/>
                  <w:noWrap/>
                  <w:vAlign w:val="center"/>
                </w:tcPr>
                <w:p w14:paraId="0AD3DCD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0.039</w:t>
                  </w:r>
                </w:p>
              </w:tc>
              <w:tc>
                <w:tcPr>
                  <w:tcW w:w="400" w:type="pct"/>
                  <w:tcBorders>
                    <w:tl2br w:val="nil"/>
                    <w:tr2bl w:val="nil"/>
                  </w:tcBorders>
                  <w:shd w:val="clear" w:color="auto" w:fill="auto"/>
                  <w:noWrap/>
                  <w:vAlign w:val="center"/>
                </w:tcPr>
                <w:p w14:paraId="6D1743E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Φ500</w:t>
                  </w:r>
                </w:p>
              </w:tc>
              <w:tc>
                <w:tcPr>
                  <w:tcW w:w="399" w:type="pct"/>
                  <w:tcBorders>
                    <w:tl2br w:val="nil"/>
                    <w:tr2bl w:val="nil"/>
                  </w:tcBorders>
                  <w:shd w:val="clear" w:color="auto" w:fill="auto"/>
                  <w:noWrap/>
                  <w:vAlign w:val="center"/>
                </w:tcPr>
                <w:p w14:paraId="39FE134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5</w:t>
                  </w:r>
                </w:p>
              </w:tc>
              <w:tc>
                <w:tcPr>
                  <w:tcW w:w="573" w:type="pct"/>
                  <w:tcBorders>
                    <w:tl2br w:val="nil"/>
                    <w:tr2bl w:val="nil"/>
                  </w:tcBorders>
                  <w:shd w:val="clear" w:color="auto" w:fill="auto"/>
                  <w:noWrap/>
                  <w:vAlign w:val="center"/>
                </w:tcPr>
                <w:p w14:paraId="6BA8B03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355.45</w:t>
                  </w:r>
                </w:p>
              </w:tc>
              <w:tc>
                <w:tcPr>
                  <w:tcW w:w="557" w:type="pct"/>
                  <w:tcBorders>
                    <w:tl2br w:val="nil"/>
                    <w:tr2bl w:val="nil"/>
                  </w:tcBorders>
                  <w:shd w:val="clear" w:color="auto" w:fill="auto"/>
                  <w:noWrap/>
                  <w:vAlign w:val="center"/>
                </w:tcPr>
                <w:p w14:paraId="245C8B7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353.9</w:t>
                  </w:r>
                </w:p>
              </w:tc>
              <w:tc>
                <w:tcPr>
                  <w:tcW w:w="337" w:type="pct"/>
                  <w:tcBorders>
                    <w:tl2br w:val="nil"/>
                    <w:tr2bl w:val="nil"/>
                  </w:tcBorders>
                  <w:shd w:val="clear" w:color="auto" w:fill="auto"/>
                  <w:noWrap/>
                  <w:vAlign w:val="center"/>
                </w:tcPr>
                <w:p w14:paraId="37ABDFA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0.31</w:t>
                  </w:r>
                </w:p>
              </w:tc>
              <w:tc>
                <w:tcPr>
                  <w:tcW w:w="637" w:type="pct"/>
                  <w:tcBorders>
                    <w:tl2br w:val="nil"/>
                    <w:tr2bl w:val="nil"/>
                  </w:tcBorders>
                  <w:shd w:val="clear" w:color="auto" w:fill="auto"/>
                  <w:noWrap/>
                  <w:vAlign w:val="center"/>
                </w:tcPr>
                <w:p w14:paraId="48DDE58E">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1#排涝区</w:t>
                  </w:r>
                </w:p>
              </w:tc>
            </w:tr>
            <w:tr w14:paraId="4BEE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tcBorders>
                    <w:tl2br w:val="nil"/>
                    <w:tr2bl w:val="nil"/>
                  </w:tcBorders>
                  <w:shd w:val="clear" w:color="auto" w:fill="auto"/>
                  <w:noWrap/>
                  <w:vAlign w:val="center"/>
                </w:tcPr>
                <w:p w14:paraId="187CEFC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2#管涵</w:t>
                  </w:r>
                </w:p>
              </w:tc>
              <w:tc>
                <w:tcPr>
                  <w:tcW w:w="368" w:type="pct"/>
                  <w:tcBorders>
                    <w:tl2br w:val="nil"/>
                    <w:tr2bl w:val="nil"/>
                  </w:tcBorders>
                  <w:shd w:val="clear" w:color="auto" w:fill="auto"/>
                  <w:noWrap/>
                  <w:vAlign w:val="center"/>
                </w:tcPr>
                <w:p w14:paraId="1E68354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左岸</w:t>
                  </w:r>
                </w:p>
              </w:tc>
              <w:tc>
                <w:tcPr>
                  <w:tcW w:w="645" w:type="pct"/>
                  <w:tcBorders>
                    <w:tl2br w:val="nil"/>
                    <w:tr2bl w:val="nil"/>
                  </w:tcBorders>
                  <w:shd w:val="clear" w:color="auto" w:fill="auto"/>
                  <w:noWrap/>
                  <w:vAlign w:val="center"/>
                </w:tcPr>
                <w:p w14:paraId="535E12B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石Z0+765</w:t>
                  </w:r>
                </w:p>
              </w:tc>
              <w:tc>
                <w:tcPr>
                  <w:tcW w:w="535" w:type="pct"/>
                  <w:tcBorders>
                    <w:tl2br w:val="nil"/>
                    <w:tr2bl w:val="nil"/>
                  </w:tcBorders>
                  <w:shd w:val="clear" w:color="auto" w:fill="auto"/>
                  <w:noWrap/>
                  <w:vAlign w:val="center"/>
                </w:tcPr>
                <w:p w14:paraId="2CDF656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0.026</w:t>
                  </w:r>
                </w:p>
              </w:tc>
              <w:tc>
                <w:tcPr>
                  <w:tcW w:w="400" w:type="pct"/>
                  <w:tcBorders>
                    <w:tl2br w:val="nil"/>
                    <w:tr2bl w:val="nil"/>
                  </w:tcBorders>
                  <w:shd w:val="clear" w:color="auto" w:fill="auto"/>
                  <w:noWrap/>
                  <w:vAlign w:val="center"/>
                </w:tcPr>
                <w:p w14:paraId="1E4A7C1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Φ500</w:t>
                  </w:r>
                </w:p>
              </w:tc>
              <w:tc>
                <w:tcPr>
                  <w:tcW w:w="399" w:type="pct"/>
                  <w:tcBorders>
                    <w:tl2br w:val="nil"/>
                    <w:tr2bl w:val="nil"/>
                  </w:tcBorders>
                  <w:shd w:val="clear" w:color="auto" w:fill="auto"/>
                  <w:noWrap/>
                  <w:vAlign w:val="center"/>
                </w:tcPr>
                <w:p w14:paraId="3DC3B4F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5</w:t>
                  </w:r>
                </w:p>
              </w:tc>
              <w:tc>
                <w:tcPr>
                  <w:tcW w:w="573" w:type="pct"/>
                  <w:tcBorders>
                    <w:tl2br w:val="nil"/>
                    <w:tr2bl w:val="nil"/>
                  </w:tcBorders>
                  <w:shd w:val="clear" w:color="auto" w:fill="auto"/>
                  <w:noWrap/>
                  <w:vAlign w:val="center"/>
                </w:tcPr>
                <w:p w14:paraId="0482C60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355.21</w:t>
                  </w:r>
                </w:p>
              </w:tc>
              <w:tc>
                <w:tcPr>
                  <w:tcW w:w="557" w:type="pct"/>
                  <w:tcBorders>
                    <w:tl2br w:val="nil"/>
                    <w:tr2bl w:val="nil"/>
                  </w:tcBorders>
                  <w:shd w:val="clear" w:color="auto" w:fill="auto"/>
                  <w:noWrap/>
                  <w:vAlign w:val="center"/>
                </w:tcPr>
                <w:p w14:paraId="70D8C42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353.86</w:t>
                  </w:r>
                </w:p>
              </w:tc>
              <w:tc>
                <w:tcPr>
                  <w:tcW w:w="337" w:type="pct"/>
                  <w:tcBorders>
                    <w:tl2br w:val="nil"/>
                    <w:tr2bl w:val="nil"/>
                  </w:tcBorders>
                  <w:shd w:val="clear" w:color="auto" w:fill="auto"/>
                  <w:noWrap/>
                  <w:vAlign w:val="center"/>
                </w:tcPr>
                <w:p w14:paraId="2B176AF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0.27</w:t>
                  </w:r>
                </w:p>
              </w:tc>
              <w:tc>
                <w:tcPr>
                  <w:tcW w:w="637" w:type="pct"/>
                  <w:tcBorders>
                    <w:tl2br w:val="nil"/>
                    <w:tr2bl w:val="nil"/>
                  </w:tcBorders>
                  <w:shd w:val="clear" w:color="auto" w:fill="auto"/>
                  <w:noWrap/>
                  <w:vAlign w:val="center"/>
                </w:tcPr>
                <w:p w14:paraId="75EBCAC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2#排涝区</w:t>
                  </w:r>
                </w:p>
              </w:tc>
            </w:tr>
            <w:tr w14:paraId="2988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tcBorders>
                    <w:tl2br w:val="nil"/>
                    <w:tr2bl w:val="nil"/>
                  </w:tcBorders>
                  <w:shd w:val="clear" w:color="auto" w:fill="auto"/>
                  <w:noWrap/>
                  <w:vAlign w:val="center"/>
                </w:tcPr>
                <w:p w14:paraId="249AC75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3#管涵</w:t>
                  </w:r>
                </w:p>
              </w:tc>
              <w:tc>
                <w:tcPr>
                  <w:tcW w:w="368" w:type="pct"/>
                  <w:tcBorders>
                    <w:tl2br w:val="nil"/>
                    <w:tr2bl w:val="nil"/>
                  </w:tcBorders>
                  <w:shd w:val="clear" w:color="auto" w:fill="auto"/>
                  <w:noWrap/>
                  <w:vAlign w:val="center"/>
                </w:tcPr>
                <w:p w14:paraId="0E182F2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右岸</w:t>
                  </w:r>
                </w:p>
              </w:tc>
              <w:tc>
                <w:tcPr>
                  <w:tcW w:w="645" w:type="pct"/>
                  <w:tcBorders>
                    <w:tl2br w:val="nil"/>
                    <w:tr2bl w:val="nil"/>
                  </w:tcBorders>
                  <w:shd w:val="clear" w:color="auto" w:fill="auto"/>
                  <w:noWrap/>
                  <w:vAlign w:val="center"/>
                </w:tcPr>
                <w:p w14:paraId="6813708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石Y0+469</w:t>
                  </w:r>
                </w:p>
              </w:tc>
              <w:tc>
                <w:tcPr>
                  <w:tcW w:w="535" w:type="pct"/>
                  <w:tcBorders>
                    <w:tl2br w:val="nil"/>
                    <w:tr2bl w:val="nil"/>
                  </w:tcBorders>
                  <w:shd w:val="clear" w:color="auto" w:fill="auto"/>
                  <w:noWrap/>
                  <w:vAlign w:val="center"/>
                </w:tcPr>
                <w:p w14:paraId="0A29834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0.035</w:t>
                  </w:r>
                </w:p>
              </w:tc>
              <w:tc>
                <w:tcPr>
                  <w:tcW w:w="400" w:type="pct"/>
                  <w:tcBorders>
                    <w:tl2br w:val="nil"/>
                    <w:tr2bl w:val="nil"/>
                  </w:tcBorders>
                  <w:shd w:val="clear" w:color="auto" w:fill="auto"/>
                  <w:noWrap/>
                  <w:vAlign w:val="center"/>
                </w:tcPr>
                <w:p w14:paraId="5F273490">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Φ500</w:t>
                  </w:r>
                </w:p>
              </w:tc>
              <w:tc>
                <w:tcPr>
                  <w:tcW w:w="399" w:type="pct"/>
                  <w:tcBorders>
                    <w:tl2br w:val="nil"/>
                    <w:tr2bl w:val="nil"/>
                  </w:tcBorders>
                  <w:shd w:val="clear" w:color="auto" w:fill="auto"/>
                  <w:noWrap/>
                  <w:vAlign w:val="center"/>
                </w:tcPr>
                <w:p w14:paraId="25E5A7D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6</w:t>
                  </w:r>
                </w:p>
              </w:tc>
              <w:tc>
                <w:tcPr>
                  <w:tcW w:w="573" w:type="pct"/>
                  <w:tcBorders>
                    <w:tl2br w:val="nil"/>
                    <w:tr2bl w:val="nil"/>
                  </w:tcBorders>
                  <w:shd w:val="clear" w:color="auto" w:fill="auto"/>
                  <w:noWrap/>
                  <w:vAlign w:val="center"/>
                </w:tcPr>
                <w:p w14:paraId="2C64F30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355.4</w:t>
                  </w:r>
                </w:p>
              </w:tc>
              <w:tc>
                <w:tcPr>
                  <w:tcW w:w="557" w:type="pct"/>
                  <w:tcBorders>
                    <w:tl2br w:val="nil"/>
                    <w:tr2bl w:val="nil"/>
                  </w:tcBorders>
                  <w:shd w:val="clear" w:color="auto" w:fill="auto"/>
                  <w:noWrap/>
                  <w:vAlign w:val="center"/>
                </w:tcPr>
                <w:p w14:paraId="0D3994E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353.9</w:t>
                  </w:r>
                </w:p>
              </w:tc>
              <w:tc>
                <w:tcPr>
                  <w:tcW w:w="337" w:type="pct"/>
                  <w:tcBorders>
                    <w:tl2br w:val="nil"/>
                    <w:tr2bl w:val="nil"/>
                  </w:tcBorders>
                  <w:shd w:val="clear" w:color="auto" w:fill="auto"/>
                  <w:noWrap/>
                  <w:vAlign w:val="center"/>
                </w:tcPr>
                <w:p w14:paraId="7B4E1AE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0.25</w:t>
                  </w:r>
                </w:p>
              </w:tc>
              <w:tc>
                <w:tcPr>
                  <w:tcW w:w="637" w:type="pct"/>
                  <w:tcBorders>
                    <w:tl2br w:val="nil"/>
                    <w:tr2bl w:val="nil"/>
                  </w:tcBorders>
                  <w:shd w:val="clear" w:color="auto" w:fill="auto"/>
                  <w:noWrap/>
                  <w:vAlign w:val="center"/>
                </w:tcPr>
                <w:p w14:paraId="711F931E">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3#排涝区</w:t>
                  </w:r>
                </w:p>
              </w:tc>
            </w:tr>
            <w:tr w14:paraId="26FE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tcBorders>
                    <w:tl2br w:val="nil"/>
                    <w:tr2bl w:val="nil"/>
                  </w:tcBorders>
                  <w:shd w:val="clear" w:color="auto" w:fill="auto"/>
                  <w:noWrap/>
                  <w:vAlign w:val="center"/>
                </w:tcPr>
                <w:p w14:paraId="6BDE3053">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4#管涵</w:t>
                  </w:r>
                </w:p>
              </w:tc>
              <w:tc>
                <w:tcPr>
                  <w:tcW w:w="368" w:type="pct"/>
                  <w:tcBorders>
                    <w:tl2br w:val="nil"/>
                    <w:tr2bl w:val="nil"/>
                  </w:tcBorders>
                  <w:shd w:val="clear" w:color="auto" w:fill="auto"/>
                  <w:noWrap/>
                  <w:vAlign w:val="center"/>
                </w:tcPr>
                <w:p w14:paraId="1CB1749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右岸</w:t>
                  </w:r>
                </w:p>
              </w:tc>
              <w:tc>
                <w:tcPr>
                  <w:tcW w:w="645" w:type="pct"/>
                  <w:tcBorders>
                    <w:tl2br w:val="nil"/>
                    <w:tr2bl w:val="nil"/>
                  </w:tcBorders>
                  <w:shd w:val="clear" w:color="auto" w:fill="auto"/>
                  <w:noWrap/>
                  <w:vAlign w:val="center"/>
                </w:tcPr>
                <w:p w14:paraId="2033621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石Y0+877</w:t>
                  </w:r>
                </w:p>
              </w:tc>
              <w:tc>
                <w:tcPr>
                  <w:tcW w:w="535" w:type="pct"/>
                  <w:tcBorders>
                    <w:tl2br w:val="nil"/>
                    <w:tr2bl w:val="nil"/>
                  </w:tcBorders>
                  <w:shd w:val="clear" w:color="auto" w:fill="auto"/>
                  <w:noWrap/>
                  <w:vAlign w:val="center"/>
                </w:tcPr>
                <w:p w14:paraId="23A2E8A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0.041</w:t>
                  </w:r>
                </w:p>
              </w:tc>
              <w:tc>
                <w:tcPr>
                  <w:tcW w:w="400" w:type="pct"/>
                  <w:tcBorders>
                    <w:tl2br w:val="nil"/>
                    <w:tr2bl w:val="nil"/>
                  </w:tcBorders>
                  <w:shd w:val="clear" w:color="auto" w:fill="auto"/>
                  <w:noWrap/>
                  <w:vAlign w:val="center"/>
                </w:tcPr>
                <w:p w14:paraId="5EBE30C3">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Φ500</w:t>
                  </w:r>
                </w:p>
              </w:tc>
              <w:tc>
                <w:tcPr>
                  <w:tcW w:w="399" w:type="pct"/>
                  <w:tcBorders>
                    <w:tl2br w:val="nil"/>
                    <w:tr2bl w:val="nil"/>
                  </w:tcBorders>
                  <w:shd w:val="clear" w:color="auto" w:fill="auto"/>
                  <w:noWrap/>
                  <w:vAlign w:val="center"/>
                </w:tcPr>
                <w:p w14:paraId="1D79CE7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7</w:t>
                  </w:r>
                </w:p>
              </w:tc>
              <w:tc>
                <w:tcPr>
                  <w:tcW w:w="573" w:type="pct"/>
                  <w:tcBorders>
                    <w:tl2br w:val="nil"/>
                    <w:tr2bl w:val="nil"/>
                  </w:tcBorders>
                  <w:shd w:val="clear" w:color="auto" w:fill="auto"/>
                  <w:noWrap/>
                  <w:vAlign w:val="center"/>
                </w:tcPr>
                <w:p w14:paraId="07A52AA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355.58</w:t>
                  </w:r>
                </w:p>
              </w:tc>
              <w:tc>
                <w:tcPr>
                  <w:tcW w:w="557" w:type="pct"/>
                  <w:tcBorders>
                    <w:tl2br w:val="nil"/>
                    <w:tr2bl w:val="nil"/>
                  </w:tcBorders>
                  <w:shd w:val="clear" w:color="auto" w:fill="auto"/>
                  <w:noWrap/>
                  <w:vAlign w:val="center"/>
                </w:tcPr>
                <w:p w14:paraId="6527846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353.76</w:t>
                  </w:r>
                </w:p>
              </w:tc>
              <w:tc>
                <w:tcPr>
                  <w:tcW w:w="337" w:type="pct"/>
                  <w:tcBorders>
                    <w:tl2br w:val="nil"/>
                    <w:tr2bl w:val="nil"/>
                  </w:tcBorders>
                  <w:shd w:val="clear" w:color="auto" w:fill="auto"/>
                  <w:noWrap/>
                  <w:vAlign w:val="center"/>
                </w:tcPr>
                <w:p w14:paraId="5764547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0.26</w:t>
                  </w:r>
                </w:p>
              </w:tc>
              <w:tc>
                <w:tcPr>
                  <w:tcW w:w="637" w:type="pct"/>
                  <w:tcBorders>
                    <w:tl2br w:val="nil"/>
                    <w:tr2bl w:val="nil"/>
                  </w:tcBorders>
                  <w:shd w:val="clear" w:color="auto" w:fill="auto"/>
                  <w:noWrap/>
                  <w:vAlign w:val="center"/>
                </w:tcPr>
                <w:p w14:paraId="2E8E3CC0">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4#排涝区</w:t>
                  </w:r>
                </w:p>
              </w:tc>
            </w:tr>
            <w:tr w14:paraId="5FBC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tcBorders>
                    <w:tl2br w:val="nil"/>
                    <w:tr2bl w:val="nil"/>
                  </w:tcBorders>
                  <w:shd w:val="clear" w:color="auto" w:fill="auto"/>
                  <w:noWrap/>
                  <w:vAlign w:val="center"/>
                </w:tcPr>
                <w:p w14:paraId="1494FED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5#管涵</w:t>
                  </w:r>
                </w:p>
              </w:tc>
              <w:tc>
                <w:tcPr>
                  <w:tcW w:w="368" w:type="pct"/>
                  <w:tcBorders>
                    <w:tl2br w:val="nil"/>
                    <w:tr2bl w:val="nil"/>
                  </w:tcBorders>
                  <w:shd w:val="clear" w:color="auto" w:fill="auto"/>
                  <w:noWrap/>
                  <w:vAlign w:val="center"/>
                </w:tcPr>
                <w:p w14:paraId="251DA14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右岸</w:t>
                  </w:r>
                </w:p>
              </w:tc>
              <w:tc>
                <w:tcPr>
                  <w:tcW w:w="645" w:type="pct"/>
                  <w:tcBorders>
                    <w:tl2br w:val="nil"/>
                    <w:tr2bl w:val="nil"/>
                  </w:tcBorders>
                  <w:shd w:val="clear" w:color="auto" w:fill="auto"/>
                  <w:noWrap/>
                  <w:vAlign w:val="center"/>
                </w:tcPr>
                <w:p w14:paraId="76DFD92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石Y0+976</w:t>
                  </w:r>
                </w:p>
              </w:tc>
              <w:tc>
                <w:tcPr>
                  <w:tcW w:w="535" w:type="pct"/>
                  <w:tcBorders>
                    <w:tl2br w:val="nil"/>
                    <w:tr2bl w:val="nil"/>
                  </w:tcBorders>
                  <w:shd w:val="clear" w:color="auto" w:fill="auto"/>
                  <w:noWrap/>
                  <w:vAlign w:val="center"/>
                </w:tcPr>
                <w:p w14:paraId="04D08A9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0.031</w:t>
                  </w:r>
                </w:p>
              </w:tc>
              <w:tc>
                <w:tcPr>
                  <w:tcW w:w="400" w:type="pct"/>
                  <w:tcBorders>
                    <w:tl2br w:val="nil"/>
                    <w:tr2bl w:val="nil"/>
                  </w:tcBorders>
                  <w:shd w:val="clear" w:color="auto" w:fill="auto"/>
                  <w:noWrap/>
                  <w:vAlign w:val="center"/>
                </w:tcPr>
                <w:p w14:paraId="4D02B69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Φ500</w:t>
                  </w:r>
                </w:p>
              </w:tc>
              <w:tc>
                <w:tcPr>
                  <w:tcW w:w="399" w:type="pct"/>
                  <w:tcBorders>
                    <w:tl2br w:val="nil"/>
                    <w:tr2bl w:val="nil"/>
                  </w:tcBorders>
                  <w:shd w:val="clear" w:color="auto" w:fill="auto"/>
                  <w:noWrap/>
                  <w:vAlign w:val="center"/>
                </w:tcPr>
                <w:p w14:paraId="2E4AEF5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7</w:t>
                  </w:r>
                </w:p>
              </w:tc>
              <w:tc>
                <w:tcPr>
                  <w:tcW w:w="573" w:type="pct"/>
                  <w:tcBorders>
                    <w:tl2br w:val="nil"/>
                    <w:tr2bl w:val="nil"/>
                  </w:tcBorders>
                  <w:shd w:val="clear" w:color="auto" w:fill="auto"/>
                  <w:noWrap/>
                  <w:vAlign w:val="center"/>
                </w:tcPr>
                <w:p w14:paraId="1BC10CC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355.26</w:t>
                  </w:r>
                </w:p>
              </w:tc>
              <w:tc>
                <w:tcPr>
                  <w:tcW w:w="557" w:type="pct"/>
                  <w:tcBorders>
                    <w:tl2br w:val="nil"/>
                    <w:tr2bl w:val="nil"/>
                  </w:tcBorders>
                  <w:shd w:val="clear" w:color="auto" w:fill="auto"/>
                  <w:noWrap/>
                  <w:vAlign w:val="center"/>
                </w:tcPr>
                <w:p w14:paraId="7C9C1C0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353.72</w:t>
                  </w:r>
                </w:p>
              </w:tc>
              <w:tc>
                <w:tcPr>
                  <w:tcW w:w="337" w:type="pct"/>
                  <w:tcBorders>
                    <w:tl2br w:val="nil"/>
                    <w:tr2bl w:val="nil"/>
                  </w:tcBorders>
                  <w:shd w:val="clear" w:color="auto" w:fill="auto"/>
                  <w:noWrap/>
                  <w:vAlign w:val="center"/>
                </w:tcPr>
                <w:p w14:paraId="4C234DA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0.22</w:t>
                  </w:r>
                </w:p>
              </w:tc>
              <w:tc>
                <w:tcPr>
                  <w:tcW w:w="637" w:type="pct"/>
                  <w:tcBorders>
                    <w:tl2br w:val="nil"/>
                    <w:tr2bl w:val="nil"/>
                  </w:tcBorders>
                  <w:shd w:val="clear" w:color="auto" w:fill="auto"/>
                  <w:noWrap/>
                  <w:vAlign w:val="center"/>
                </w:tcPr>
                <w:p w14:paraId="2A5D7F83">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5#排涝区</w:t>
                  </w:r>
                </w:p>
              </w:tc>
            </w:tr>
            <w:tr w14:paraId="187A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tcBorders>
                    <w:tl2br w:val="nil"/>
                    <w:tr2bl w:val="nil"/>
                  </w:tcBorders>
                  <w:shd w:val="clear" w:color="auto" w:fill="auto"/>
                  <w:noWrap/>
                  <w:vAlign w:val="center"/>
                </w:tcPr>
                <w:p w14:paraId="133BBDF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6#管涵</w:t>
                  </w:r>
                </w:p>
              </w:tc>
              <w:tc>
                <w:tcPr>
                  <w:tcW w:w="368" w:type="pct"/>
                  <w:tcBorders>
                    <w:tl2br w:val="nil"/>
                    <w:tr2bl w:val="nil"/>
                  </w:tcBorders>
                  <w:shd w:val="clear" w:color="auto" w:fill="auto"/>
                  <w:noWrap/>
                  <w:vAlign w:val="center"/>
                </w:tcPr>
                <w:p w14:paraId="5B5FA99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右岸</w:t>
                  </w:r>
                </w:p>
              </w:tc>
              <w:tc>
                <w:tcPr>
                  <w:tcW w:w="645" w:type="pct"/>
                  <w:tcBorders>
                    <w:tl2br w:val="nil"/>
                    <w:tr2bl w:val="nil"/>
                  </w:tcBorders>
                  <w:shd w:val="clear" w:color="auto" w:fill="auto"/>
                  <w:noWrap/>
                  <w:vAlign w:val="center"/>
                </w:tcPr>
                <w:p w14:paraId="2C10E19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石Y1+177</w:t>
                  </w:r>
                </w:p>
              </w:tc>
              <w:tc>
                <w:tcPr>
                  <w:tcW w:w="535" w:type="pct"/>
                  <w:tcBorders>
                    <w:tl2br w:val="nil"/>
                    <w:tr2bl w:val="nil"/>
                  </w:tcBorders>
                  <w:shd w:val="clear" w:color="auto" w:fill="auto"/>
                  <w:noWrap/>
                  <w:vAlign w:val="center"/>
                </w:tcPr>
                <w:p w14:paraId="5CB6A74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0.026</w:t>
                  </w:r>
                </w:p>
              </w:tc>
              <w:tc>
                <w:tcPr>
                  <w:tcW w:w="400" w:type="pct"/>
                  <w:tcBorders>
                    <w:tl2br w:val="nil"/>
                    <w:tr2bl w:val="nil"/>
                  </w:tcBorders>
                  <w:shd w:val="clear" w:color="auto" w:fill="auto"/>
                  <w:noWrap/>
                  <w:vAlign w:val="center"/>
                </w:tcPr>
                <w:p w14:paraId="0CC1387E">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Φ500</w:t>
                  </w:r>
                </w:p>
              </w:tc>
              <w:tc>
                <w:tcPr>
                  <w:tcW w:w="399" w:type="pct"/>
                  <w:tcBorders>
                    <w:tl2br w:val="nil"/>
                    <w:tr2bl w:val="nil"/>
                  </w:tcBorders>
                  <w:shd w:val="clear" w:color="auto" w:fill="auto"/>
                  <w:noWrap/>
                  <w:vAlign w:val="center"/>
                </w:tcPr>
                <w:p w14:paraId="79185790">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6</w:t>
                  </w:r>
                </w:p>
              </w:tc>
              <w:tc>
                <w:tcPr>
                  <w:tcW w:w="573" w:type="pct"/>
                  <w:tcBorders>
                    <w:tl2br w:val="nil"/>
                    <w:tr2bl w:val="nil"/>
                  </w:tcBorders>
                  <w:shd w:val="clear" w:color="auto" w:fill="auto"/>
                  <w:noWrap/>
                  <w:vAlign w:val="center"/>
                </w:tcPr>
                <w:p w14:paraId="13EBEE5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355.3</w:t>
                  </w:r>
                </w:p>
              </w:tc>
              <w:tc>
                <w:tcPr>
                  <w:tcW w:w="557" w:type="pct"/>
                  <w:tcBorders>
                    <w:tl2br w:val="nil"/>
                    <w:tr2bl w:val="nil"/>
                  </w:tcBorders>
                  <w:shd w:val="clear" w:color="auto" w:fill="auto"/>
                  <w:noWrap/>
                  <w:vAlign w:val="center"/>
                </w:tcPr>
                <w:p w14:paraId="1DE4EDF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353.68</w:t>
                  </w:r>
                </w:p>
              </w:tc>
              <w:tc>
                <w:tcPr>
                  <w:tcW w:w="337" w:type="pct"/>
                  <w:tcBorders>
                    <w:tl2br w:val="nil"/>
                    <w:tr2bl w:val="nil"/>
                  </w:tcBorders>
                  <w:shd w:val="clear" w:color="auto" w:fill="auto"/>
                  <w:noWrap/>
                  <w:vAlign w:val="center"/>
                </w:tcPr>
                <w:p w14:paraId="5B220E0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0.27</w:t>
                  </w:r>
                </w:p>
              </w:tc>
              <w:tc>
                <w:tcPr>
                  <w:tcW w:w="637" w:type="pct"/>
                  <w:tcBorders>
                    <w:tl2br w:val="nil"/>
                    <w:tr2bl w:val="nil"/>
                  </w:tcBorders>
                  <w:shd w:val="clear" w:color="auto" w:fill="auto"/>
                  <w:noWrap/>
                  <w:vAlign w:val="center"/>
                </w:tcPr>
                <w:p w14:paraId="50AA5F63">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6#排涝区</w:t>
                  </w:r>
                </w:p>
              </w:tc>
            </w:tr>
            <w:tr w14:paraId="66538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tcBorders>
                    <w:tl2br w:val="nil"/>
                    <w:tr2bl w:val="nil"/>
                  </w:tcBorders>
                  <w:shd w:val="clear" w:color="auto" w:fill="auto"/>
                  <w:noWrap/>
                  <w:vAlign w:val="center"/>
                </w:tcPr>
                <w:p w14:paraId="3596642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7#管涵</w:t>
                  </w:r>
                </w:p>
              </w:tc>
              <w:tc>
                <w:tcPr>
                  <w:tcW w:w="368" w:type="pct"/>
                  <w:tcBorders>
                    <w:tl2br w:val="nil"/>
                    <w:tr2bl w:val="nil"/>
                  </w:tcBorders>
                  <w:shd w:val="clear" w:color="auto" w:fill="auto"/>
                  <w:noWrap/>
                  <w:vAlign w:val="center"/>
                </w:tcPr>
                <w:p w14:paraId="58251F7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右岸</w:t>
                  </w:r>
                </w:p>
              </w:tc>
              <w:tc>
                <w:tcPr>
                  <w:tcW w:w="645" w:type="pct"/>
                  <w:tcBorders>
                    <w:tl2br w:val="nil"/>
                    <w:tr2bl w:val="nil"/>
                  </w:tcBorders>
                  <w:shd w:val="clear" w:color="auto" w:fill="auto"/>
                  <w:noWrap/>
                  <w:vAlign w:val="center"/>
                </w:tcPr>
                <w:p w14:paraId="74A58FB3">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石Y1+388</w:t>
                  </w:r>
                </w:p>
              </w:tc>
              <w:tc>
                <w:tcPr>
                  <w:tcW w:w="535" w:type="pct"/>
                  <w:tcBorders>
                    <w:tl2br w:val="nil"/>
                    <w:tr2bl w:val="nil"/>
                  </w:tcBorders>
                  <w:shd w:val="clear" w:color="auto" w:fill="auto"/>
                  <w:noWrap/>
                  <w:vAlign w:val="center"/>
                </w:tcPr>
                <w:p w14:paraId="32265E3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0.036</w:t>
                  </w:r>
                </w:p>
              </w:tc>
              <w:tc>
                <w:tcPr>
                  <w:tcW w:w="400" w:type="pct"/>
                  <w:tcBorders>
                    <w:tl2br w:val="nil"/>
                    <w:tr2bl w:val="nil"/>
                  </w:tcBorders>
                  <w:shd w:val="clear" w:color="auto" w:fill="auto"/>
                  <w:noWrap/>
                  <w:vAlign w:val="center"/>
                </w:tcPr>
                <w:p w14:paraId="6046202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Φ500</w:t>
                  </w:r>
                </w:p>
              </w:tc>
              <w:tc>
                <w:tcPr>
                  <w:tcW w:w="399" w:type="pct"/>
                  <w:tcBorders>
                    <w:tl2br w:val="nil"/>
                    <w:tr2bl w:val="nil"/>
                  </w:tcBorders>
                  <w:shd w:val="clear" w:color="auto" w:fill="auto"/>
                  <w:noWrap/>
                  <w:vAlign w:val="center"/>
                </w:tcPr>
                <w:p w14:paraId="0B62165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5</w:t>
                  </w:r>
                </w:p>
              </w:tc>
              <w:tc>
                <w:tcPr>
                  <w:tcW w:w="573" w:type="pct"/>
                  <w:tcBorders>
                    <w:tl2br w:val="nil"/>
                    <w:tr2bl w:val="nil"/>
                  </w:tcBorders>
                  <w:shd w:val="clear" w:color="auto" w:fill="auto"/>
                  <w:noWrap/>
                  <w:vAlign w:val="center"/>
                </w:tcPr>
                <w:p w14:paraId="6CFAE86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355.19</w:t>
                  </w:r>
                </w:p>
              </w:tc>
              <w:tc>
                <w:tcPr>
                  <w:tcW w:w="557" w:type="pct"/>
                  <w:tcBorders>
                    <w:tl2br w:val="nil"/>
                    <w:tr2bl w:val="nil"/>
                  </w:tcBorders>
                  <w:shd w:val="clear" w:color="auto" w:fill="auto"/>
                  <w:noWrap/>
                  <w:vAlign w:val="center"/>
                </w:tcPr>
                <w:p w14:paraId="43102C6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353.64</w:t>
                  </w:r>
                </w:p>
              </w:tc>
              <w:tc>
                <w:tcPr>
                  <w:tcW w:w="337" w:type="pct"/>
                  <w:tcBorders>
                    <w:tl2br w:val="nil"/>
                    <w:tr2bl w:val="nil"/>
                  </w:tcBorders>
                  <w:shd w:val="clear" w:color="auto" w:fill="auto"/>
                  <w:noWrap/>
                  <w:vAlign w:val="center"/>
                </w:tcPr>
                <w:p w14:paraId="425391D3">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0.31</w:t>
                  </w:r>
                </w:p>
              </w:tc>
              <w:tc>
                <w:tcPr>
                  <w:tcW w:w="637" w:type="pct"/>
                  <w:tcBorders>
                    <w:tl2br w:val="nil"/>
                    <w:tr2bl w:val="nil"/>
                  </w:tcBorders>
                  <w:shd w:val="clear" w:color="auto" w:fill="auto"/>
                  <w:noWrap/>
                  <w:vAlign w:val="center"/>
                </w:tcPr>
                <w:p w14:paraId="7D23926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7#排涝区</w:t>
                  </w:r>
                </w:p>
              </w:tc>
            </w:tr>
            <w:tr w14:paraId="02D2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tcBorders>
                    <w:tl2br w:val="nil"/>
                    <w:tr2bl w:val="nil"/>
                  </w:tcBorders>
                  <w:shd w:val="clear" w:color="auto" w:fill="auto"/>
                  <w:noWrap/>
                  <w:vAlign w:val="center"/>
                </w:tcPr>
                <w:p w14:paraId="7CC0BBD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8#管涵</w:t>
                  </w:r>
                </w:p>
              </w:tc>
              <w:tc>
                <w:tcPr>
                  <w:tcW w:w="368" w:type="pct"/>
                  <w:tcBorders>
                    <w:tl2br w:val="nil"/>
                    <w:tr2bl w:val="nil"/>
                  </w:tcBorders>
                  <w:shd w:val="clear" w:color="auto" w:fill="auto"/>
                  <w:noWrap/>
                  <w:vAlign w:val="center"/>
                </w:tcPr>
                <w:p w14:paraId="5F3C76B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右岸</w:t>
                  </w:r>
                </w:p>
              </w:tc>
              <w:tc>
                <w:tcPr>
                  <w:tcW w:w="645" w:type="pct"/>
                  <w:tcBorders>
                    <w:tl2br w:val="nil"/>
                    <w:tr2bl w:val="nil"/>
                  </w:tcBorders>
                  <w:shd w:val="clear" w:color="auto" w:fill="auto"/>
                  <w:noWrap/>
                  <w:vAlign w:val="center"/>
                </w:tcPr>
                <w:p w14:paraId="7BF64A5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石Y1+664</w:t>
                  </w:r>
                </w:p>
              </w:tc>
              <w:tc>
                <w:tcPr>
                  <w:tcW w:w="535" w:type="pct"/>
                  <w:tcBorders>
                    <w:tl2br w:val="nil"/>
                    <w:tr2bl w:val="nil"/>
                  </w:tcBorders>
                  <w:shd w:val="clear" w:color="auto" w:fill="auto"/>
                  <w:noWrap/>
                  <w:vAlign w:val="center"/>
                </w:tcPr>
                <w:p w14:paraId="0EDDAE7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0.018</w:t>
                  </w:r>
                </w:p>
              </w:tc>
              <w:tc>
                <w:tcPr>
                  <w:tcW w:w="400" w:type="pct"/>
                  <w:tcBorders>
                    <w:tl2br w:val="nil"/>
                    <w:tr2bl w:val="nil"/>
                  </w:tcBorders>
                  <w:shd w:val="clear" w:color="auto" w:fill="auto"/>
                  <w:noWrap/>
                  <w:vAlign w:val="center"/>
                </w:tcPr>
                <w:p w14:paraId="41A909A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Φ500</w:t>
                  </w:r>
                </w:p>
              </w:tc>
              <w:tc>
                <w:tcPr>
                  <w:tcW w:w="399" w:type="pct"/>
                  <w:tcBorders>
                    <w:tl2br w:val="nil"/>
                    <w:tr2bl w:val="nil"/>
                  </w:tcBorders>
                  <w:shd w:val="clear" w:color="auto" w:fill="auto"/>
                  <w:noWrap/>
                  <w:vAlign w:val="center"/>
                </w:tcPr>
                <w:p w14:paraId="57D9565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5</w:t>
                  </w:r>
                </w:p>
              </w:tc>
              <w:tc>
                <w:tcPr>
                  <w:tcW w:w="573" w:type="pct"/>
                  <w:tcBorders>
                    <w:tl2br w:val="nil"/>
                    <w:tr2bl w:val="nil"/>
                  </w:tcBorders>
                  <w:shd w:val="clear" w:color="auto" w:fill="auto"/>
                  <w:noWrap/>
                  <w:vAlign w:val="center"/>
                </w:tcPr>
                <w:p w14:paraId="0EBF25D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354.35</w:t>
                  </w:r>
                </w:p>
              </w:tc>
              <w:tc>
                <w:tcPr>
                  <w:tcW w:w="557" w:type="pct"/>
                  <w:tcBorders>
                    <w:tl2br w:val="nil"/>
                    <w:tr2bl w:val="nil"/>
                  </w:tcBorders>
                  <w:shd w:val="clear" w:color="auto" w:fill="auto"/>
                  <w:noWrap/>
                  <w:vAlign w:val="center"/>
                </w:tcPr>
                <w:p w14:paraId="4AF88AA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353.6</w:t>
                  </w:r>
                </w:p>
              </w:tc>
              <w:tc>
                <w:tcPr>
                  <w:tcW w:w="337" w:type="pct"/>
                  <w:tcBorders>
                    <w:tl2br w:val="nil"/>
                    <w:tr2bl w:val="nil"/>
                  </w:tcBorders>
                  <w:shd w:val="clear" w:color="auto" w:fill="auto"/>
                  <w:noWrap/>
                  <w:vAlign w:val="center"/>
                </w:tcPr>
                <w:p w14:paraId="2A97EA1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0.15</w:t>
                  </w:r>
                </w:p>
              </w:tc>
              <w:tc>
                <w:tcPr>
                  <w:tcW w:w="637" w:type="pct"/>
                  <w:tcBorders>
                    <w:tl2br w:val="nil"/>
                    <w:tr2bl w:val="nil"/>
                  </w:tcBorders>
                  <w:shd w:val="clear" w:color="auto" w:fill="auto"/>
                  <w:noWrap/>
                  <w:vAlign w:val="center"/>
                </w:tcPr>
                <w:p w14:paraId="0418A1D0">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8#排涝区</w:t>
                  </w:r>
                </w:p>
              </w:tc>
            </w:tr>
            <w:tr w14:paraId="2468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tcBorders>
                    <w:tl2br w:val="nil"/>
                    <w:tr2bl w:val="nil"/>
                  </w:tcBorders>
                  <w:shd w:val="clear" w:color="auto" w:fill="auto"/>
                  <w:noWrap/>
                  <w:vAlign w:val="center"/>
                </w:tcPr>
                <w:p w14:paraId="5C3411F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9#管涵</w:t>
                  </w:r>
                </w:p>
              </w:tc>
              <w:tc>
                <w:tcPr>
                  <w:tcW w:w="368" w:type="pct"/>
                  <w:tcBorders>
                    <w:tl2br w:val="nil"/>
                    <w:tr2bl w:val="nil"/>
                  </w:tcBorders>
                  <w:shd w:val="clear" w:color="auto" w:fill="auto"/>
                  <w:noWrap/>
                  <w:vAlign w:val="center"/>
                </w:tcPr>
                <w:p w14:paraId="55216B9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左岸</w:t>
                  </w:r>
                </w:p>
              </w:tc>
              <w:tc>
                <w:tcPr>
                  <w:tcW w:w="645" w:type="pct"/>
                  <w:tcBorders>
                    <w:tl2br w:val="nil"/>
                    <w:tr2bl w:val="nil"/>
                  </w:tcBorders>
                  <w:shd w:val="clear" w:color="auto" w:fill="auto"/>
                  <w:noWrap/>
                  <w:vAlign w:val="center"/>
                </w:tcPr>
                <w:p w14:paraId="3D793D3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双Z0+316</w:t>
                  </w:r>
                </w:p>
              </w:tc>
              <w:tc>
                <w:tcPr>
                  <w:tcW w:w="535" w:type="pct"/>
                  <w:tcBorders>
                    <w:tl2br w:val="nil"/>
                    <w:tr2bl w:val="nil"/>
                  </w:tcBorders>
                  <w:shd w:val="clear" w:color="auto" w:fill="auto"/>
                  <w:noWrap/>
                  <w:vAlign w:val="center"/>
                </w:tcPr>
                <w:p w14:paraId="68A1B8C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0.019</w:t>
                  </w:r>
                </w:p>
              </w:tc>
              <w:tc>
                <w:tcPr>
                  <w:tcW w:w="400" w:type="pct"/>
                  <w:tcBorders>
                    <w:tl2br w:val="nil"/>
                    <w:tr2bl w:val="nil"/>
                  </w:tcBorders>
                  <w:shd w:val="clear" w:color="auto" w:fill="auto"/>
                  <w:noWrap/>
                  <w:vAlign w:val="center"/>
                </w:tcPr>
                <w:p w14:paraId="7227A74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Φ500</w:t>
                  </w:r>
                </w:p>
              </w:tc>
              <w:tc>
                <w:tcPr>
                  <w:tcW w:w="399" w:type="pct"/>
                  <w:tcBorders>
                    <w:tl2br w:val="nil"/>
                    <w:tr2bl w:val="nil"/>
                  </w:tcBorders>
                  <w:shd w:val="clear" w:color="auto" w:fill="auto"/>
                  <w:noWrap/>
                  <w:vAlign w:val="center"/>
                </w:tcPr>
                <w:p w14:paraId="37CC9733">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6</w:t>
                  </w:r>
                </w:p>
              </w:tc>
              <w:tc>
                <w:tcPr>
                  <w:tcW w:w="573" w:type="pct"/>
                  <w:tcBorders>
                    <w:tl2br w:val="nil"/>
                    <w:tr2bl w:val="nil"/>
                  </w:tcBorders>
                  <w:shd w:val="clear" w:color="auto" w:fill="auto"/>
                  <w:noWrap/>
                  <w:vAlign w:val="center"/>
                </w:tcPr>
                <w:p w14:paraId="5170791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307.18</w:t>
                  </w:r>
                </w:p>
              </w:tc>
              <w:tc>
                <w:tcPr>
                  <w:tcW w:w="557" w:type="pct"/>
                  <w:tcBorders>
                    <w:tl2br w:val="nil"/>
                    <w:tr2bl w:val="nil"/>
                  </w:tcBorders>
                  <w:shd w:val="clear" w:color="auto" w:fill="auto"/>
                  <w:noWrap/>
                  <w:vAlign w:val="center"/>
                </w:tcPr>
                <w:p w14:paraId="486901DE">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306.22</w:t>
                  </w:r>
                </w:p>
              </w:tc>
              <w:tc>
                <w:tcPr>
                  <w:tcW w:w="337" w:type="pct"/>
                  <w:tcBorders>
                    <w:tl2br w:val="nil"/>
                    <w:tr2bl w:val="nil"/>
                  </w:tcBorders>
                  <w:shd w:val="clear" w:color="auto" w:fill="auto"/>
                  <w:noWrap/>
                  <w:vAlign w:val="center"/>
                </w:tcPr>
                <w:p w14:paraId="067DDD10">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0.16</w:t>
                  </w:r>
                </w:p>
              </w:tc>
              <w:tc>
                <w:tcPr>
                  <w:tcW w:w="637" w:type="pct"/>
                  <w:tcBorders>
                    <w:tl2br w:val="nil"/>
                    <w:tr2bl w:val="nil"/>
                  </w:tcBorders>
                  <w:shd w:val="clear" w:color="auto" w:fill="auto"/>
                  <w:noWrap/>
                  <w:vAlign w:val="center"/>
                </w:tcPr>
                <w:p w14:paraId="403D384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9#排涝区</w:t>
                  </w:r>
                </w:p>
              </w:tc>
            </w:tr>
            <w:tr w14:paraId="7BD94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tcBorders>
                    <w:tl2br w:val="nil"/>
                    <w:tr2bl w:val="nil"/>
                  </w:tcBorders>
                  <w:shd w:val="clear" w:color="auto" w:fill="auto"/>
                  <w:noWrap/>
                  <w:vAlign w:val="center"/>
                </w:tcPr>
                <w:p w14:paraId="1EC23FC7">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10#管涵</w:t>
                  </w:r>
                </w:p>
              </w:tc>
              <w:tc>
                <w:tcPr>
                  <w:tcW w:w="368" w:type="pct"/>
                  <w:tcBorders>
                    <w:tl2br w:val="nil"/>
                    <w:tr2bl w:val="nil"/>
                  </w:tcBorders>
                  <w:shd w:val="clear" w:color="auto" w:fill="auto"/>
                  <w:noWrap/>
                  <w:vAlign w:val="center"/>
                </w:tcPr>
                <w:p w14:paraId="6D53E01E">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左岸</w:t>
                  </w:r>
                </w:p>
              </w:tc>
              <w:tc>
                <w:tcPr>
                  <w:tcW w:w="645" w:type="pct"/>
                  <w:tcBorders>
                    <w:tl2br w:val="nil"/>
                    <w:tr2bl w:val="nil"/>
                  </w:tcBorders>
                  <w:shd w:val="clear" w:color="auto" w:fill="auto"/>
                  <w:noWrap/>
                  <w:vAlign w:val="center"/>
                </w:tcPr>
                <w:p w14:paraId="01E31CE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highlight w:val="none"/>
                    </w:rPr>
                    <w:t>双Z0+926</w:t>
                  </w:r>
                </w:p>
              </w:tc>
              <w:tc>
                <w:tcPr>
                  <w:tcW w:w="535" w:type="pct"/>
                  <w:tcBorders>
                    <w:tl2br w:val="nil"/>
                    <w:tr2bl w:val="nil"/>
                  </w:tcBorders>
                  <w:shd w:val="clear" w:color="auto" w:fill="auto"/>
                  <w:noWrap/>
                  <w:vAlign w:val="center"/>
                </w:tcPr>
                <w:p w14:paraId="5B9B8AAA">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0.025</w:t>
                  </w:r>
                </w:p>
              </w:tc>
              <w:tc>
                <w:tcPr>
                  <w:tcW w:w="400" w:type="pct"/>
                  <w:tcBorders>
                    <w:tl2br w:val="nil"/>
                    <w:tr2bl w:val="nil"/>
                  </w:tcBorders>
                  <w:shd w:val="clear" w:color="auto" w:fill="auto"/>
                  <w:noWrap/>
                  <w:vAlign w:val="center"/>
                </w:tcPr>
                <w:p w14:paraId="42A7524F">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Φ500</w:t>
                  </w:r>
                </w:p>
              </w:tc>
              <w:tc>
                <w:tcPr>
                  <w:tcW w:w="399" w:type="pct"/>
                  <w:tcBorders>
                    <w:tl2br w:val="nil"/>
                    <w:tr2bl w:val="nil"/>
                  </w:tcBorders>
                  <w:shd w:val="clear" w:color="auto" w:fill="auto"/>
                  <w:noWrap/>
                  <w:vAlign w:val="center"/>
                </w:tcPr>
                <w:p w14:paraId="36FBE066">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7</w:t>
                  </w:r>
                </w:p>
              </w:tc>
              <w:tc>
                <w:tcPr>
                  <w:tcW w:w="573" w:type="pct"/>
                  <w:tcBorders>
                    <w:tl2br w:val="nil"/>
                    <w:tr2bl w:val="nil"/>
                  </w:tcBorders>
                  <w:shd w:val="clear" w:color="auto" w:fill="auto"/>
                  <w:noWrap/>
                  <w:vAlign w:val="center"/>
                </w:tcPr>
                <w:p w14:paraId="3E57AC0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306.44</w:t>
                  </w:r>
                </w:p>
              </w:tc>
              <w:tc>
                <w:tcPr>
                  <w:tcW w:w="557" w:type="pct"/>
                  <w:tcBorders>
                    <w:tl2br w:val="nil"/>
                    <w:tr2bl w:val="nil"/>
                  </w:tcBorders>
                  <w:shd w:val="clear" w:color="auto" w:fill="auto"/>
                  <w:noWrap/>
                  <w:vAlign w:val="center"/>
                </w:tcPr>
                <w:p w14:paraId="74C30DA2">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304.76</w:t>
                  </w:r>
                </w:p>
              </w:tc>
              <w:tc>
                <w:tcPr>
                  <w:tcW w:w="337" w:type="pct"/>
                  <w:tcBorders>
                    <w:tl2br w:val="nil"/>
                    <w:tr2bl w:val="nil"/>
                  </w:tcBorders>
                  <w:shd w:val="clear" w:color="auto" w:fill="auto"/>
                  <w:noWrap/>
                  <w:vAlign w:val="center"/>
                </w:tcPr>
                <w:p w14:paraId="3F54A0B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0.24</w:t>
                  </w:r>
                </w:p>
              </w:tc>
              <w:tc>
                <w:tcPr>
                  <w:tcW w:w="637" w:type="pct"/>
                  <w:tcBorders>
                    <w:tl2br w:val="nil"/>
                    <w:tr2bl w:val="nil"/>
                  </w:tcBorders>
                  <w:shd w:val="clear" w:color="auto" w:fill="auto"/>
                  <w:noWrap/>
                  <w:vAlign w:val="center"/>
                </w:tcPr>
                <w:p w14:paraId="01D8F499">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snapToGrid w:val="0"/>
                      <w:color w:val="auto"/>
                      <w:kern w:val="0"/>
                      <w:sz w:val="21"/>
                      <w:szCs w:val="21"/>
                      <w:highlight w:val="none"/>
                      <w:lang w:val="en-US" w:eastAsia="zh-CN" w:bidi="ar-SA"/>
                    </w:rPr>
                  </w:pPr>
                  <w:r>
                    <w:rPr>
                      <w:color w:val="auto"/>
                      <w:sz w:val="21"/>
                      <w:szCs w:val="21"/>
                      <w:highlight w:val="none"/>
                    </w:rPr>
                    <w:t>10#排涝区</w:t>
                  </w:r>
                </w:p>
              </w:tc>
            </w:tr>
            <w:tr w14:paraId="0DBF6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tcBorders>
                    <w:tl2br w:val="nil"/>
                    <w:tr2bl w:val="nil"/>
                  </w:tcBorders>
                  <w:shd w:val="clear" w:color="auto" w:fill="auto"/>
                  <w:noWrap/>
                  <w:vAlign w:val="center"/>
                </w:tcPr>
                <w:p w14:paraId="7081B6B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11#管涵</w:t>
                  </w:r>
                </w:p>
              </w:tc>
              <w:tc>
                <w:tcPr>
                  <w:tcW w:w="368" w:type="pct"/>
                  <w:tcBorders>
                    <w:tl2br w:val="nil"/>
                    <w:tr2bl w:val="nil"/>
                  </w:tcBorders>
                  <w:shd w:val="clear" w:color="auto" w:fill="auto"/>
                  <w:noWrap/>
                  <w:vAlign w:val="center"/>
                </w:tcPr>
                <w:p w14:paraId="4D83FB73">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左岸</w:t>
                  </w:r>
                </w:p>
              </w:tc>
              <w:tc>
                <w:tcPr>
                  <w:tcW w:w="645" w:type="pct"/>
                  <w:tcBorders>
                    <w:tl2br w:val="nil"/>
                    <w:tr2bl w:val="nil"/>
                  </w:tcBorders>
                  <w:shd w:val="clear" w:color="auto" w:fill="auto"/>
                  <w:noWrap/>
                  <w:vAlign w:val="center"/>
                </w:tcPr>
                <w:p w14:paraId="5F8C3A85">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lang w:val="en-US" w:eastAsia="zh-CN"/>
                    </w:rPr>
                  </w:pPr>
                  <w:r>
                    <w:rPr>
                      <w:color w:val="auto"/>
                      <w:highlight w:val="none"/>
                    </w:rPr>
                    <w:t>双Z1+114</w:t>
                  </w:r>
                </w:p>
              </w:tc>
              <w:tc>
                <w:tcPr>
                  <w:tcW w:w="535" w:type="pct"/>
                  <w:tcBorders>
                    <w:tl2br w:val="nil"/>
                    <w:tr2bl w:val="nil"/>
                  </w:tcBorders>
                  <w:shd w:val="clear" w:color="auto" w:fill="auto"/>
                  <w:noWrap/>
                  <w:vAlign w:val="center"/>
                </w:tcPr>
                <w:p w14:paraId="28E17E6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0.027</w:t>
                  </w:r>
                </w:p>
              </w:tc>
              <w:tc>
                <w:tcPr>
                  <w:tcW w:w="400" w:type="pct"/>
                  <w:tcBorders>
                    <w:tl2br w:val="nil"/>
                    <w:tr2bl w:val="nil"/>
                  </w:tcBorders>
                  <w:shd w:val="clear" w:color="auto" w:fill="auto"/>
                  <w:noWrap/>
                  <w:vAlign w:val="center"/>
                </w:tcPr>
                <w:p w14:paraId="5E6C764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Φ500</w:t>
                  </w:r>
                </w:p>
              </w:tc>
              <w:tc>
                <w:tcPr>
                  <w:tcW w:w="399" w:type="pct"/>
                  <w:tcBorders>
                    <w:tl2br w:val="nil"/>
                    <w:tr2bl w:val="nil"/>
                  </w:tcBorders>
                  <w:shd w:val="clear" w:color="auto" w:fill="auto"/>
                  <w:noWrap/>
                  <w:vAlign w:val="center"/>
                </w:tcPr>
                <w:p w14:paraId="4B634E8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7</w:t>
                  </w:r>
                </w:p>
              </w:tc>
              <w:tc>
                <w:tcPr>
                  <w:tcW w:w="573" w:type="pct"/>
                  <w:tcBorders>
                    <w:tl2br w:val="nil"/>
                    <w:tr2bl w:val="nil"/>
                  </w:tcBorders>
                  <w:shd w:val="clear" w:color="auto" w:fill="auto"/>
                  <w:noWrap/>
                  <w:vAlign w:val="center"/>
                </w:tcPr>
                <w:p w14:paraId="1DFC6C75">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305.66</w:t>
                  </w:r>
                </w:p>
              </w:tc>
              <w:tc>
                <w:tcPr>
                  <w:tcW w:w="557" w:type="pct"/>
                  <w:tcBorders>
                    <w:tl2br w:val="nil"/>
                    <w:tr2bl w:val="nil"/>
                  </w:tcBorders>
                  <w:shd w:val="clear" w:color="auto" w:fill="auto"/>
                  <w:noWrap/>
                  <w:vAlign w:val="center"/>
                </w:tcPr>
                <w:p w14:paraId="158A410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304.05</w:t>
                  </w:r>
                </w:p>
              </w:tc>
              <w:tc>
                <w:tcPr>
                  <w:tcW w:w="337" w:type="pct"/>
                  <w:tcBorders>
                    <w:tl2br w:val="nil"/>
                    <w:tr2bl w:val="nil"/>
                  </w:tcBorders>
                  <w:shd w:val="clear" w:color="auto" w:fill="auto"/>
                  <w:noWrap/>
                  <w:vAlign w:val="center"/>
                </w:tcPr>
                <w:p w14:paraId="5C62E24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0.23</w:t>
                  </w:r>
                </w:p>
              </w:tc>
              <w:tc>
                <w:tcPr>
                  <w:tcW w:w="637" w:type="pct"/>
                  <w:tcBorders>
                    <w:tl2br w:val="nil"/>
                    <w:tr2bl w:val="nil"/>
                  </w:tcBorders>
                  <w:shd w:val="clear" w:color="auto" w:fill="auto"/>
                  <w:noWrap/>
                  <w:vAlign w:val="center"/>
                </w:tcPr>
                <w:p w14:paraId="0A50D2F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11#排涝区</w:t>
                  </w:r>
                </w:p>
              </w:tc>
            </w:tr>
            <w:tr w14:paraId="2097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tcBorders>
                    <w:tl2br w:val="nil"/>
                    <w:tr2bl w:val="nil"/>
                  </w:tcBorders>
                  <w:shd w:val="clear" w:color="auto" w:fill="auto"/>
                  <w:noWrap/>
                  <w:vAlign w:val="center"/>
                </w:tcPr>
                <w:p w14:paraId="12C5A0B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12#管涵</w:t>
                  </w:r>
                </w:p>
              </w:tc>
              <w:tc>
                <w:tcPr>
                  <w:tcW w:w="368" w:type="pct"/>
                  <w:tcBorders>
                    <w:tl2br w:val="nil"/>
                    <w:tr2bl w:val="nil"/>
                  </w:tcBorders>
                  <w:shd w:val="clear" w:color="auto" w:fill="auto"/>
                  <w:noWrap/>
                  <w:vAlign w:val="center"/>
                </w:tcPr>
                <w:p w14:paraId="43EEA5A3">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右岸</w:t>
                  </w:r>
                </w:p>
              </w:tc>
              <w:tc>
                <w:tcPr>
                  <w:tcW w:w="645" w:type="pct"/>
                  <w:tcBorders>
                    <w:tl2br w:val="nil"/>
                    <w:tr2bl w:val="nil"/>
                  </w:tcBorders>
                  <w:shd w:val="clear" w:color="auto" w:fill="auto"/>
                  <w:noWrap/>
                  <w:vAlign w:val="center"/>
                </w:tcPr>
                <w:p w14:paraId="7BD0FD46">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lang w:val="en-US" w:eastAsia="zh-CN"/>
                    </w:rPr>
                  </w:pPr>
                  <w:r>
                    <w:rPr>
                      <w:color w:val="auto"/>
                      <w:highlight w:val="none"/>
                    </w:rPr>
                    <w:t>双Y0+154</w:t>
                  </w:r>
                </w:p>
              </w:tc>
              <w:tc>
                <w:tcPr>
                  <w:tcW w:w="535" w:type="pct"/>
                  <w:tcBorders>
                    <w:tl2br w:val="nil"/>
                    <w:tr2bl w:val="nil"/>
                  </w:tcBorders>
                  <w:shd w:val="clear" w:color="auto" w:fill="auto"/>
                  <w:noWrap/>
                  <w:vAlign w:val="center"/>
                </w:tcPr>
                <w:p w14:paraId="709E8A8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0.029</w:t>
                  </w:r>
                </w:p>
              </w:tc>
              <w:tc>
                <w:tcPr>
                  <w:tcW w:w="400" w:type="pct"/>
                  <w:tcBorders>
                    <w:tl2br w:val="nil"/>
                    <w:tr2bl w:val="nil"/>
                  </w:tcBorders>
                  <w:shd w:val="clear" w:color="auto" w:fill="auto"/>
                  <w:noWrap/>
                  <w:vAlign w:val="center"/>
                </w:tcPr>
                <w:p w14:paraId="2BEED0E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Φ500</w:t>
                  </w:r>
                </w:p>
              </w:tc>
              <w:tc>
                <w:tcPr>
                  <w:tcW w:w="399" w:type="pct"/>
                  <w:tcBorders>
                    <w:tl2br w:val="nil"/>
                    <w:tr2bl w:val="nil"/>
                  </w:tcBorders>
                  <w:shd w:val="clear" w:color="auto" w:fill="auto"/>
                  <w:noWrap/>
                  <w:vAlign w:val="center"/>
                </w:tcPr>
                <w:p w14:paraId="19E3C33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5</w:t>
                  </w:r>
                </w:p>
              </w:tc>
              <w:tc>
                <w:tcPr>
                  <w:tcW w:w="573" w:type="pct"/>
                  <w:tcBorders>
                    <w:tl2br w:val="nil"/>
                    <w:tr2bl w:val="nil"/>
                  </w:tcBorders>
                  <w:shd w:val="clear" w:color="auto" w:fill="auto"/>
                  <w:noWrap/>
                  <w:vAlign w:val="center"/>
                </w:tcPr>
                <w:p w14:paraId="16484CEE">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307.64</w:t>
                  </w:r>
                </w:p>
              </w:tc>
              <w:tc>
                <w:tcPr>
                  <w:tcW w:w="557" w:type="pct"/>
                  <w:tcBorders>
                    <w:tl2br w:val="nil"/>
                    <w:tr2bl w:val="nil"/>
                  </w:tcBorders>
                  <w:shd w:val="clear" w:color="auto" w:fill="auto"/>
                  <w:noWrap/>
                  <w:vAlign w:val="center"/>
                </w:tcPr>
                <w:p w14:paraId="5501079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306.34</w:t>
                  </w:r>
                </w:p>
              </w:tc>
              <w:tc>
                <w:tcPr>
                  <w:tcW w:w="337" w:type="pct"/>
                  <w:tcBorders>
                    <w:tl2br w:val="nil"/>
                    <w:tr2bl w:val="nil"/>
                  </w:tcBorders>
                  <w:shd w:val="clear" w:color="auto" w:fill="auto"/>
                  <w:noWrap/>
                  <w:vAlign w:val="center"/>
                </w:tcPr>
                <w:p w14:paraId="1DE01CA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0.26</w:t>
                  </w:r>
                </w:p>
              </w:tc>
              <w:tc>
                <w:tcPr>
                  <w:tcW w:w="637" w:type="pct"/>
                  <w:tcBorders>
                    <w:tl2br w:val="nil"/>
                    <w:tr2bl w:val="nil"/>
                  </w:tcBorders>
                  <w:shd w:val="clear" w:color="auto" w:fill="auto"/>
                  <w:noWrap/>
                  <w:vAlign w:val="center"/>
                </w:tcPr>
                <w:p w14:paraId="06C56A02">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12#排涝区</w:t>
                  </w:r>
                </w:p>
              </w:tc>
            </w:tr>
            <w:tr w14:paraId="5804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tcBorders>
                    <w:tl2br w:val="nil"/>
                    <w:tr2bl w:val="nil"/>
                  </w:tcBorders>
                  <w:shd w:val="clear" w:color="auto" w:fill="auto"/>
                  <w:noWrap/>
                  <w:vAlign w:val="center"/>
                </w:tcPr>
                <w:p w14:paraId="6B333BA0">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13#管涵</w:t>
                  </w:r>
                </w:p>
              </w:tc>
              <w:tc>
                <w:tcPr>
                  <w:tcW w:w="368" w:type="pct"/>
                  <w:tcBorders>
                    <w:tl2br w:val="nil"/>
                    <w:tr2bl w:val="nil"/>
                  </w:tcBorders>
                  <w:shd w:val="clear" w:color="auto" w:fill="auto"/>
                  <w:noWrap/>
                  <w:vAlign w:val="center"/>
                </w:tcPr>
                <w:p w14:paraId="710901A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右岸</w:t>
                  </w:r>
                </w:p>
              </w:tc>
              <w:tc>
                <w:tcPr>
                  <w:tcW w:w="645" w:type="pct"/>
                  <w:tcBorders>
                    <w:tl2br w:val="nil"/>
                    <w:tr2bl w:val="nil"/>
                  </w:tcBorders>
                  <w:shd w:val="clear" w:color="auto" w:fill="auto"/>
                  <w:noWrap/>
                  <w:vAlign w:val="center"/>
                </w:tcPr>
                <w:p w14:paraId="09840C7C">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lang w:val="en-US" w:eastAsia="zh-CN"/>
                    </w:rPr>
                  </w:pPr>
                  <w:r>
                    <w:rPr>
                      <w:color w:val="auto"/>
                      <w:highlight w:val="none"/>
                    </w:rPr>
                    <w:t>双Y0+423</w:t>
                  </w:r>
                </w:p>
              </w:tc>
              <w:tc>
                <w:tcPr>
                  <w:tcW w:w="535" w:type="pct"/>
                  <w:tcBorders>
                    <w:tl2br w:val="nil"/>
                    <w:tr2bl w:val="nil"/>
                  </w:tcBorders>
                  <w:shd w:val="clear" w:color="auto" w:fill="auto"/>
                  <w:noWrap/>
                  <w:vAlign w:val="center"/>
                </w:tcPr>
                <w:p w14:paraId="51F35A8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0.032</w:t>
                  </w:r>
                </w:p>
              </w:tc>
              <w:tc>
                <w:tcPr>
                  <w:tcW w:w="400" w:type="pct"/>
                  <w:tcBorders>
                    <w:tl2br w:val="nil"/>
                    <w:tr2bl w:val="nil"/>
                  </w:tcBorders>
                  <w:shd w:val="clear" w:color="auto" w:fill="auto"/>
                  <w:noWrap/>
                  <w:vAlign w:val="center"/>
                </w:tcPr>
                <w:p w14:paraId="6989DD7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Φ500</w:t>
                  </w:r>
                </w:p>
              </w:tc>
              <w:tc>
                <w:tcPr>
                  <w:tcW w:w="399" w:type="pct"/>
                  <w:tcBorders>
                    <w:tl2br w:val="nil"/>
                    <w:tr2bl w:val="nil"/>
                  </w:tcBorders>
                  <w:shd w:val="clear" w:color="auto" w:fill="auto"/>
                  <w:noWrap/>
                  <w:vAlign w:val="center"/>
                </w:tcPr>
                <w:p w14:paraId="41CE563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6</w:t>
                  </w:r>
                </w:p>
              </w:tc>
              <w:tc>
                <w:tcPr>
                  <w:tcW w:w="573" w:type="pct"/>
                  <w:tcBorders>
                    <w:tl2br w:val="nil"/>
                    <w:tr2bl w:val="nil"/>
                  </w:tcBorders>
                  <w:shd w:val="clear" w:color="auto" w:fill="auto"/>
                  <w:noWrap/>
                  <w:vAlign w:val="center"/>
                </w:tcPr>
                <w:p w14:paraId="1AD1257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308.14</w:t>
                  </w:r>
                </w:p>
              </w:tc>
              <w:tc>
                <w:tcPr>
                  <w:tcW w:w="557" w:type="pct"/>
                  <w:tcBorders>
                    <w:tl2br w:val="nil"/>
                    <w:tr2bl w:val="nil"/>
                  </w:tcBorders>
                  <w:shd w:val="clear" w:color="auto" w:fill="auto"/>
                  <w:noWrap/>
                  <w:vAlign w:val="center"/>
                </w:tcPr>
                <w:p w14:paraId="1868E220">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306.4</w:t>
                  </w:r>
                </w:p>
              </w:tc>
              <w:tc>
                <w:tcPr>
                  <w:tcW w:w="337" w:type="pct"/>
                  <w:tcBorders>
                    <w:tl2br w:val="nil"/>
                    <w:tr2bl w:val="nil"/>
                  </w:tcBorders>
                  <w:shd w:val="clear" w:color="auto" w:fill="auto"/>
                  <w:noWrap/>
                  <w:vAlign w:val="center"/>
                </w:tcPr>
                <w:p w14:paraId="48E183F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0.29</w:t>
                  </w:r>
                </w:p>
              </w:tc>
              <w:tc>
                <w:tcPr>
                  <w:tcW w:w="637" w:type="pct"/>
                  <w:tcBorders>
                    <w:tl2br w:val="nil"/>
                    <w:tr2bl w:val="nil"/>
                  </w:tcBorders>
                  <w:shd w:val="clear" w:color="auto" w:fill="auto"/>
                  <w:noWrap/>
                  <w:vAlign w:val="center"/>
                </w:tcPr>
                <w:p w14:paraId="0C0AA2A6">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13#排涝区</w:t>
                  </w:r>
                </w:p>
              </w:tc>
            </w:tr>
            <w:tr w14:paraId="44822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tcBorders>
                    <w:tl2br w:val="nil"/>
                    <w:tr2bl w:val="nil"/>
                  </w:tcBorders>
                  <w:shd w:val="clear" w:color="auto" w:fill="auto"/>
                  <w:noWrap/>
                  <w:vAlign w:val="center"/>
                </w:tcPr>
                <w:p w14:paraId="044D258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14#管涵</w:t>
                  </w:r>
                </w:p>
              </w:tc>
              <w:tc>
                <w:tcPr>
                  <w:tcW w:w="368" w:type="pct"/>
                  <w:tcBorders>
                    <w:tl2br w:val="nil"/>
                    <w:tr2bl w:val="nil"/>
                  </w:tcBorders>
                  <w:shd w:val="clear" w:color="auto" w:fill="auto"/>
                  <w:noWrap/>
                  <w:vAlign w:val="center"/>
                </w:tcPr>
                <w:p w14:paraId="77CDF17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右岸</w:t>
                  </w:r>
                </w:p>
              </w:tc>
              <w:tc>
                <w:tcPr>
                  <w:tcW w:w="645" w:type="pct"/>
                  <w:tcBorders>
                    <w:tl2br w:val="nil"/>
                    <w:tr2bl w:val="nil"/>
                  </w:tcBorders>
                  <w:shd w:val="clear" w:color="auto" w:fill="auto"/>
                  <w:noWrap/>
                  <w:vAlign w:val="center"/>
                </w:tcPr>
                <w:p w14:paraId="10185624">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lang w:val="en-US" w:eastAsia="zh-CN"/>
                    </w:rPr>
                  </w:pPr>
                  <w:r>
                    <w:rPr>
                      <w:color w:val="auto"/>
                      <w:highlight w:val="none"/>
                    </w:rPr>
                    <w:t>双Y0+866</w:t>
                  </w:r>
                </w:p>
              </w:tc>
              <w:tc>
                <w:tcPr>
                  <w:tcW w:w="535" w:type="pct"/>
                  <w:tcBorders>
                    <w:tl2br w:val="nil"/>
                    <w:tr2bl w:val="nil"/>
                  </w:tcBorders>
                  <w:shd w:val="clear" w:color="auto" w:fill="auto"/>
                  <w:noWrap/>
                  <w:vAlign w:val="center"/>
                </w:tcPr>
                <w:p w14:paraId="6F7B490D">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0.031</w:t>
                  </w:r>
                </w:p>
              </w:tc>
              <w:tc>
                <w:tcPr>
                  <w:tcW w:w="400" w:type="pct"/>
                  <w:tcBorders>
                    <w:tl2br w:val="nil"/>
                    <w:tr2bl w:val="nil"/>
                  </w:tcBorders>
                  <w:shd w:val="clear" w:color="auto" w:fill="auto"/>
                  <w:noWrap/>
                  <w:vAlign w:val="center"/>
                </w:tcPr>
                <w:p w14:paraId="3AE010AB">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Φ500</w:t>
                  </w:r>
                </w:p>
              </w:tc>
              <w:tc>
                <w:tcPr>
                  <w:tcW w:w="399" w:type="pct"/>
                  <w:tcBorders>
                    <w:tl2br w:val="nil"/>
                    <w:tr2bl w:val="nil"/>
                  </w:tcBorders>
                  <w:shd w:val="clear" w:color="auto" w:fill="auto"/>
                  <w:noWrap/>
                  <w:vAlign w:val="center"/>
                </w:tcPr>
                <w:p w14:paraId="148CAAD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7</w:t>
                  </w:r>
                </w:p>
              </w:tc>
              <w:tc>
                <w:tcPr>
                  <w:tcW w:w="573" w:type="pct"/>
                  <w:tcBorders>
                    <w:tl2br w:val="nil"/>
                    <w:tr2bl w:val="nil"/>
                  </w:tcBorders>
                  <w:shd w:val="clear" w:color="auto" w:fill="auto"/>
                  <w:noWrap/>
                  <w:vAlign w:val="center"/>
                </w:tcPr>
                <w:p w14:paraId="72A143E4">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306.75</w:t>
                  </w:r>
                </w:p>
              </w:tc>
              <w:tc>
                <w:tcPr>
                  <w:tcW w:w="557" w:type="pct"/>
                  <w:tcBorders>
                    <w:tl2br w:val="nil"/>
                    <w:tr2bl w:val="nil"/>
                  </w:tcBorders>
                  <w:shd w:val="clear" w:color="auto" w:fill="auto"/>
                  <w:noWrap/>
                  <w:vAlign w:val="center"/>
                </w:tcPr>
                <w:p w14:paraId="65CA099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304.79</w:t>
                  </w:r>
                </w:p>
              </w:tc>
              <w:tc>
                <w:tcPr>
                  <w:tcW w:w="337" w:type="pct"/>
                  <w:tcBorders>
                    <w:tl2br w:val="nil"/>
                    <w:tr2bl w:val="nil"/>
                  </w:tcBorders>
                  <w:shd w:val="clear" w:color="auto" w:fill="auto"/>
                  <w:noWrap/>
                  <w:vAlign w:val="center"/>
                </w:tcPr>
                <w:p w14:paraId="0BDE06A0">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0.28</w:t>
                  </w:r>
                </w:p>
              </w:tc>
              <w:tc>
                <w:tcPr>
                  <w:tcW w:w="637" w:type="pct"/>
                  <w:tcBorders>
                    <w:tl2br w:val="nil"/>
                    <w:tr2bl w:val="nil"/>
                  </w:tcBorders>
                  <w:shd w:val="clear" w:color="auto" w:fill="auto"/>
                  <w:noWrap/>
                  <w:vAlign w:val="center"/>
                </w:tcPr>
                <w:p w14:paraId="77F64799">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14#排涝区</w:t>
                  </w:r>
                </w:p>
              </w:tc>
            </w:tr>
            <w:tr w14:paraId="0DC9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45" w:type="pct"/>
                  <w:tcBorders>
                    <w:tl2br w:val="nil"/>
                    <w:tr2bl w:val="nil"/>
                  </w:tcBorders>
                  <w:shd w:val="clear" w:color="auto" w:fill="auto"/>
                  <w:noWrap/>
                  <w:vAlign w:val="center"/>
                </w:tcPr>
                <w:p w14:paraId="4D57DA5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15#管涵</w:t>
                  </w:r>
                </w:p>
              </w:tc>
              <w:tc>
                <w:tcPr>
                  <w:tcW w:w="368" w:type="pct"/>
                  <w:tcBorders>
                    <w:tl2br w:val="nil"/>
                    <w:tr2bl w:val="nil"/>
                  </w:tcBorders>
                  <w:shd w:val="clear" w:color="auto" w:fill="auto"/>
                  <w:noWrap/>
                  <w:vAlign w:val="center"/>
                </w:tcPr>
                <w:p w14:paraId="3ED4606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右岸</w:t>
                  </w:r>
                </w:p>
              </w:tc>
              <w:tc>
                <w:tcPr>
                  <w:tcW w:w="645" w:type="pct"/>
                  <w:tcBorders>
                    <w:tl2br w:val="nil"/>
                    <w:tr2bl w:val="nil"/>
                  </w:tcBorders>
                  <w:shd w:val="clear" w:color="auto" w:fill="auto"/>
                  <w:noWrap/>
                  <w:vAlign w:val="center"/>
                </w:tcPr>
                <w:p w14:paraId="56B634C3">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lang w:val="en-US" w:eastAsia="zh-CN"/>
                    </w:rPr>
                  </w:pPr>
                  <w:r>
                    <w:rPr>
                      <w:color w:val="auto"/>
                      <w:highlight w:val="none"/>
                    </w:rPr>
                    <w:t>双Y1+175</w:t>
                  </w:r>
                </w:p>
              </w:tc>
              <w:tc>
                <w:tcPr>
                  <w:tcW w:w="535" w:type="pct"/>
                  <w:tcBorders>
                    <w:tl2br w:val="nil"/>
                    <w:tr2bl w:val="nil"/>
                  </w:tcBorders>
                  <w:shd w:val="clear" w:color="auto" w:fill="auto"/>
                  <w:noWrap/>
                  <w:vAlign w:val="center"/>
                </w:tcPr>
                <w:p w14:paraId="7C904E5F">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0.028</w:t>
                  </w:r>
                </w:p>
              </w:tc>
              <w:tc>
                <w:tcPr>
                  <w:tcW w:w="400" w:type="pct"/>
                  <w:tcBorders>
                    <w:tl2br w:val="nil"/>
                    <w:tr2bl w:val="nil"/>
                  </w:tcBorders>
                  <w:shd w:val="clear" w:color="auto" w:fill="auto"/>
                  <w:noWrap/>
                  <w:vAlign w:val="center"/>
                </w:tcPr>
                <w:p w14:paraId="6A5E96FA">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Φ500</w:t>
                  </w:r>
                </w:p>
              </w:tc>
              <w:tc>
                <w:tcPr>
                  <w:tcW w:w="399" w:type="pct"/>
                  <w:tcBorders>
                    <w:tl2br w:val="nil"/>
                    <w:tr2bl w:val="nil"/>
                  </w:tcBorders>
                  <w:shd w:val="clear" w:color="auto" w:fill="auto"/>
                  <w:noWrap/>
                  <w:vAlign w:val="center"/>
                </w:tcPr>
                <w:p w14:paraId="123C36B7">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6</w:t>
                  </w:r>
                </w:p>
              </w:tc>
              <w:tc>
                <w:tcPr>
                  <w:tcW w:w="573" w:type="pct"/>
                  <w:tcBorders>
                    <w:tl2br w:val="nil"/>
                    <w:tr2bl w:val="nil"/>
                  </w:tcBorders>
                  <w:shd w:val="clear" w:color="auto" w:fill="auto"/>
                  <w:noWrap/>
                  <w:vAlign w:val="center"/>
                </w:tcPr>
                <w:p w14:paraId="7BB1F531">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305.37</w:t>
                  </w:r>
                </w:p>
              </w:tc>
              <w:tc>
                <w:tcPr>
                  <w:tcW w:w="557" w:type="pct"/>
                  <w:tcBorders>
                    <w:tl2br w:val="nil"/>
                    <w:tr2bl w:val="nil"/>
                  </w:tcBorders>
                  <w:shd w:val="clear" w:color="auto" w:fill="auto"/>
                  <w:noWrap/>
                  <w:vAlign w:val="center"/>
                </w:tcPr>
                <w:p w14:paraId="11C3929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303.93</w:t>
                  </w:r>
                </w:p>
              </w:tc>
              <w:tc>
                <w:tcPr>
                  <w:tcW w:w="337" w:type="pct"/>
                  <w:tcBorders>
                    <w:tl2br w:val="nil"/>
                    <w:tr2bl w:val="nil"/>
                  </w:tcBorders>
                  <w:shd w:val="clear" w:color="auto" w:fill="auto"/>
                  <w:noWrap/>
                  <w:vAlign w:val="center"/>
                </w:tcPr>
                <w:p w14:paraId="61D2CACC">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0.24</w:t>
                  </w:r>
                </w:p>
              </w:tc>
              <w:tc>
                <w:tcPr>
                  <w:tcW w:w="637" w:type="pct"/>
                  <w:tcBorders>
                    <w:tl2br w:val="nil"/>
                    <w:tr2bl w:val="nil"/>
                  </w:tcBorders>
                  <w:shd w:val="clear" w:color="auto" w:fill="auto"/>
                  <w:noWrap/>
                  <w:vAlign w:val="center"/>
                </w:tcPr>
                <w:p w14:paraId="539F86F8">
                  <w:pPr>
                    <w:pStyle w:val="28"/>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rPr>
                  </w:pPr>
                  <w:r>
                    <w:rPr>
                      <w:color w:val="auto"/>
                      <w:sz w:val="21"/>
                      <w:szCs w:val="21"/>
                      <w:highlight w:val="none"/>
                    </w:rPr>
                    <w:t>15#排涝区</w:t>
                  </w:r>
                </w:p>
              </w:tc>
            </w:tr>
          </w:tbl>
          <w:p w14:paraId="1FA7CE73">
            <w:pPr>
              <w:pStyle w:val="21"/>
              <w:keepNext w:val="0"/>
              <w:keepLines w:val="0"/>
              <w:pageBreakBefore w:val="0"/>
              <w:widowControl w:val="0"/>
              <w:kinsoku/>
              <w:wordWrap/>
              <w:overflowPunct/>
              <w:topLinePunct w:val="0"/>
              <w:autoSpaceDE/>
              <w:autoSpaceDN/>
              <w:bidi w:val="0"/>
              <w:adjustRightInd/>
              <w:snapToGrid/>
              <w:ind w:left="0" w:leftChars="0" w:firstLine="482" w:firstLineChars="200"/>
              <w:jc w:val="both"/>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fldChar w:fldCharType="begin"/>
            </w:r>
            <w:r>
              <w:rPr>
                <w:rFonts w:hint="default" w:ascii="Times New Roman" w:hAnsi="Times New Roman" w:cs="Times New Roman"/>
                <w:b/>
                <w:bCs/>
                <w:color w:val="auto"/>
                <w:highlight w:val="none"/>
                <w:lang w:val="en-US" w:eastAsia="zh-CN"/>
              </w:rPr>
              <w:instrText xml:space="preserve"> = 2 \* Arabic \* MERGEFORMAT </w:instrText>
            </w:r>
            <w:r>
              <w:rPr>
                <w:rFonts w:hint="default" w:ascii="Times New Roman" w:hAnsi="Times New Roman" w:cs="Times New Roman"/>
                <w:b/>
                <w:bCs/>
                <w:color w:val="auto"/>
                <w:highlight w:val="none"/>
                <w:lang w:val="en-US" w:eastAsia="zh-CN"/>
              </w:rPr>
              <w:fldChar w:fldCharType="separate"/>
            </w:r>
            <w:r>
              <w:rPr>
                <w:b/>
                <w:bCs/>
                <w:color w:val="auto"/>
                <w:highlight w:val="none"/>
              </w:rPr>
              <w:t>2</w:t>
            </w:r>
            <w:r>
              <w:rPr>
                <w:rFonts w:hint="default" w:ascii="Times New Roman" w:hAnsi="Times New Roman" w:cs="Times New Roman"/>
                <w:b/>
                <w:bCs/>
                <w:color w:val="auto"/>
                <w:highlight w:val="none"/>
                <w:lang w:val="en-US" w:eastAsia="zh-CN"/>
              </w:rPr>
              <w:fldChar w:fldCharType="end"/>
            </w:r>
            <w:r>
              <w:rPr>
                <w:rFonts w:hint="eastAsia" w:ascii="Times New Roman" w:hAnsi="Times New Roman" w:cs="Times New Roman"/>
                <w:b/>
                <w:bCs/>
                <w:color w:val="auto"/>
                <w:highlight w:val="none"/>
                <w:lang w:val="en-US" w:eastAsia="zh-CN"/>
              </w:rPr>
              <w:t>下河梯步</w:t>
            </w:r>
          </w:p>
          <w:p w14:paraId="71624FE1">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val="0"/>
                <w:bCs w:val="0"/>
                <w:color w:val="auto"/>
                <w:highlight w:val="none"/>
                <w:lang w:val="en-US" w:eastAsia="zh-CN"/>
              </w:rPr>
            </w:pPr>
            <w:r>
              <w:rPr>
                <w:rFonts w:hint="eastAsia" w:cs="Times New Roman"/>
                <w:b w:val="0"/>
                <w:bCs w:val="0"/>
                <w:snapToGrid w:val="0"/>
                <w:color w:val="auto"/>
                <w:sz w:val="24"/>
                <w:szCs w:val="22"/>
                <w:highlight w:val="none"/>
                <w:lang w:val="en-US" w:eastAsia="zh-CN" w:bidi="ar-SA"/>
              </w:rPr>
              <w:t>石河镇二郎、福兴段</w:t>
            </w:r>
            <w:r>
              <w:rPr>
                <w:color w:val="auto"/>
                <w:highlight w:val="none"/>
              </w:rPr>
              <w:t>在新建</w:t>
            </w:r>
            <w:r>
              <w:rPr>
                <w:rFonts w:hint="eastAsia"/>
                <w:color w:val="auto"/>
                <w:highlight w:val="none"/>
              </w:rPr>
              <w:t>堤防处</w:t>
            </w:r>
            <w:r>
              <w:rPr>
                <w:color w:val="auto"/>
                <w:highlight w:val="none"/>
              </w:rPr>
              <w:t>间隔</w:t>
            </w:r>
            <w:r>
              <w:rPr>
                <w:rFonts w:hint="eastAsia"/>
                <w:color w:val="auto"/>
                <w:highlight w:val="none"/>
              </w:rPr>
              <w:t>300</w:t>
            </w:r>
            <w:r>
              <w:rPr>
                <w:color w:val="auto"/>
                <w:highlight w:val="none"/>
              </w:rPr>
              <w:t>m左右新建下河梯步，共新建梯步</w:t>
            </w:r>
            <w:r>
              <w:rPr>
                <w:rFonts w:hint="eastAsia"/>
                <w:color w:val="auto"/>
                <w:highlight w:val="none"/>
              </w:rPr>
              <w:t>10处</w:t>
            </w:r>
            <w:r>
              <w:rPr>
                <w:color w:val="auto"/>
                <w:highlight w:val="none"/>
              </w:rPr>
              <w:t>。</w:t>
            </w:r>
            <w:r>
              <w:rPr>
                <w:rFonts w:hint="eastAsia"/>
                <w:color w:val="auto"/>
                <w:highlight w:val="none"/>
              </w:rPr>
              <w:t>梯步</w:t>
            </w:r>
            <w:r>
              <w:rPr>
                <w:color w:val="auto"/>
                <w:highlight w:val="none"/>
              </w:rPr>
              <w:t>宽</w:t>
            </w:r>
            <w:r>
              <w:rPr>
                <w:rFonts w:hint="eastAsia"/>
                <w:color w:val="auto"/>
                <w:highlight w:val="none"/>
              </w:rPr>
              <w:t>2</w:t>
            </w:r>
            <w:r>
              <w:rPr>
                <w:color w:val="auto"/>
                <w:highlight w:val="none"/>
              </w:rPr>
              <w:t>m</w:t>
            </w:r>
            <w:r>
              <w:rPr>
                <w:rFonts w:hint="default" w:ascii="Times New Roman" w:hAnsi="Times New Roman" w:eastAsia="宋体" w:cs="Times New Roman"/>
                <w:b w:val="0"/>
                <w:bCs w:val="0"/>
                <w:color w:val="auto"/>
                <w:highlight w:val="none"/>
                <w:lang w:val="en-US" w:eastAsia="zh-CN"/>
              </w:rPr>
              <w:t>，采用</w:t>
            </w:r>
            <w:r>
              <w:rPr>
                <w:rFonts w:hint="eastAsia" w:ascii="Times New Roman" w:hAnsi="Times New Roman" w:eastAsia="宋体" w:cs="Times New Roman"/>
                <w:b w:val="0"/>
                <w:bCs w:val="0"/>
                <w:color w:val="auto"/>
                <w:highlight w:val="none"/>
                <w:lang w:val="en-US" w:eastAsia="zh-CN"/>
              </w:rPr>
              <w:t>C25砼</w:t>
            </w:r>
            <w:r>
              <w:rPr>
                <w:rFonts w:hint="default" w:ascii="Times New Roman" w:hAnsi="Times New Roman" w:eastAsia="宋体" w:cs="Times New Roman"/>
                <w:b w:val="0"/>
                <w:bCs w:val="0"/>
                <w:color w:val="auto"/>
                <w:highlight w:val="none"/>
                <w:lang w:val="en-US" w:eastAsia="zh-CN"/>
              </w:rPr>
              <w:t>现浇，下设</w:t>
            </w:r>
            <w:r>
              <w:rPr>
                <w:rFonts w:hint="eastAsia" w:ascii="Times New Roman" w:hAnsi="Times New Roman" w:eastAsia="宋体" w:cs="Times New Roman"/>
                <w:b w:val="0"/>
                <w:bCs w:val="0"/>
                <w:color w:val="auto"/>
                <w:highlight w:val="none"/>
                <w:lang w:val="en-US" w:eastAsia="zh-CN"/>
              </w:rPr>
              <w:t>20</w:t>
            </w:r>
            <w:r>
              <w:rPr>
                <w:rFonts w:hint="default" w:ascii="Times New Roman" w:hAnsi="Times New Roman" w:eastAsia="宋体" w:cs="Times New Roman"/>
                <w:b w:val="0"/>
                <w:bCs w:val="0"/>
                <w:color w:val="auto"/>
                <w:highlight w:val="none"/>
                <w:lang w:val="en-US" w:eastAsia="zh-CN"/>
              </w:rPr>
              <w:t>cm厚碎石垫层。</w:t>
            </w:r>
          </w:p>
          <w:p w14:paraId="4A52820C">
            <w:pPr>
              <w:pStyle w:val="21"/>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eastAsia="宋体" w:cs="Times New Roman"/>
                <w:b w:val="0"/>
                <w:bCs w:val="0"/>
                <w:color w:val="auto"/>
                <w:highlight w:val="none"/>
                <w:lang w:val="en-US" w:eastAsia="zh-CN"/>
              </w:rPr>
            </w:pPr>
            <w:r>
              <w:rPr>
                <w:rFonts w:hint="eastAsia" w:cs="Times New Roman"/>
                <w:color w:val="auto"/>
                <w:highlight w:val="none"/>
                <w:lang w:val="en-US" w:eastAsia="zh-CN"/>
              </w:rPr>
              <w:t>石河镇石河镇段、双拱场段</w:t>
            </w:r>
            <w:r>
              <w:rPr>
                <w:color w:val="auto"/>
                <w:highlight w:val="none"/>
              </w:rPr>
              <w:t>在新建护岸段间隔200m左右新建下河梯步，共新建梯步20处。梯步宽2m，采用C25砼现浇，下设10cm厚碎石垫层</w:t>
            </w:r>
            <w:r>
              <w:rPr>
                <w:rFonts w:hint="default" w:ascii="Times New Roman" w:hAnsi="Times New Roman" w:eastAsia="宋体" w:cs="Times New Roman"/>
                <w:b w:val="0"/>
                <w:bCs w:val="0"/>
                <w:color w:val="auto"/>
                <w:highlight w:val="none"/>
                <w:lang w:val="en-US" w:eastAsia="zh-CN"/>
              </w:rPr>
              <w:t>。</w:t>
            </w:r>
          </w:p>
          <w:p w14:paraId="1C7838C7">
            <w:pPr>
              <w:pStyle w:val="21"/>
              <w:keepNext w:val="0"/>
              <w:keepLines w:val="0"/>
              <w:pageBreakBefore w:val="0"/>
              <w:widowControl w:val="0"/>
              <w:kinsoku/>
              <w:wordWrap/>
              <w:overflowPunct/>
              <w:topLinePunct w:val="0"/>
              <w:autoSpaceDE/>
              <w:autoSpaceDN/>
              <w:bidi w:val="0"/>
              <w:adjustRightInd/>
              <w:snapToGrid/>
              <w:ind w:left="0" w:leftChars="0" w:firstLine="482" w:firstLineChars="200"/>
              <w:jc w:val="both"/>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fldChar w:fldCharType="begin"/>
            </w:r>
            <w:r>
              <w:rPr>
                <w:rFonts w:hint="default" w:ascii="Times New Roman" w:hAnsi="Times New Roman" w:eastAsia="宋体" w:cs="Times New Roman"/>
                <w:b/>
                <w:bCs/>
                <w:color w:val="auto"/>
                <w:highlight w:val="none"/>
                <w:lang w:val="en-US" w:eastAsia="zh-CN"/>
              </w:rPr>
              <w:instrText xml:space="preserve"> = 3 \* Arabic \* MERGEFORMAT </w:instrText>
            </w:r>
            <w:r>
              <w:rPr>
                <w:rFonts w:hint="default" w:ascii="Times New Roman" w:hAnsi="Times New Roman" w:eastAsia="宋体" w:cs="Times New Roman"/>
                <w:b/>
                <w:bCs/>
                <w:color w:val="auto"/>
                <w:highlight w:val="none"/>
                <w:lang w:val="en-US" w:eastAsia="zh-CN"/>
              </w:rPr>
              <w:fldChar w:fldCharType="separate"/>
            </w:r>
            <w:r>
              <w:rPr>
                <w:rFonts w:hint="default" w:ascii="Times New Roman" w:hAnsi="Times New Roman" w:eastAsia="宋体" w:cs="Times New Roman"/>
                <w:b/>
                <w:bCs/>
                <w:color w:val="auto"/>
                <w:highlight w:val="none"/>
                <w:lang w:val="en-US" w:eastAsia="zh-CN"/>
              </w:rPr>
              <w:t>3</w:t>
            </w:r>
            <w:r>
              <w:rPr>
                <w:rFonts w:hint="default" w:ascii="Times New Roman" w:hAnsi="Times New Roman" w:eastAsia="宋体" w:cs="Times New Roman"/>
                <w:b/>
                <w:bCs/>
                <w:color w:val="auto"/>
                <w:highlight w:val="none"/>
                <w:lang w:val="en-US" w:eastAsia="zh-CN"/>
              </w:rPr>
              <w:fldChar w:fldCharType="end"/>
            </w:r>
            <w:r>
              <w:rPr>
                <w:rFonts w:hint="eastAsia" w:ascii="Times New Roman" w:hAnsi="Times New Roman" w:eastAsia="宋体" w:cs="Times New Roman"/>
                <w:b/>
                <w:bCs/>
                <w:color w:val="auto"/>
                <w:highlight w:val="none"/>
                <w:lang w:val="en-US" w:eastAsia="zh-CN"/>
              </w:rPr>
              <w:t>安全警示牌</w:t>
            </w:r>
          </w:p>
          <w:p w14:paraId="323D1A49">
            <w:pPr>
              <w:pStyle w:val="21"/>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eastAsia="宋体" w:cs="Times New Roman"/>
                <w:b w:val="0"/>
                <w:bCs w:val="0"/>
                <w:color w:val="auto"/>
                <w:highlight w:val="none"/>
                <w:lang w:val="en-US" w:eastAsia="zh-CN"/>
              </w:rPr>
            </w:pPr>
            <w:r>
              <w:rPr>
                <w:rFonts w:hint="eastAsia" w:cs="Times New Roman"/>
                <w:b w:val="0"/>
                <w:bCs w:val="0"/>
                <w:color w:val="auto"/>
                <w:highlight w:val="none"/>
                <w:lang w:val="en-US" w:eastAsia="zh-CN"/>
              </w:rPr>
              <w:t>二郎、福兴段</w:t>
            </w:r>
            <w:r>
              <w:rPr>
                <w:rFonts w:hint="eastAsia" w:ascii="Times New Roman" w:hAnsi="Times New Roman" w:eastAsia="宋体" w:cs="Times New Roman"/>
                <w:b w:val="0"/>
                <w:bCs w:val="0"/>
                <w:color w:val="auto"/>
                <w:highlight w:val="none"/>
                <w:lang w:val="en-US" w:eastAsia="zh-CN"/>
              </w:rPr>
              <w:t>共安装8块</w:t>
            </w:r>
            <w:r>
              <w:rPr>
                <w:rFonts w:hint="default" w:ascii="Times New Roman" w:hAnsi="Times New Roman" w:eastAsia="宋体" w:cs="Times New Roman"/>
                <w:b w:val="0"/>
                <w:bCs w:val="0"/>
                <w:color w:val="auto"/>
                <w:highlight w:val="none"/>
                <w:lang w:val="en-US" w:eastAsia="zh-CN"/>
              </w:rPr>
              <w:t>安全警示牌</w:t>
            </w:r>
            <w:r>
              <w:rPr>
                <w:rFonts w:hint="eastAsia" w:cs="Times New Roman"/>
                <w:b w:val="0"/>
                <w:bCs w:val="0"/>
                <w:color w:val="auto"/>
                <w:highlight w:val="none"/>
                <w:lang w:val="en-US" w:eastAsia="zh-CN"/>
              </w:rPr>
              <w:t>，石河镇段、双拱场段</w:t>
            </w:r>
            <w:r>
              <w:rPr>
                <w:rFonts w:hint="eastAsia" w:ascii="Times New Roman" w:hAnsi="Times New Roman" w:eastAsia="宋体" w:cs="Times New Roman"/>
                <w:b w:val="0"/>
                <w:bCs w:val="0"/>
                <w:color w:val="auto"/>
                <w:highlight w:val="none"/>
                <w:lang w:val="en-US" w:eastAsia="zh-CN"/>
              </w:rPr>
              <w:t>共安装</w:t>
            </w:r>
            <w:r>
              <w:rPr>
                <w:rFonts w:hint="eastAsia" w:cs="Times New Roman"/>
                <w:b w:val="0"/>
                <w:bCs w:val="0"/>
                <w:color w:val="auto"/>
                <w:highlight w:val="none"/>
                <w:lang w:val="en-US" w:eastAsia="zh-CN"/>
              </w:rPr>
              <w:t>4块安全警示牌</w:t>
            </w:r>
            <w:r>
              <w:rPr>
                <w:rFonts w:hint="default" w:ascii="Times New Roman" w:hAnsi="Times New Roman" w:eastAsia="宋体" w:cs="Times New Roman"/>
                <w:b w:val="0"/>
                <w:bCs w:val="0"/>
                <w:color w:val="auto"/>
                <w:highlight w:val="none"/>
                <w:lang w:val="en-US" w:eastAsia="zh-CN"/>
              </w:rPr>
              <w:t>。</w:t>
            </w:r>
          </w:p>
          <w:p w14:paraId="721CC8F6">
            <w:pPr>
              <w:pStyle w:val="21"/>
              <w:ind w:left="0" w:leftChars="0" w:firstLine="482" w:firstLineChars="200"/>
              <w:jc w:val="both"/>
              <w:rPr>
                <w:rFonts w:hint="default" w:ascii="Times New Roman" w:hAnsi="Times New Roman" w:cs="Times New Roman"/>
                <w:b/>
                <w:bCs/>
                <w:color w:val="auto"/>
                <w:sz w:val="24"/>
                <w:szCs w:val="24"/>
                <w:highlight w:val="none"/>
              </w:rPr>
            </w:pPr>
            <w:r>
              <w:rPr>
                <w:rFonts w:hint="eastAsia" w:cs="Times New Roman"/>
                <w:b/>
                <w:bCs/>
                <w:color w:val="auto"/>
                <w:highlight w:val="none"/>
                <w:lang w:val="en-US" w:eastAsia="zh-CN"/>
              </w:rPr>
              <w:t>2.4.2.1.3</w:t>
            </w:r>
            <w:r>
              <w:rPr>
                <w:rFonts w:hint="default" w:ascii="Times New Roman" w:hAnsi="Times New Roman" w:cs="Times New Roman"/>
                <w:b/>
                <w:bCs/>
                <w:color w:val="auto"/>
                <w:sz w:val="24"/>
                <w:szCs w:val="24"/>
                <w:highlight w:val="none"/>
              </w:rPr>
              <w:t>疏浚工程</w:t>
            </w:r>
          </w:p>
          <w:p w14:paraId="3A7138B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s="Times New Roman"/>
                <w:b w:val="0"/>
                <w:bCs w:val="0"/>
                <w:snapToGrid w:val="0"/>
                <w:color w:val="auto"/>
                <w:sz w:val="24"/>
                <w:szCs w:val="22"/>
                <w:highlight w:val="none"/>
                <w:lang w:val="en-US" w:eastAsia="zh-CN" w:bidi="ar-SA"/>
              </w:rPr>
            </w:pPr>
            <w:r>
              <w:rPr>
                <w:rFonts w:hint="eastAsia" w:cs="Times New Roman"/>
                <w:b w:val="0"/>
                <w:bCs w:val="0"/>
                <w:snapToGrid w:val="0"/>
                <w:color w:val="auto"/>
                <w:sz w:val="24"/>
                <w:szCs w:val="22"/>
                <w:highlight w:val="none"/>
                <w:lang w:val="en-US" w:eastAsia="zh-CN" w:bidi="ar-SA"/>
              </w:rPr>
              <w:t>（1）石河镇二郎、福兴段</w:t>
            </w:r>
          </w:p>
          <w:p w14:paraId="073838E6">
            <w:pPr>
              <w:ind w:firstLine="480"/>
              <w:rPr>
                <w:color w:val="auto"/>
                <w:highlight w:val="none"/>
              </w:rPr>
            </w:pPr>
            <w:r>
              <w:rPr>
                <w:rFonts w:hint="eastAsia"/>
                <w:color w:val="auto"/>
                <w:highlight w:val="none"/>
                <w:lang w:val="en-US" w:eastAsia="zh-CN"/>
              </w:rPr>
              <w:t>该工程河段</w:t>
            </w:r>
            <w:r>
              <w:rPr>
                <w:rFonts w:hint="eastAsia"/>
                <w:color w:val="auto"/>
                <w:highlight w:val="none"/>
              </w:rPr>
              <w:t>清淤范围为</w:t>
            </w:r>
            <w:r>
              <w:rPr>
                <w:rFonts w:hint="eastAsia"/>
                <w:color w:val="auto"/>
                <w:highlight w:val="none"/>
                <w:lang w:val="en-US" w:eastAsia="zh-CN"/>
              </w:rPr>
              <w:t>该</w:t>
            </w:r>
            <w:r>
              <w:rPr>
                <w:rFonts w:hint="eastAsia"/>
                <w:color w:val="auto"/>
                <w:highlight w:val="none"/>
              </w:rPr>
              <w:t>治理工程涉及的柳城河干流二郎社区和支流福兴社区河段范</w:t>
            </w:r>
            <w:r>
              <w:rPr>
                <w:rFonts w:hint="eastAsia" w:ascii="Times New Roman" w:hAnsi="Times New Roman" w:eastAsia="宋体" w:cs="Times New Roman"/>
                <w:color w:val="auto"/>
                <w:highlight w:val="none"/>
              </w:rPr>
              <w:t>围，清淤高程为设计河床高程，清淤长度为7.429km。</w:t>
            </w:r>
            <w:r>
              <w:rPr>
                <w:rFonts w:hint="eastAsia" w:cs="Times New Roman"/>
                <w:color w:val="auto"/>
                <w:highlight w:val="none"/>
                <w:lang w:eastAsia="zh-CN"/>
              </w:rPr>
              <w:t>清淤河段主要为二郎整治k0+000~k5+634和福兴整治k0+000~k1+795</w:t>
            </w:r>
            <w:r>
              <w:rPr>
                <w:color w:val="auto"/>
                <w:highlight w:val="none"/>
              </w:rPr>
              <w:t>。</w:t>
            </w:r>
          </w:p>
          <w:p w14:paraId="46A93D5A">
            <w:pPr>
              <w:pStyle w:val="33"/>
              <w:ind w:firstLine="480"/>
              <w:rPr>
                <w:color w:val="auto"/>
                <w:highlight w:val="none"/>
              </w:rPr>
            </w:pPr>
            <w:r>
              <w:rPr>
                <w:color w:val="auto"/>
                <w:highlight w:val="none"/>
              </w:rPr>
              <w:t>二郎整治k0+000~</w:t>
            </w:r>
            <w:r>
              <w:rPr>
                <w:rFonts w:hint="eastAsia"/>
                <w:color w:val="auto"/>
                <w:highlight w:val="none"/>
                <w:lang w:eastAsia="zh-CN"/>
              </w:rPr>
              <w:t>k5+634</w:t>
            </w:r>
            <w:r>
              <w:rPr>
                <w:color w:val="auto"/>
                <w:highlight w:val="none"/>
              </w:rPr>
              <w:t>。长</w:t>
            </w:r>
            <w:r>
              <w:rPr>
                <w:rFonts w:hint="eastAsia"/>
                <w:color w:val="auto"/>
                <w:highlight w:val="none"/>
                <w:lang w:val="en-US" w:eastAsia="zh-CN"/>
              </w:rPr>
              <w:t>5634</w:t>
            </w:r>
            <w:r>
              <w:rPr>
                <w:color w:val="auto"/>
                <w:highlight w:val="none"/>
              </w:rPr>
              <w:t>m</w:t>
            </w:r>
            <w:r>
              <w:rPr>
                <w:rFonts w:hint="eastAsia"/>
                <w:color w:val="auto"/>
                <w:highlight w:val="none"/>
                <w:lang w:eastAsia="zh-CN"/>
              </w:rPr>
              <w:t>，</w:t>
            </w:r>
            <w:r>
              <w:rPr>
                <w:color w:val="auto"/>
                <w:highlight w:val="none"/>
              </w:rPr>
              <w:t>河宽25~30m</w:t>
            </w:r>
            <w:r>
              <w:rPr>
                <w:rFonts w:hint="eastAsia"/>
                <w:color w:val="auto"/>
                <w:highlight w:val="none"/>
                <w:lang w:eastAsia="zh-CN"/>
              </w:rPr>
              <w:t>。</w:t>
            </w:r>
            <w:r>
              <w:rPr>
                <w:color w:val="auto"/>
                <w:highlight w:val="none"/>
              </w:rPr>
              <w:t>乡村便道通至该河边段处，清淤机械和运输设备可就近下河作业。清淤在不影响河床稳定和岸坡稳定的情况下，</w:t>
            </w:r>
            <w:r>
              <w:rPr>
                <w:rFonts w:hint="eastAsia"/>
                <w:color w:val="auto"/>
                <w:highlight w:val="none"/>
                <w:lang w:eastAsia="zh-CN"/>
              </w:rPr>
              <w:t>平均清淤厚度0.50m，</w:t>
            </w:r>
            <w:r>
              <w:rPr>
                <w:rFonts w:hint="eastAsia"/>
                <w:color w:val="auto"/>
                <w:highlight w:val="none"/>
              </w:rPr>
              <w:t>清淤量为</w:t>
            </w:r>
            <w:r>
              <w:rPr>
                <w:rFonts w:hint="eastAsia"/>
                <w:color w:val="auto"/>
                <w:highlight w:val="none"/>
                <w:lang w:eastAsia="zh-CN"/>
              </w:rPr>
              <w:t>76059</w:t>
            </w:r>
            <w:r>
              <w:rPr>
                <w:color w:val="auto"/>
                <w:highlight w:val="none"/>
              </w:rPr>
              <w:t>m</w:t>
            </w:r>
            <w:r>
              <w:rPr>
                <w:color w:val="auto"/>
                <w:highlight w:val="none"/>
                <w:vertAlign w:val="superscript"/>
              </w:rPr>
              <w:t>3</w:t>
            </w:r>
            <w:r>
              <w:rPr>
                <w:color w:val="auto"/>
                <w:highlight w:val="none"/>
              </w:rPr>
              <w:t>。该段河床清淤纵向坡比1:10，横向坡比1:2.5~1:3，清淤边界离原始岸坡距离大于5m。</w:t>
            </w:r>
          </w:p>
          <w:p w14:paraId="123CD824">
            <w:pPr>
              <w:pStyle w:val="33"/>
              <w:ind w:firstLine="480"/>
              <w:rPr>
                <w:rFonts w:ascii="Times New Roman" w:hAnsi="Times New Roman" w:eastAsia="宋体" w:cs="Times New Roman"/>
                <w:color w:val="auto"/>
                <w:highlight w:val="none"/>
              </w:rPr>
            </w:pPr>
            <w:r>
              <w:rPr>
                <w:color w:val="auto"/>
                <w:highlight w:val="none"/>
              </w:rPr>
              <w:t>福兴清淤k0+000~</w:t>
            </w:r>
            <w:r>
              <w:rPr>
                <w:rFonts w:hint="eastAsia"/>
                <w:color w:val="auto"/>
                <w:highlight w:val="none"/>
                <w:lang w:eastAsia="zh-CN"/>
              </w:rPr>
              <w:t>k1+795</w:t>
            </w:r>
            <w:r>
              <w:rPr>
                <w:color w:val="auto"/>
                <w:highlight w:val="none"/>
              </w:rPr>
              <w:t>。长1795.00m</w:t>
            </w:r>
            <w:r>
              <w:rPr>
                <w:rFonts w:hint="eastAsia"/>
                <w:color w:val="auto"/>
                <w:highlight w:val="none"/>
                <w:lang w:eastAsia="zh-CN"/>
              </w:rPr>
              <w:t>，</w:t>
            </w:r>
            <w:r>
              <w:rPr>
                <w:color w:val="auto"/>
                <w:highlight w:val="none"/>
              </w:rPr>
              <w:t>河宽5~10m</w:t>
            </w:r>
            <w:r>
              <w:rPr>
                <w:rFonts w:hint="eastAsia"/>
                <w:color w:val="auto"/>
                <w:highlight w:val="none"/>
                <w:lang w:eastAsia="zh-CN"/>
              </w:rPr>
              <w:t>。</w:t>
            </w:r>
            <w:r>
              <w:rPr>
                <w:color w:val="auto"/>
                <w:highlight w:val="none"/>
              </w:rPr>
              <w:t>乡村便道通至该河边段处，清淤机械和运输设备可就近下河作业。清淤在不影响河床稳定和岸坡稳定的情况下，</w:t>
            </w:r>
            <w:r>
              <w:rPr>
                <w:rFonts w:hint="eastAsia"/>
                <w:color w:val="auto"/>
                <w:highlight w:val="none"/>
                <w:lang w:eastAsia="zh-CN"/>
              </w:rPr>
              <w:t>平均清淤厚度0.40m</w:t>
            </w:r>
            <w:r>
              <w:rPr>
                <w:color w:val="auto"/>
                <w:highlight w:val="none"/>
              </w:rPr>
              <w:t>，</w:t>
            </w:r>
            <w:r>
              <w:rPr>
                <w:rFonts w:hint="eastAsia"/>
                <w:color w:val="auto"/>
                <w:highlight w:val="none"/>
              </w:rPr>
              <w:t>清淤量为</w:t>
            </w:r>
            <w:r>
              <w:rPr>
                <w:rFonts w:hint="eastAsia"/>
                <w:color w:val="auto"/>
                <w:highlight w:val="none"/>
                <w:lang w:eastAsia="zh-CN"/>
              </w:rPr>
              <w:t>5026</w:t>
            </w:r>
            <w:r>
              <w:rPr>
                <w:color w:val="auto"/>
                <w:highlight w:val="none"/>
              </w:rPr>
              <w:t>m</w:t>
            </w:r>
            <w:r>
              <w:rPr>
                <w:color w:val="auto"/>
                <w:highlight w:val="none"/>
                <w:vertAlign w:val="superscript"/>
              </w:rPr>
              <w:t>3</w:t>
            </w:r>
            <w:r>
              <w:rPr>
                <w:color w:val="auto"/>
                <w:highlight w:val="none"/>
              </w:rPr>
              <w:t>。该段河床清淤纵向坡比1:10，横向坡比1:2.5~1:3，清淤边界离原始岸坡距离大于5m</w:t>
            </w:r>
            <w:r>
              <w:rPr>
                <w:rFonts w:ascii="Times New Roman" w:hAnsi="Times New Roman" w:eastAsia="宋体" w:cs="Times New Roman"/>
                <w:color w:val="auto"/>
                <w:highlight w:val="none"/>
              </w:rPr>
              <w:t>。</w:t>
            </w:r>
          </w:p>
          <w:p w14:paraId="2BAC692A">
            <w:pPr>
              <w:ind w:firstLine="480"/>
              <w:rPr>
                <w:rFonts w:hint="eastAsia" w:cs="Times New Roman"/>
                <w:color w:val="auto"/>
                <w:highlight w:val="none"/>
                <w:lang w:val="en-US" w:eastAsia="zh-CN"/>
              </w:rPr>
            </w:pPr>
            <w:r>
              <w:rPr>
                <w:rFonts w:hint="eastAsia" w:cs="Times New Roman"/>
                <w:color w:val="auto"/>
                <w:highlight w:val="none"/>
                <w:lang w:val="en-US" w:eastAsia="zh-CN"/>
              </w:rPr>
              <w:t>（2）石河镇石河镇段、双拱场段</w:t>
            </w:r>
          </w:p>
          <w:p w14:paraId="42FB1120">
            <w:pPr>
              <w:ind w:firstLine="480"/>
              <w:rPr>
                <w:color w:val="auto"/>
                <w:highlight w:val="none"/>
              </w:rPr>
            </w:pPr>
            <w:r>
              <w:rPr>
                <w:rFonts w:hint="eastAsia"/>
                <w:color w:val="auto"/>
                <w:highlight w:val="none"/>
                <w:lang w:val="en-US" w:eastAsia="zh-CN"/>
              </w:rPr>
              <w:t>该工程河段</w:t>
            </w:r>
            <w:r>
              <w:rPr>
                <w:rFonts w:hint="eastAsia"/>
                <w:color w:val="auto"/>
                <w:highlight w:val="none"/>
              </w:rPr>
              <w:t>清淤范围为</w:t>
            </w:r>
            <w:r>
              <w:rPr>
                <w:rFonts w:hint="eastAsia"/>
                <w:color w:val="auto"/>
                <w:highlight w:val="none"/>
                <w:lang w:val="en-US" w:eastAsia="zh-CN"/>
              </w:rPr>
              <w:t>该</w:t>
            </w:r>
            <w:r>
              <w:rPr>
                <w:rFonts w:hint="eastAsia"/>
                <w:color w:val="auto"/>
                <w:highlight w:val="none"/>
              </w:rPr>
              <w:t>治理工程涉及的柳城河</w:t>
            </w:r>
            <w:r>
              <w:rPr>
                <w:color w:val="auto"/>
                <w:highlight w:val="none"/>
              </w:rPr>
              <w:t>石河镇段、双拱场段</w:t>
            </w:r>
            <w:r>
              <w:rPr>
                <w:rFonts w:hint="eastAsia"/>
                <w:color w:val="auto"/>
                <w:highlight w:val="none"/>
              </w:rPr>
              <w:t>范</w:t>
            </w:r>
            <w:r>
              <w:rPr>
                <w:rFonts w:hint="eastAsia" w:ascii="Times New Roman" w:hAnsi="Times New Roman" w:eastAsia="宋体" w:cs="Times New Roman"/>
                <w:color w:val="auto"/>
                <w:highlight w:val="none"/>
              </w:rPr>
              <w:t>围，清淤高程为设计河床高程，清淤长度为</w:t>
            </w:r>
            <w:r>
              <w:rPr>
                <w:rFonts w:hint="eastAsia" w:cs="Times New Roman"/>
                <w:color w:val="auto"/>
                <w:highlight w:val="none"/>
                <w:lang w:eastAsia="zh-CN"/>
              </w:rPr>
              <w:t>4.6km</w:t>
            </w:r>
            <w:r>
              <w:rPr>
                <w:rFonts w:hint="eastAsia" w:ascii="Times New Roman" w:hAnsi="Times New Roman" w:eastAsia="宋体" w:cs="Times New Roman"/>
                <w:color w:val="auto"/>
                <w:highlight w:val="none"/>
              </w:rPr>
              <w:t>。</w:t>
            </w:r>
            <w:r>
              <w:rPr>
                <w:rFonts w:hint="eastAsia" w:cs="Times New Roman"/>
                <w:color w:val="auto"/>
                <w:highlight w:val="none"/>
                <w:lang w:eastAsia="zh-CN"/>
              </w:rPr>
              <w:t>清淤河段主要为石0+000~石2+450和双0+000~双2+150</w:t>
            </w:r>
            <w:r>
              <w:rPr>
                <w:color w:val="auto"/>
                <w:highlight w:val="none"/>
              </w:rPr>
              <w:t>。</w:t>
            </w:r>
          </w:p>
          <w:p w14:paraId="5CE8340A">
            <w:pPr>
              <w:ind w:firstLine="482"/>
              <w:rPr>
                <w:b w:val="0"/>
                <w:bCs w:val="0"/>
                <w:color w:val="auto"/>
                <w:highlight w:val="none"/>
              </w:rPr>
            </w:pPr>
            <w:r>
              <w:rPr>
                <w:b w:val="0"/>
                <w:bCs w:val="0"/>
                <w:color w:val="auto"/>
                <w:highlight w:val="none"/>
              </w:rPr>
              <w:t>石河镇段：</w:t>
            </w:r>
            <w:r>
              <w:rPr>
                <w:rFonts w:hint="eastAsia"/>
                <w:b w:val="0"/>
                <w:bCs w:val="0"/>
                <w:color w:val="auto"/>
                <w:highlight w:val="none"/>
                <w:lang w:val="en-US" w:eastAsia="zh-CN"/>
              </w:rPr>
              <w:t>清淤长度2450m</w:t>
            </w:r>
            <w:r>
              <w:rPr>
                <w:b w:val="0"/>
                <w:bCs w:val="0"/>
                <w:color w:val="auto"/>
                <w:highlight w:val="none"/>
              </w:rPr>
              <w:t>，平均河宽</w:t>
            </w:r>
            <w:r>
              <w:rPr>
                <w:rFonts w:hint="eastAsia"/>
                <w:b w:val="0"/>
                <w:bCs w:val="0"/>
                <w:color w:val="auto"/>
                <w:highlight w:val="none"/>
                <w:lang w:val="en-US" w:eastAsia="zh-CN"/>
              </w:rPr>
              <w:t>7</w:t>
            </w:r>
            <w:r>
              <w:rPr>
                <w:b w:val="0"/>
                <w:bCs w:val="0"/>
                <w:color w:val="auto"/>
                <w:highlight w:val="none"/>
              </w:rPr>
              <w:t>~15m</w:t>
            </w:r>
            <w:r>
              <w:rPr>
                <w:rFonts w:hint="eastAsia"/>
                <w:b w:val="0"/>
                <w:bCs w:val="0"/>
                <w:color w:val="auto"/>
                <w:highlight w:val="none"/>
                <w:lang w:eastAsia="zh-CN"/>
              </w:rPr>
              <w:t>。</w:t>
            </w:r>
            <w:r>
              <w:rPr>
                <w:b w:val="0"/>
                <w:bCs w:val="0"/>
                <w:color w:val="auto"/>
                <w:highlight w:val="none"/>
              </w:rPr>
              <w:t>乡村便道通至该河边段处，清淤机械和运输设备可就近下河作业。清淤在不影响河床稳定和岸坡稳定的情况下，</w:t>
            </w:r>
            <w:r>
              <w:rPr>
                <w:rFonts w:hint="eastAsia"/>
                <w:b w:val="0"/>
                <w:bCs w:val="0"/>
                <w:color w:val="auto"/>
                <w:highlight w:val="none"/>
                <w:lang w:eastAsia="zh-CN"/>
              </w:rPr>
              <w:t>平均清淤厚度0.</w:t>
            </w:r>
            <w:r>
              <w:rPr>
                <w:rFonts w:hint="eastAsia"/>
                <w:b w:val="0"/>
                <w:bCs w:val="0"/>
                <w:color w:val="auto"/>
                <w:highlight w:val="none"/>
                <w:lang w:val="en-US" w:eastAsia="zh-CN"/>
              </w:rPr>
              <w:t>22</w:t>
            </w:r>
            <w:r>
              <w:rPr>
                <w:rFonts w:hint="eastAsia"/>
                <w:b w:val="0"/>
                <w:bCs w:val="0"/>
                <w:color w:val="auto"/>
                <w:highlight w:val="none"/>
                <w:lang w:eastAsia="zh-CN"/>
              </w:rPr>
              <w:t>m，</w:t>
            </w:r>
            <w:r>
              <w:rPr>
                <w:b w:val="0"/>
                <w:bCs w:val="0"/>
                <w:color w:val="auto"/>
                <w:highlight w:val="none"/>
              </w:rPr>
              <w:t>石河镇段疏浚量约5451m</w:t>
            </w:r>
            <w:r>
              <w:rPr>
                <w:b w:val="0"/>
                <w:bCs w:val="0"/>
                <w:color w:val="auto"/>
                <w:highlight w:val="none"/>
                <w:vertAlign w:val="superscript"/>
              </w:rPr>
              <w:t>3</w:t>
            </w:r>
            <w:r>
              <w:rPr>
                <w:b w:val="0"/>
                <w:bCs w:val="0"/>
                <w:color w:val="auto"/>
                <w:highlight w:val="none"/>
              </w:rPr>
              <w:t>，疏浚边坡坡比不陡于1:3.0，清淤边界离原始岸坡距离大于5m。</w:t>
            </w:r>
          </w:p>
          <w:p w14:paraId="2409C61F">
            <w:pPr>
              <w:pStyle w:val="33"/>
              <w:ind w:firstLine="480"/>
              <w:rPr>
                <w:rFonts w:ascii="Times New Roman" w:hAnsi="Times New Roman" w:eastAsia="宋体" w:cs="Times New Roman"/>
                <w:b w:val="0"/>
                <w:bCs w:val="0"/>
                <w:color w:val="auto"/>
                <w:highlight w:val="none"/>
              </w:rPr>
            </w:pPr>
            <w:r>
              <w:rPr>
                <w:rFonts w:hint="eastAsia"/>
                <w:b w:val="0"/>
                <w:bCs w:val="0"/>
                <w:color w:val="auto"/>
                <w:highlight w:val="none"/>
                <w:lang w:val="en-US" w:eastAsia="zh-CN"/>
              </w:rPr>
              <w:t>双拱场段：清淤长度2150m</w:t>
            </w:r>
            <w:r>
              <w:rPr>
                <w:b w:val="0"/>
                <w:bCs w:val="0"/>
                <w:color w:val="auto"/>
                <w:highlight w:val="none"/>
              </w:rPr>
              <w:t>，平均</w:t>
            </w:r>
            <w:r>
              <w:rPr>
                <w:b w:val="0"/>
                <w:bCs w:val="0"/>
                <w:color w:val="auto"/>
                <w:highlight w:val="none"/>
                <w:lang w:val="zh-CN"/>
              </w:rPr>
              <w:t>河宽13~27m</w:t>
            </w:r>
            <w:r>
              <w:rPr>
                <w:rFonts w:hint="eastAsia"/>
                <w:b w:val="0"/>
                <w:bCs w:val="0"/>
                <w:color w:val="auto"/>
                <w:highlight w:val="none"/>
                <w:lang w:eastAsia="zh-CN"/>
              </w:rPr>
              <w:t>。</w:t>
            </w:r>
            <w:r>
              <w:rPr>
                <w:b w:val="0"/>
                <w:bCs w:val="0"/>
                <w:color w:val="auto"/>
                <w:highlight w:val="none"/>
              </w:rPr>
              <w:t>乡村便道通至该河边段处，清淤机械和运输设备可就近下河作业。清淤在不影响河床稳定和岸坡稳定的情况下，</w:t>
            </w:r>
            <w:r>
              <w:rPr>
                <w:rFonts w:hint="eastAsia"/>
                <w:b w:val="0"/>
                <w:bCs w:val="0"/>
                <w:color w:val="auto"/>
                <w:highlight w:val="none"/>
                <w:lang w:eastAsia="zh-CN"/>
              </w:rPr>
              <w:t>平均清淤厚度0.</w:t>
            </w:r>
            <w:r>
              <w:rPr>
                <w:rFonts w:hint="eastAsia"/>
                <w:b w:val="0"/>
                <w:bCs w:val="0"/>
                <w:color w:val="auto"/>
                <w:highlight w:val="none"/>
                <w:lang w:val="en-US" w:eastAsia="zh-CN"/>
              </w:rPr>
              <w:t>2</w:t>
            </w:r>
            <w:r>
              <w:rPr>
                <w:rFonts w:hint="eastAsia"/>
                <w:b w:val="0"/>
                <w:bCs w:val="0"/>
                <w:color w:val="auto"/>
                <w:highlight w:val="none"/>
                <w:lang w:eastAsia="zh-CN"/>
              </w:rPr>
              <w:t>0m</w:t>
            </w:r>
            <w:r>
              <w:rPr>
                <w:b w:val="0"/>
                <w:bCs w:val="0"/>
                <w:color w:val="auto"/>
                <w:highlight w:val="none"/>
              </w:rPr>
              <w:t>，双拱疏浚量约7291m</w:t>
            </w:r>
            <w:r>
              <w:rPr>
                <w:b w:val="0"/>
                <w:bCs w:val="0"/>
                <w:color w:val="auto"/>
                <w:highlight w:val="none"/>
                <w:vertAlign w:val="superscript"/>
              </w:rPr>
              <w:t>3</w:t>
            </w:r>
            <w:r>
              <w:rPr>
                <w:b w:val="0"/>
                <w:bCs w:val="0"/>
                <w:color w:val="auto"/>
                <w:highlight w:val="none"/>
              </w:rPr>
              <w:t>，疏浚边坡坡比不陡于1:3.0，清淤边界离原始岸坡距离大于5m</w:t>
            </w:r>
            <w:r>
              <w:rPr>
                <w:rFonts w:ascii="Times New Roman" w:hAnsi="Times New Roman" w:eastAsia="宋体" w:cs="Times New Roman"/>
                <w:b w:val="0"/>
                <w:bCs w:val="0"/>
                <w:color w:val="auto"/>
                <w:highlight w:val="none"/>
              </w:rPr>
              <w:t>。</w:t>
            </w:r>
          </w:p>
          <w:p w14:paraId="0AEF42BF">
            <w:pPr>
              <w:pStyle w:val="33"/>
              <w:ind w:firstLine="480"/>
              <w:rPr>
                <w:rFonts w:hint="eastAsia" w:cs="Times New Roman"/>
                <w:color w:val="auto"/>
                <w:sz w:val="24"/>
                <w:szCs w:val="24"/>
                <w:highlight w:val="none"/>
                <w:lang w:eastAsia="zh-CN"/>
              </w:rPr>
            </w:pPr>
            <w:r>
              <w:rPr>
                <w:rFonts w:hint="eastAsia" w:ascii="Times New Roman" w:hAnsi="Times New Roman" w:eastAsia="宋体" w:cs="Times New Roman"/>
                <w:color w:val="auto"/>
                <w:highlight w:val="none"/>
              </w:rPr>
              <w:t>防洪堤修建完工后，应进行竣工</w:t>
            </w:r>
            <w:r>
              <w:rPr>
                <w:rFonts w:hint="eastAsia" w:ascii="Times New Roman" w:hAnsi="Times New Roman" w:eastAsia="宋体" w:cs="Times New Roman"/>
                <w:color w:val="auto"/>
                <w:sz w:val="24"/>
                <w:szCs w:val="24"/>
                <w:highlight w:val="none"/>
              </w:rPr>
              <w:t>清理，清除工程范围内的建筑垃圾、杂物及河道内的碍洪建筑物</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所有清淤范围与涉河建筑物及岸坡应预留10m长的保护距离不开挖</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二郎、福兴段、石河镇段均不设置</w:t>
            </w:r>
            <w:r>
              <w:rPr>
                <w:rFonts w:hint="default" w:ascii="Times New Roman" w:hAnsi="Times New Roman" w:cs="Times New Roman"/>
                <w:color w:val="auto"/>
                <w:sz w:val="24"/>
                <w:szCs w:val="24"/>
                <w:highlight w:val="none"/>
                <w:lang w:val="en-US" w:eastAsia="zh-CN"/>
              </w:rPr>
              <w:t>疏浚淤泥干化场，</w:t>
            </w:r>
            <w:r>
              <w:rPr>
                <w:rFonts w:hint="eastAsia" w:cs="Times New Roman"/>
                <w:color w:val="auto"/>
                <w:sz w:val="24"/>
                <w:szCs w:val="24"/>
                <w:highlight w:val="none"/>
                <w:lang w:val="en-US" w:eastAsia="zh-CN"/>
              </w:rPr>
              <w:t>疏浚淤泥沿河道岸坡临时堆存，自然干化</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仅石河镇</w:t>
            </w:r>
            <w:r>
              <w:rPr>
                <w:rFonts w:hint="eastAsia" w:cs="Times New Roman"/>
                <w:b w:val="0"/>
                <w:bCs w:val="0"/>
                <w:color w:val="auto"/>
                <w:sz w:val="24"/>
                <w:szCs w:val="24"/>
                <w:highlight w:val="none"/>
                <w:lang w:val="en-US" w:eastAsia="zh-CN"/>
              </w:rPr>
              <w:t>双拱场段</w:t>
            </w:r>
            <w:r>
              <w:rPr>
                <w:rFonts w:hint="default" w:ascii="Times New Roman" w:hAnsi="Times New Roman" w:cs="Times New Roman"/>
                <w:b w:val="0"/>
                <w:bCs w:val="0"/>
                <w:color w:val="auto"/>
                <w:sz w:val="24"/>
                <w:szCs w:val="24"/>
                <w:highlight w:val="none"/>
                <w:lang w:val="en-US" w:eastAsia="zh-CN"/>
              </w:rPr>
              <w:t>设有</w:t>
            </w:r>
            <w:r>
              <w:rPr>
                <w:rFonts w:hint="eastAsia" w:cs="Times New Roman"/>
                <w:b w:val="0"/>
                <w:bCs w:val="0"/>
                <w:color w:val="auto"/>
                <w:sz w:val="24"/>
                <w:szCs w:val="24"/>
                <w:highlight w:val="none"/>
                <w:lang w:val="en-US" w:eastAsia="zh-CN"/>
              </w:rPr>
              <w:t>1</w:t>
            </w:r>
            <w:r>
              <w:rPr>
                <w:rFonts w:hint="default" w:ascii="Times New Roman" w:hAnsi="Times New Roman" w:cs="Times New Roman"/>
                <w:b w:val="0"/>
                <w:bCs w:val="0"/>
                <w:color w:val="auto"/>
                <w:sz w:val="24"/>
                <w:szCs w:val="24"/>
                <w:highlight w:val="none"/>
                <w:lang w:val="en-US" w:eastAsia="zh-CN"/>
              </w:rPr>
              <w:t>处疏浚淤泥干化场</w:t>
            </w:r>
            <w:r>
              <w:rPr>
                <w:rFonts w:hint="eastAsia" w:cs="Times New Roman"/>
                <w:b w:val="0"/>
                <w:bCs w:val="0"/>
                <w:color w:val="auto"/>
                <w:sz w:val="24"/>
                <w:szCs w:val="24"/>
                <w:highlight w:val="none"/>
                <w:lang w:val="en-US" w:eastAsia="zh-CN"/>
              </w:rPr>
              <w:t>。</w:t>
            </w:r>
            <w:r>
              <w:rPr>
                <w:rFonts w:hint="eastAsia" w:cs="Times New Roman"/>
                <w:color w:val="auto"/>
                <w:sz w:val="24"/>
                <w:szCs w:val="24"/>
                <w:highlight w:val="none"/>
                <w:lang w:val="en-US" w:eastAsia="zh-CN"/>
              </w:rPr>
              <w:t>可直接利用的部分由周边居民用于农田做肥料，</w:t>
            </w:r>
            <w:r>
              <w:rPr>
                <w:rFonts w:hint="eastAsia"/>
                <w:color w:val="auto"/>
                <w:sz w:val="24"/>
                <w:szCs w:val="24"/>
                <w:highlight w:val="none"/>
                <w:lang w:val="en-US" w:eastAsia="zh-CN"/>
              </w:rPr>
              <w:t>含砂石量多的疏浚砂石用于沿线低洼地区回填</w:t>
            </w:r>
            <w:r>
              <w:rPr>
                <w:rFonts w:hint="eastAsia" w:cs="Times New Roman"/>
                <w:color w:val="auto"/>
                <w:sz w:val="24"/>
                <w:szCs w:val="24"/>
                <w:highlight w:val="none"/>
                <w:lang w:val="en-US" w:eastAsia="zh-CN"/>
              </w:rPr>
              <w:t>；经晾干后的不可直接利用清淤淤泥运往市政规划的弃渣场</w:t>
            </w:r>
            <w:r>
              <w:rPr>
                <w:rFonts w:hint="eastAsia" w:cs="Times New Roman"/>
                <w:color w:val="auto"/>
                <w:sz w:val="24"/>
                <w:szCs w:val="24"/>
                <w:highlight w:val="none"/>
                <w:lang w:eastAsia="zh-CN"/>
              </w:rPr>
              <w:t>。</w:t>
            </w:r>
          </w:p>
          <w:p w14:paraId="517FB754">
            <w:pPr>
              <w:pStyle w:val="21"/>
              <w:ind w:left="0" w:leftChars="0" w:firstLine="0" w:firstLineChars="0"/>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2.4.2.</w:t>
            </w:r>
            <w:r>
              <w:rPr>
                <w:rFonts w:hint="eastAsia" w:cs="Times New Roman"/>
                <w:b/>
                <w:bCs/>
                <w:color w:val="auto"/>
                <w:highlight w:val="none"/>
                <w:lang w:val="en-US" w:eastAsia="zh-CN"/>
              </w:rPr>
              <w:t>1.4岸坡清理</w:t>
            </w:r>
            <w:r>
              <w:rPr>
                <w:rFonts w:hint="eastAsia"/>
                <w:b/>
                <w:bCs/>
                <w:color w:val="auto"/>
                <w:highlight w:val="none"/>
              </w:rPr>
              <w:t>工程</w:t>
            </w:r>
          </w:p>
          <w:p w14:paraId="027C4150">
            <w:pPr>
              <w:rPr>
                <w:snapToGrid w:val="0"/>
                <w:color w:val="auto"/>
                <w:highlight w:val="none"/>
              </w:rPr>
            </w:pPr>
            <w:r>
              <w:rPr>
                <w:rFonts w:hint="eastAsia" w:cs="Times New Roman"/>
                <w:color w:val="auto"/>
                <w:highlight w:val="none"/>
                <w:lang w:val="en-US" w:eastAsia="zh-CN"/>
              </w:rPr>
              <w:t>石河镇石河镇段、双拱场段</w:t>
            </w:r>
            <w:r>
              <w:rPr>
                <w:color w:val="auto"/>
                <w:highlight w:val="none"/>
              </w:rPr>
              <w:t>针对河岸上各种杂物进行清理。共清理河岸总长5436m，</w:t>
            </w:r>
            <w:r>
              <w:rPr>
                <w:rFonts w:hint="eastAsia"/>
                <w:color w:val="auto"/>
                <w:highlight w:val="none"/>
                <w:lang w:val="en-US" w:eastAsia="zh-CN"/>
              </w:rPr>
              <w:t>其中</w:t>
            </w:r>
            <w:r>
              <w:rPr>
                <w:color w:val="auto"/>
                <w:highlight w:val="none"/>
              </w:rPr>
              <w:t>石河镇段长2786m（左岸1992m</w:t>
            </w:r>
            <w:r>
              <w:rPr>
                <w:rFonts w:hint="eastAsia"/>
                <w:color w:val="auto"/>
                <w:highlight w:val="none"/>
                <w:lang w:eastAsia="zh-CN"/>
              </w:rPr>
              <w:t>、</w:t>
            </w:r>
            <w:r>
              <w:rPr>
                <w:color w:val="auto"/>
                <w:highlight w:val="none"/>
              </w:rPr>
              <w:t>右岸317m）</w:t>
            </w:r>
            <w:r>
              <w:rPr>
                <w:rFonts w:hint="eastAsia"/>
                <w:color w:val="auto"/>
                <w:highlight w:val="none"/>
                <w:lang w:eastAsia="zh-CN"/>
              </w:rPr>
              <w:t>，</w:t>
            </w:r>
            <w:r>
              <w:rPr>
                <w:color w:val="auto"/>
                <w:highlight w:val="none"/>
              </w:rPr>
              <w:t>双拱场段长2650m（左岸1582m</w:t>
            </w:r>
            <w:r>
              <w:rPr>
                <w:rFonts w:hint="eastAsia"/>
                <w:color w:val="auto"/>
                <w:highlight w:val="none"/>
                <w:lang w:eastAsia="zh-CN"/>
              </w:rPr>
              <w:t>、</w:t>
            </w:r>
            <w:r>
              <w:rPr>
                <w:color w:val="auto"/>
                <w:highlight w:val="none"/>
              </w:rPr>
              <w:t>右岸1453m）</w:t>
            </w:r>
            <w:r>
              <w:rPr>
                <w:snapToGrid w:val="0"/>
                <w:color w:val="auto"/>
                <w:highlight w:val="none"/>
              </w:rPr>
              <w:t>。</w:t>
            </w:r>
          </w:p>
          <w:p w14:paraId="49EDD60F">
            <w:pPr>
              <w:rPr>
                <w:rFonts w:hint="default" w:eastAsia="宋体"/>
                <w:snapToGrid w:val="0"/>
                <w:color w:val="auto"/>
                <w:highlight w:val="none"/>
                <w:lang w:val="en-US" w:eastAsia="zh-CN"/>
              </w:rPr>
            </w:pPr>
            <w:r>
              <w:rPr>
                <w:rFonts w:hint="eastAsia"/>
                <w:snapToGrid w:val="0"/>
                <w:color w:val="auto"/>
                <w:highlight w:val="none"/>
                <w:lang w:val="en-US" w:eastAsia="zh-CN"/>
              </w:rPr>
              <w:t>采用人工与设备相结合的方式清理河岸上的各种杂物。</w:t>
            </w:r>
            <w:r>
              <w:rPr>
                <w:rFonts w:hint="eastAsia" w:eastAsia="宋体"/>
                <w:b w:val="0"/>
                <w:bCs w:val="0"/>
                <w:color w:val="auto"/>
                <w:highlight w:val="none"/>
                <w:lang w:val="en-US" w:eastAsia="zh-CN"/>
              </w:rPr>
              <w:t>生活垃圾交</w:t>
            </w:r>
            <w:r>
              <w:rPr>
                <w:rFonts w:hint="default" w:eastAsia="宋体"/>
                <w:b w:val="0"/>
                <w:bCs w:val="0"/>
                <w:color w:val="auto"/>
                <w:highlight w:val="none"/>
                <w:lang w:val="en-US" w:eastAsia="zh-CN"/>
              </w:rPr>
              <w:t>由环卫部门清运</w:t>
            </w:r>
            <w:r>
              <w:rPr>
                <w:rFonts w:hint="eastAsia" w:eastAsia="宋体"/>
                <w:b w:val="0"/>
                <w:bCs w:val="0"/>
                <w:color w:val="auto"/>
                <w:highlight w:val="none"/>
                <w:lang w:val="en-US" w:eastAsia="zh-CN"/>
              </w:rPr>
              <w:t>，建筑废渣</w:t>
            </w:r>
            <w:r>
              <w:rPr>
                <w:rFonts w:hint="default" w:eastAsia="宋体"/>
                <w:b w:val="0"/>
                <w:bCs w:val="0"/>
                <w:color w:val="auto"/>
                <w:highlight w:val="none"/>
                <w:lang w:val="en-US" w:eastAsia="zh-CN"/>
              </w:rPr>
              <w:t>作为弃渣运往市政规划的弃渣场</w:t>
            </w:r>
            <w:r>
              <w:rPr>
                <w:rFonts w:hint="eastAsia" w:eastAsia="宋体"/>
                <w:b w:val="0"/>
                <w:bCs w:val="0"/>
                <w:color w:val="auto"/>
                <w:highlight w:val="none"/>
                <w:lang w:val="en-US" w:eastAsia="zh-CN"/>
              </w:rPr>
              <w:t>。</w:t>
            </w:r>
          </w:p>
          <w:p w14:paraId="48B69DAE">
            <w:pPr>
              <w:pStyle w:val="21"/>
              <w:ind w:firstLine="482" w:firstLineChars="200"/>
              <w:jc w:val="both"/>
              <w:rPr>
                <w:rFonts w:hint="eastAsia"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2.</w:t>
            </w:r>
            <w:r>
              <w:rPr>
                <w:rFonts w:hint="default" w:ascii="Times New Roman" w:hAnsi="Times New Roman" w:cs="Times New Roman"/>
                <w:b/>
                <w:bCs/>
                <w:color w:val="auto"/>
                <w:highlight w:val="none"/>
                <w:lang w:val="en-US" w:eastAsia="zh-CN"/>
              </w:rPr>
              <w:t>4.</w:t>
            </w:r>
            <w:r>
              <w:rPr>
                <w:rFonts w:hint="eastAsia" w:cs="Times New Roman"/>
                <w:b/>
                <w:bCs/>
                <w:color w:val="auto"/>
                <w:highlight w:val="none"/>
                <w:lang w:val="en-US" w:eastAsia="zh-CN"/>
              </w:rPr>
              <w:t>2.1.5</w:t>
            </w:r>
            <w:r>
              <w:rPr>
                <w:rFonts w:hint="default" w:ascii="Times New Roman" w:hAnsi="Times New Roman" w:cs="Times New Roman"/>
                <w:b/>
                <w:bCs/>
                <w:color w:val="auto"/>
                <w:highlight w:val="none"/>
              </w:rPr>
              <w:t xml:space="preserve"> </w:t>
            </w:r>
            <w:r>
              <w:rPr>
                <w:rFonts w:hint="eastAsia" w:cs="Times New Roman"/>
                <w:b/>
                <w:bCs/>
                <w:color w:val="auto"/>
                <w:highlight w:val="none"/>
                <w:lang w:eastAsia="zh-CN"/>
              </w:rPr>
              <w:t>附属工程</w:t>
            </w:r>
          </w:p>
          <w:p w14:paraId="6F77541A">
            <w:pPr>
              <w:pStyle w:val="21"/>
              <w:ind w:firstLine="48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（1）观测</w:t>
            </w:r>
            <w:r>
              <w:rPr>
                <w:rFonts w:hint="default" w:ascii="Times New Roman" w:hAnsi="Times New Roman" w:cs="Times New Roman"/>
                <w:color w:val="auto"/>
                <w:szCs w:val="24"/>
                <w:highlight w:val="none"/>
                <w:lang w:val="en-US" w:eastAsia="zh-CN"/>
              </w:rPr>
              <w:t>布置</w:t>
            </w:r>
          </w:p>
          <w:p w14:paraId="400CB5D2">
            <w:pPr>
              <w:ind w:firstLine="480"/>
              <w:rPr>
                <w:rFonts w:hint="default" w:ascii="Times New Roman" w:hAnsi="Times New Roman" w:eastAsia="宋体" w:cs="Times New Roman"/>
                <w:color w:val="auto"/>
                <w:highlight w:val="none"/>
              </w:rPr>
            </w:pPr>
            <w:r>
              <w:rPr>
                <w:color w:val="auto"/>
                <w:highlight w:val="none"/>
              </w:rPr>
              <w:t>堤身沉降观测</w:t>
            </w:r>
            <w:r>
              <w:rPr>
                <w:rFonts w:hint="default" w:ascii="Times New Roman" w:hAnsi="Times New Roman" w:cs="Times New Roman"/>
                <w:color w:val="auto"/>
                <w:szCs w:val="24"/>
                <w:highlight w:val="none"/>
              </w:rPr>
              <w:t>：</w:t>
            </w:r>
            <w:r>
              <w:rPr>
                <w:color w:val="auto"/>
                <w:highlight w:val="none"/>
              </w:rPr>
              <w:t>本</w:t>
            </w:r>
            <w:r>
              <w:rPr>
                <w:rFonts w:hint="eastAsia"/>
                <w:color w:val="auto"/>
                <w:highlight w:val="none"/>
                <w:lang w:val="en-US" w:eastAsia="zh-CN"/>
              </w:rPr>
              <w:t>项目</w:t>
            </w:r>
            <w:r>
              <w:rPr>
                <w:color w:val="auto"/>
                <w:highlight w:val="none"/>
              </w:rPr>
              <w:t>左、右岸堤身在堤顶分别设置专门固定测量标点进行定期的沉降观测，观测断面约300m一个，观测点采用预制砼结构，结构尺寸为100×15×15c</w:t>
            </w:r>
            <w:r>
              <w:rPr>
                <w:rFonts w:ascii="Times New Roman" w:hAnsi="Times New Roman" w:eastAsia="宋体" w:cs="Times New Roman"/>
                <w:color w:val="auto"/>
                <w:highlight w:val="none"/>
              </w:rPr>
              <w:t>m</w:t>
            </w:r>
            <w:r>
              <w:rPr>
                <w:rFonts w:hint="default" w:ascii="Times New Roman" w:hAnsi="Times New Roman" w:eastAsia="宋体" w:cs="Times New Roman"/>
                <w:color w:val="auto"/>
                <w:highlight w:val="none"/>
              </w:rPr>
              <w:t>。</w:t>
            </w:r>
          </w:p>
          <w:p w14:paraId="1D97250E">
            <w:pPr>
              <w:ind w:firstLine="480"/>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水位观测</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在工程河段起止点、支流与堤防连接处分别各设立一个固定水尺进行水位观测</w:t>
            </w:r>
            <w:r>
              <w:rPr>
                <w:rFonts w:hint="default" w:ascii="Times New Roman" w:hAnsi="Times New Roman" w:eastAsia="宋体" w:cs="Times New Roman"/>
                <w:color w:val="auto"/>
                <w:highlight w:val="none"/>
              </w:rPr>
              <w:t>。</w:t>
            </w:r>
          </w:p>
          <w:p w14:paraId="06B55EAA">
            <w:pPr>
              <w:ind w:firstLine="480"/>
              <w:rPr>
                <w:rFonts w:hint="default" w:ascii="Times New Roman" w:hAnsi="Times New Roman" w:eastAsia="宋体" w:cs="Times New Roman"/>
                <w:color w:val="auto"/>
                <w:highlight w:val="none"/>
              </w:rPr>
            </w:pPr>
            <w:r>
              <w:rPr>
                <w:rFonts w:ascii="Times New Roman" w:hAnsi="Times New Roman" w:eastAsia="宋体" w:cs="Times New Roman"/>
                <w:color w:val="auto"/>
                <w:highlight w:val="none"/>
              </w:rPr>
              <w:t>表面观测</w:t>
            </w:r>
            <w:r>
              <w:rPr>
                <w:rFonts w:hint="eastAsia" w:ascii="Times New Roman" w:hAnsi="Times New Roman" w:eastAsia="宋体" w:cs="Times New Roman"/>
                <w:color w:val="auto"/>
                <w:highlight w:val="none"/>
                <w:lang w:eastAsia="zh-CN"/>
              </w:rPr>
              <w:t>：</w:t>
            </w:r>
            <w:r>
              <w:rPr>
                <w:rFonts w:ascii="Times New Roman" w:hAnsi="Times New Roman" w:eastAsia="宋体" w:cs="Times New Roman"/>
                <w:color w:val="auto"/>
                <w:highlight w:val="none"/>
              </w:rPr>
              <w:t>表面观测采用人工巡视检查。正常情况下宜每月检查1次，在大雨及汛期，必须每天进行巡视检查密切关注堤身、堤基的安全</w:t>
            </w:r>
            <w:r>
              <w:rPr>
                <w:rFonts w:hint="default" w:ascii="Times New Roman" w:hAnsi="Times New Roman" w:eastAsia="宋体" w:cs="Times New Roman"/>
                <w:color w:val="auto"/>
                <w:highlight w:val="none"/>
              </w:rPr>
              <w:t>。</w:t>
            </w:r>
          </w:p>
          <w:p w14:paraId="44010AA0">
            <w:pPr>
              <w:pStyle w:val="21"/>
              <w:ind w:firstLine="482" w:firstLineChars="200"/>
              <w:jc w:val="both"/>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rPr>
              <w:t>2.</w:t>
            </w:r>
            <w:r>
              <w:rPr>
                <w:rFonts w:hint="default" w:ascii="Times New Roman" w:hAnsi="Times New Roman" w:cs="Times New Roman"/>
                <w:b/>
                <w:bCs/>
                <w:color w:val="auto"/>
                <w:highlight w:val="none"/>
                <w:lang w:val="en-US" w:eastAsia="zh-CN"/>
              </w:rPr>
              <w:t>4.</w:t>
            </w:r>
            <w:r>
              <w:rPr>
                <w:rFonts w:hint="eastAsia" w:cs="Times New Roman"/>
                <w:b/>
                <w:bCs/>
                <w:color w:val="auto"/>
                <w:highlight w:val="none"/>
                <w:lang w:val="en-US" w:eastAsia="zh-CN"/>
              </w:rPr>
              <w:t>2.2</w:t>
            </w:r>
            <w:r>
              <w:rPr>
                <w:rFonts w:hint="default" w:ascii="Times New Roman" w:hAnsi="Times New Roman" w:cs="Times New Roman"/>
                <w:b/>
                <w:bCs/>
                <w:color w:val="auto"/>
                <w:highlight w:val="none"/>
              </w:rPr>
              <w:t xml:space="preserve"> </w:t>
            </w:r>
            <w:r>
              <w:rPr>
                <w:rFonts w:hint="eastAsia" w:cs="Times New Roman"/>
                <w:b/>
                <w:bCs/>
                <w:color w:val="auto"/>
                <w:highlight w:val="none"/>
                <w:lang w:val="en-US" w:eastAsia="zh-CN"/>
              </w:rPr>
              <w:t>东柳河清河镇段防洪工程</w:t>
            </w:r>
          </w:p>
          <w:p w14:paraId="6C46327D">
            <w:pPr>
              <w:pStyle w:val="18"/>
              <w:keepNext w:val="0"/>
              <w:keepLines w:val="0"/>
              <w:pageBreakBefore w:val="0"/>
              <w:widowControl w:val="0"/>
              <w:kinsoku/>
              <w:wordWrap/>
              <w:overflowPunct/>
              <w:topLinePunct w:val="0"/>
              <w:bidi w:val="0"/>
              <w:snapToGrid/>
              <w:spacing w:line="360" w:lineRule="auto"/>
              <w:ind w:left="0" w:leftChars="0" w:firstLine="0" w:firstLineChars="0"/>
              <w:textAlignment w:val="auto"/>
              <w:rPr>
                <w:rFonts w:hint="default" w:ascii="Times New Roman" w:hAnsi="Times New Roman" w:eastAsia="宋体" w:cs="Times New Roman"/>
                <w:b/>
                <w:bCs w:val="0"/>
                <w:color w:val="auto"/>
                <w:kern w:val="0"/>
                <w:sz w:val="24"/>
                <w:szCs w:val="24"/>
                <w:highlight w:val="none"/>
                <w:lang w:val="en-US" w:eastAsia="zh-CN" w:bidi="ar-SA"/>
              </w:rPr>
            </w:pPr>
            <w:r>
              <w:rPr>
                <w:rFonts w:hint="default" w:ascii="Times New Roman" w:hAnsi="Times New Roman" w:cs="Times New Roman"/>
                <w:b/>
                <w:bCs w:val="0"/>
                <w:color w:val="auto"/>
                <w:sz w:val="24"/>
                <w:highlight w:val="none"/>
                <w:lang w:val="en-US" w:eastAsia="zh-CN"/>
              </w:rPr>
              <w:t>2.4.2.2.1</w:t>
            </w:r>
            <w:r>
              <w:rPr>
                <w:rFonts w:hint="default" w:ascii="Times New Roman" w:hAnsi="Times New Roman" w:eastAsia="宋体" w:cs="Times New Roman"/>
                <w:b/>
                <w:bCs w:val="0"/>
                <w:color w:val="auto"/>
                <w:sz w:val="24"/>
                <w:highlight w:val="none"/>
                <w:lang w:val="en-US" w:eastAsia="zh-CN"/>
              </w:rPr>
              <w:t xml:space="preserve"> </w:t>
            </w:r>
            <w:r>
              <w:rPr>
                <w:rFonts w:hint="default" w:ascii="Times New Roman" w:hAnsi="Times New Roman" w:eastAsia="宋体" w:cs="Times New Roman"/>
                <w:b/>
                <w:bCs w:val="0"/>
                <w:color w:val="auto"/>
                <w:kern w:val="0"/>
                <w:sz w:val="24"/>
                <w:szCs w:val="24"/>
                <w:highlight w:val="none"/>
                <w:lang w:val="en-US" w:eastAsia="zh-CN" w:bidi="ar-SA"/>
              </w:rPr>
              <w:t>堤防工程</w:t>
            </w:r>
          </w:p>
          <w:p w14:paraId="22725E29">
            <w:pPr>
              <w:pStyle w:val="18"/>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宋体" w:eastAsia="宋体" w:cs="Times New Roman"/>
                <w:b w:val="0"/>
                <w:color w:val="auto"/>
                <w:kern w:val="0"/>
                <w:sz w:val="24"/>
                <w:szCs w:val="24"/>
                <w:highlight w:val="none"/>
                <w:lang w:val="en-US" w:eastAsia="zh-CN" w:bidi="ar-SA"/>
              </w:rPr>
            </w:pPr>
            <w:r>
              <w:rPr>
                <w:rFonts w:hint="eastAsia" w:cs="Times New Roman"/>
                <w:b w:val="0"/>
                <w:color w:val="auto"/>
                <w:kern w:val="0"/>
                <w:sz w:val="24"/>
                <w:szCs w:val="24"/>
                <w:highlight w:val="none"/>
                <w:lang w:val="en-US" w:eastAsia="zh-CN" w:bidi="ar-SA"/>
              </w:rPr>
              <w:t>清河镇段</w:t>
            </w:r>
            <w:r>
              <w:rPr>
                <w:rFonts w:hint="eastAsia" w:ascii="Times New Roman" w:hAnsi="宋体" w:eastAsia="宋体" w:cs="Times New Roman"/>
                <w:b w:val="0"/>
                <w:color w:val="auto"/>
                <w:kern w:val="0"/>
                <w:sz w:val="24"/>
                <w:szCs w:val="24"/>
                <w:highlight w:val="none"/>
                <w:lang w:val="en-US" w:eastAsia="zh-CN" w:bidi="ar-SA"/>
              </w:rPr>
              <w:t>堤防工程包括东柳河干流段和田家沟支流段两部分组成。</w:t>
            </w:r>
          </w:p>
          <w:p w14:paraId="67798168">
            <w:pPr>
              <w:pStyle w:val="18"/>
              <w:keepNext w:val="0"/>
              <w:keepLines w:val="0"/>
              <w:pageBreakBefore w:val="0"/>
              <w:widowControl w:val="0"/>
              <w:kinsoku/>
              <w:wordWrap/>
              <w:overflowPunct/>
              <w:topLinePunct w:val="0"/>
              <w:bidi w:val="0"/>
              <w:snapToGrid/>
              <w:spacing w:line="360" w:lineRule="auto"/>
              <w:ind w:firstLine="482" w:firstLineChars="200"/>
              <w:textAlignment w:val="auto"/>
              <w:rPr>
                <w:rFonts w:hint="eastAsia"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bCs/>
                <w:color w:val="auto"/>
                <w:kern w:val="0"/>
                <w:sz w:val="24"/>
                <w:szCs w:val="24"/>
                <w:highlight w:val="none"/>
                <w:lang w:val="en-US" w:eastAsia="zh-CN" w:bidi="ar-SA"/>
              </w:rPr>
              <w:t>东柳河干流段</w:t>
            </w:r>
            <w:r>
              <w:rPr>
                <w:rFonts w:hint="eastAsia" w:ascii="Times New Roman" w:hAnsi="宋体" w:eastAsia="宋体" w:cs="Times New Roman"/>
                <w:b w:val="0"/>
                <w:color w:val="auto"/>
                <w:kern w:val="0"/>
                <w:sz w:val="24"/>
                <w:szCs w:val="24"/>
                <w:highlight w:val="none"/>
                <w:lang w:val="en-US" w:eastAsia="zh-CN" w:bidi="ar-SA"/>
              </w:rPr>
              <w:t>：左岸新建堤防2321m。布置为：左岸桩号QZ0+000~QZ0+878，</w:t>
            </w:r>
          </w:p>
          <w:p w14:paraId="478B9902">
            <w:pPr>
              <w:pStyle w:val="18"/>
              <w:keepNext w:val="0"/>
              <w:keepLines w:val="0"/>
              <w:pageBreakBefore w:val="0"/>
              <w:widowControl w:val="0"/>
              <w:kinsoku/>
              <w:wordWrap/>
              <w:overflowPunct/>
              <w:topLinePunct w:val="0"/>
              <w:bidi w:val="0"/>
              <w:snapToGrid/>
              <w:spacing w:line="360" w:lineRule="auto"/>
              <w:ind w:left="0" w:leftChars="0" w:firstLine="0" w:firstLineChars="0"/>
              <w:textAlignment w:val="auto"/>
              <w:rPr>
                <w:rFonts w:hint="eastAsia"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val="0"/>
                <w:color w:val="auto"/>
                <w:kern w:val="0"/>
                <w:sz w:val="24"/>
                <w:szCs w:val="24"/>
                <w:highlight w:val="none"/>
                <w:lang w:val="en-US" w:eastAsia="zh-CN" w:bidi="ar-SA"/>
              </w:rPr>
              <w:t>QZ2+522~QZ2+694，堤型采用1.5m高C20砼镇脚+草皮护坡+C20砼压顶，其后衔接现状已成X168县道；QZ1+155~QZ2+426，现状左岸紧邻清河场镇，堤型采用1.5m高C20砼镇脚+草皮护坡+2m宽亲水步道。</w:t>
            </w:r>
          </w:p>
          <w:p w14:paraId="76D6B564">
            <w:pPr>
              <w:pStyle w:val="18"/>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val="0"/>
                <w:color w:val="auto"/>
                <w:kern w:val="0"/>
                <w:sz w:val="24"/>
                <w:szCs w:val="24"/>
                <w:highlight w:val="none"/>
                <w:lang w:val="en-US" w:eastAsia="zh-CN" w:bidi="ar-SA"/>
              </w:rPr>
              <w:t>右岸新建堤防1810m。总体布置为：QY0+000~QY0+544、QY1+130~QY2+331，现状地形较为开阔，堤型采用1.5m高C20砼镇脚+草皮护坡+3m宽堤顶路面；QY0+544~QY0+609，堤型采用1.5m高C20砼镇脚+草皮护坡+C20砼压顶，其后与现状石清路（石河镇到清河镇的场镇道路）相衔接。</w:t>
            </w:r>
          </w:p>
          <w:p w14:paraId="573E3086">
            <w:pPr>
              <w:pStyle w:val="18"/>
              <w:keepNext w:val="0"/>
              <w:keepLines w:val="0"/>
              <w:pageBreakBefore w:val="0"/>
              <w:widowControl w:val="0"/>
              <w:kinsoku/>
              <w:wordWrap/>
              <w:overflowPunct/>
              <w:topLinePunct w:val="0"/>
              <w:bidi w:val="0"/>
              <w:snapToGrid/>
              <w:spacing w:line="360" w:lineRule="auto"/>
              <w:ind w:firstLine="482" w:firstLineChars="200"/>
              <w:textAlignment w:val="auto"/>
              <w:rPr>
                <w:rFonts w:hint="eastAsia"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bCs/>
                <w:color w:val="auto"/>
                <w:kern w:val="0"/>
                <w:sz w:val="24"/>
                <w:szCs w:val="24"/>
                <w:highlight w:val="none"/>
                <w:lang w:val="en-US" w:eastAsia="zh-CN" w:bidi="ar-SA"/>
              </w:rPr>
              <w:t>田家沟支流段</w:t>
            </w:r>
            <w:r>
              <w:rPr>
                <w:rFonts w:hint="eastAsia" w:ascii="Times New Roman" w:hAnsi="宋体" w:eastAsia="宋体" w:cs="Times New Roman"/>
                <w:b w:val="0"/>
                <w:color w:val="auto"/>
                <w:kern w:val="0"/>
                <w:sz w:val="24"/>
                <w:szCs w:val="24"/>
                <w:highlight w:val="none"/>
                <w:lang w:val="en-US" w:eastAsia="zh-CN" w:bidi="ar-SA"/>
              </w:rPr>
              <w:t>：左岸新建堤防301m。总体布置为：TZ0+000~TZ0+114，堤型采用1.5m高C20砼镇脚+草皮护坡+2m宽亲水步道。TZ0+114~TZ0+301，现状为已建挡墙，稳定性较好，故本次维持现状。</w:t>
            </w:r>
          </w:p>
          <w:p w14:paraId="59A858FC">
            <w:pPr>
              <w:pStyle w:val="18"/>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val="0"/>
                <w:color w:val="auto"/>
                <w:kern w:val="0"/>
                <w:sz w:val="24"/>
                <w:szCs w:val="24"/>
                <w:highlight w:val="none"/>
                <w:lang w:val="en-US" w:eastAsia="zh-CN" w:bidi="ar-SA"/>
              </w:rPr>
              <w:t>右岸新建堤防333m。总体布置为：TY0+000~TY0+088、TY0+154~TY0+333，堤型采用1.5m高C20砼镇脚+草皮护坡+2m宽亲水步道。TY0+088~TY0+154，现状为已成房屋，故维持现状。</w:t>
            </w:r>
          </w:p>
          <w:p w14:paraId="3D96FF3E">
            <w:pPr>
              <w:pStyle w:val="18"/>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val="0"/>
                <w:color w:val="auto"/>
                <w:kern w:val="0"/>
                <w:sz w:val="24"/>
                <w:szCs w:val="24"/>
                <w:highlight w:val="none"/>
                <w:lang w:val="en-US" w:eastAsia="zh-CN" w:bidi="ar-SA"/>
              </w:rPr>
              <w:t>根据建设单位提供的资料，该段堤防选择斜坡式堤型。不同地段采用不同的断面型式，按地形地质细分为断面Ⅰ、断面Ⅱ、断面Ⅲ三种类型，其中断面型式Ⅰ为：1.5m高C20砼镇脚+草皮护坡+3.0m宽堤顶路面，堤防总长1745m；断面型式Ⅱ为：1.5m高C20砼镇脚+草皮护坡+C20砼压顶，堤防总长1115m；断面型式Ⅲ为：1.5m高C20砼镇脚+草皮护坡+2.0m宽亲水步道，堤防总长1652m。</w:t>
            </w:r>
          </w:p>
          <w:p w14:paraId="1CB2B39C">
            <w:pPr>
              <w:pStyle w:val="18"/>
              <w:keepNext w:val="0"/>
              <w:keepLines w:val="0"/>
              <w:pageBreakBefore w:val="0"/>
              <w:widowControl w:val="0"/>
              <w:kinsoku/>
              <w:wordWrap/>
              <w:overflowPunct/>
              <w:topLinePunct w:val="0"/>
              <w:bidi w:val="0"/>
              <w:snapToGrid/>
              <w:spacing w:line="360" w:lineRule="auto"/>
              <w:ind w:left="0" w:leftChars="0" w:firstLine="0" w:firstLineChars="0"/>
              <w:textAlignment w:val="auto"/>
              <w:rPr>
                <w:rFonts w:hint="eastAsia" w:ascii="Times New Roman" w:hAnsi="宋体" w:eastAsia="宋体" w:cs="Times New Roman"/>
                <w:b/>
                <w:bCs w:val="0"/>
                <w:color w:val="auto"/>
                <w:kern w:val="0"/>
                <w:sz w:val="24"/>
                <w:szCs w:val="24"/>
                <w:highlight w:val="none"/>
                <w:lang w:val="en-US" w:eastAsia="zh-CN" w:bidi="ar-SA"/>
              </w:rPr>
            </w:pPr>
            <w:r>
              <w:rPr>
                <w:rFonts w:hint="eastAsia" w:ascii="Calibri" w:hAnsi="Calibri" w:cs="Calibri"/>
                <w:b/>
                <w:bCs w:val="0"/>
                <w:color w:val="auto"/>
                <w:sz w:val="24"/>
                <w:highlight w:val="none"/>
                <w:lang w:val="en-US" w:eastAsia="zh-CN"/>
              </w:rPr>
              <w:t>2.4.2.2.2</w:t>
            </w:r>
            <w:r>
              <w:rPr>
                <w:rFonts w:hint="eastAsia" w:ascii="Calibri" w:hAnsi="Calibri" w:cs="Calibri"/>
                <w:b/>
                <w:bCs w:val="0"/>
                <w:color w:val="auto"/>
                <w:kern w:val="0"/>
                <w:sz w:val="24"/>
                <w:highlight w:val="none"/>
                <w:lang w:val="en-US" w:eastAsia="zh-CN"/>
              </w:rPr>
              <w:t xml:space="preserve"> </w:t>
            </w:r>
            <w:r>
              <w:rPr>
                <w:rFonts w:hint="eastAsia" w:ascii="Times New Roman" w:hAnsi="宋体" w:eastAsia="宋体" w:cs="Times New Roman"/>
                <w:b/>
                <w:bCs w:val="0"/>
                <w:color w:val="auto"/>
                <w:kern w:val="0"/>
                <w:sz w:val="24"/>
                <w:szCs w:val="24"/>
                <w:highlight w:val="none"/>
                <w:lang w:val="en-US" w:eastAsia="zh-CN" w:bidi="ar-SA"/>
              </w:rPr>
              <w:t>河道疏浚</w:t>
            </w:r>
          </w:p>
          <w:p w14:paraId="4C28B3FC">
            <w:pPr>
              <w:keepNext w:val="0"/>
              <w:keepLines w:val="0"/>
              <w:pageBreakBefore w:val="0"/>
              <w:widowControl w:val="0"/>
              <w:kinsoku/>
              <w:wordWrap/>
              <w:overflowPunct/>
              <w:topLinePunct w:val="0"/>
              <w:bidi w:val="0"/>
              <w:snapToGrid/>
              <w:ind w:firstLineChars="200"/>
              <w:textAlignment w:val="auto"/>
              <w:rPr>
                <w:rFonts w:hint="eastAsia"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val="0"/>
                <w:color w:val="auto"/>
                <w:kern w:val="0"/>
                <w:sz w:val="24"/>
                <w:szCs w:val="24"/>
                <w:highlight w:val="none"/>
                <w:lang w:val="en-US" w:eastAsia="zh-CN" w:bidi="ar-SA"/>
              </w:rPr>
              <w:t>根据建设单位提供的资料，清河镇</w:t>
            </w:r>
            <w:r>
              <w:rPr>
                <w:rFonts w:hint="eastAsia" w:hAnsi="宋体" w:eastAsia="宋体" w:cs="Times New Roman"/>
                <w:b w:val="0"/>
                <w:color w:val="auto"/>
                <w:kern w:val="0"/>
                <w:sz w:val="24"/>
                <w:szCs w:val="24"/>
                <w:highlight w:val="none"/>
                <w:lang w:val="en-US" w:eastAsia="zh-CN" w:bidi="ar-SA"/>
              </w:rPr>
              <w:t>段</w:t>
            </w:r>
            <w:r>
              <w:rPr>
                <w:rFonts w:hint="default" w:ascii="Times New Roman" w:hAnsi="Times New Roman" w:cs="Times New Roman"/>
                <w:b w:val="0"/>
                <w:bCs/>
                <w:snapToGrid w:val="0"/>
                <w:color w:val="auto"/>
                <w:sz w:val="24"/>
                <w:szCs w:val="24"/>
                <w:highlight w:val="none"/>
              </w:rPr>
              <w:t>清淤范围为</w:t>
            </w:r>
            <w:r>
              <w:rPr>
                <w:rFonts w:hint="eastAsia" w:hAnsi="Times New Roman" w:cs="Times New Roman"/>
                <w:b w:val="0"/>
                <w:bCs/>
                <w:snapToGrid w:val="0"/>
                <w:color w:val="auto"/>
                <w:sz w:val="24"/>
                <w:szCs w:val="24"/>
                <w:highlight w:val="none"/>
                <w:lang w:val="en-US" w:eastAsia="zh-CN"/>
              </w:rPr>
              <w:t>本</w:t>
            </w:r>
            <w:r>
              <w:rPr>
                <w:b w:val="0"/>
                <w:bCs/>
                <w:color w:val="auto"/>
                <w:sz w:val="24"/>
                <w:szCs w:val="24"/>
                <w:highlight w:val="none"/>
              </w:rPr>
              <w:t>河段全段</w:t>
            </w:r>
            <w:r>
              <w:rPr>
                <w:rFonts w:hint="eastAsia"/>
                <w:b w:val="0"/>
                <w:bCs/>
                <w:color w:val="auto"/>
                <w:sz w:val="24"/>
                <w:szCs w:val="24"/>
                <w:highlight w:val="none"/>
                <w:lang w:val="en-US" w:eastAsia="zh-CN"/>
              </w:rPr>
              <w:t>河段范围</w:t>
            </w:r>
            <w:r>
              <w:rPr>
                <w:b w:val="0"/>
                <w:bCs/>
                <w:color w:val="auto"/>
                <w:sz w:val="24"/>
                <w:szCs w:val="24"/>
                <w:highlight w:val="none"/>
              </w:rPr>
              <w:t>，</w:t>
            </w:r>
            <w:r>
              <w:rPr>
                <w:rFonts w:hint="eastAsia"/>
                <w:b w:val="0"/>
                <w:bCs/>
                <w:color w:val="auto"/>
                <w:sz w:val="24"/>
                <w:szCs w:val="24"/>
                <w:highlight w:val="none"/>
                <w:lang w:val="en-US" w:eastAsia="zh-CN"/>
              </w:rPr>
              <w:t>清淤长度为4133</w:t>
            </w:r>
            <w:r>
              <w:rPr>
                <w:b w:val="0"/>
                <w:bCs/>
                <w:color w:val="auto"/>
                <w:sz w:val="24"/>
                <w:szCs w:val="24"/>
                <w:highlight w:val="none"/>
              </w:rPr>
              <w:t>m</w:t>
            </w:r>
            <w:r>
              <w:rPr>
                <w:rFonts w:hint="eastAsia"/>
                <w:b w:val="0"/>
                <w:bCs/>
                <w:color w:val="auto"/>
                <w:sz w:val="24"/>
                <w:szCs w:val="24"/>
                <w:highlight w:val="none"/>
                <w:lang w:val="en-US" w:eastAsia="zh-CN"/>
              </w:rPr>
              <w:t>。</w:t>
            </w:r>
            <w:r>
              <w:rPr>
                <w:b w:val="0"/>
                <w:bCs/>
                <w:color w:val="auto"/>
                <w:sz w:val="24"/>
                <w:szCs w:val="24"/>
                <w:highlight w:val="none"/>
              </w:rPr>
              <w:t>治理对象包括干流段和支流段两部分</w:t>
            </w:r>
            <w:r>
              <w:rPr>
                <w:rFonts w:hint="eastAsia"/>
                <w:b w:val="0"/>
                <w:bCs/>
                <w:color w:val="auto"/>
                <w:sz w:val="24"/>
                <w:szCs w:val="24"/>
                <w:highlight w:val="none"/>
              </w:rPr>
              <w:t>，</w:t>
            </w:r>
            <w:r>
              <w:rPr>
                <w:b w:val="0"/>
                <w:bCs/>
                <w:color w:val="auto"/>
                <w:sz w:val="24"/>
                <w:szCs w:val="24"/>
                <w:highlight w:val="none"/>
              </w:rPr>
              <w:t>其中东柳河干流段治理长度</w:t>
            </w:r>
            <w:r>
              <w:rPr>
                <w:rFonts w:hint="eastAsia"/>
                <w:b w:val="0"/>
                <w:bCs/>
                <w:color w:val="auto"/>
                <w:sz w:val="24"/>
                <w:szCs w:val="24"/>
                <w:highlight w:val="none"/>
              </w:rPr>
              <w:t>3808</w:t>
            </w:r>
            <w:r>
              <w:rPr>
                <w:b w:val="0"/>
                <w:bCs/>
                <w:color w:val="auto"/>
                <w:sz w:val="24"/>
                <w:szCs w:val="24"/>
                <w:highlight w:val="none"/>
              </w:rPr>
              <w:t>m，起于</w:t>
            </w:r>
            <w:r>
              <w:rPr>
                <w:rFonts w:hint="eastAsia"/>
                <w:b w:val="0"/>
                <w:bCs/>
                <w:color w:val="auto"/>
                <w:sz w:val="24"/>
                <w:szCs w:val="24"/>
                <w:highlight w:val="none"/>
              </w:rPr>
              <w:t>4#公路桥</w:t>
            </w:r>
            <w:r>
              <w:rPr>
                <w:b w:val="0"/>
                <w:bCs/>
                <w:color w:val="auto"/>
                <w:sz w:val="24"/>
                <w:szCs w:val="24"/>
                <w:highlight w:val="none"/>
              </w:rPr>
              <w:t>止于刘家河拦水堰；田家沟支流段治理长度</w:t>
            </w:r>
            <w:r>
              <w:rPr>
                <w:rFonts w:hint="eastAsia"/>
                <w:b w:val="0"/>
                <w:bCs/>
                <w:color w:val="auto"/>
                <w:sz w:val="24"/>
                <w:szCs w:val="24"/>
                <w:highlight w:val="none"/>
              </w:rPr>
              <w:t>325m，起于5#公路桥上游约200m处止于汇合口处</w:t>
            </w:r>
            <w:r>
              <w:rPr>
                <w:rFonts w:hint="eastAsia" w:ascii="Times New Roman" w:hAnsi="宋体" w:eastAsia="宋体" w:cs="Times New Roman"/>
                <w:b w:val="0"/>
                <w:color w:val="auto"/>
                <w:kern w:val="0"/>
                <w:sz w:val="24"/>
                <w:szCs w:val="24"/>
                <w:highlight w:val="none"/>
                <w:lang w:val="en-US" w:eastAsia="zh-CN" w:bidi="ar-SA"/>
              </w:rPr>
              <w:t>，疏浚量约</w:t>
            </w:r>
            <w:r>
              <w:rPr>
                <w:rFonts w:hint="eastAsia" w:cs="Times New Roman"/>
                <w:b w:val="0"/>
                <w:color w:val="auto"/>
                <w:kern w:val="0"/>
                <w:sz w:val="24"/>
                <w:szCs w:val="24"/>
                <w:highlight w:val="none"/>
                <w:lang w:val="en-US" w:eastAsia="zh-CN" w:bidi="ar-SA"/>
              </w:rPr>
              <w:t>16532</w:t>
            </w:r>
            <w:r>
              <w:rPr>
                <w:rFonts w:hint="eastAsia" w:ascii="Times New Roman" w:hAnsi="宋体" w:eastAsia="宋体" w:cs="Times New Roman"/>
                <w:b w:val="0"/>
                <w:color w:val="auto"/>
                <w:kern w:val="0"/>
                <w:sz w:val="24"/>
                <w:szCs w:val="24"/>
                <w:highlight w:val="none"/>
                <w:lang w:val="en-US" w:eastAsia="zh-CN" w:bidi="ar-SA"/>
              </w:rPr>
              <w:t>m</w:t>
            </w:r>
            <w:r>
              <w:rPr>
                <w:rFonts w:hint="eastAsia" w:ascii="Times New Roman" w:hAnsi="宋体" w:eastAsia="宋体" w:cs="Times New Roman"/>
                <w:b w:val="0"/>
                <w:color w:val="auto"/>
                <w:kern w:val="0"/>
                <w:sz w:val="24"/>
                <w:szCs w:val="24"/>
                <w:highlight w:val="none"/>
                <w:vertAlign w:val="superscript"/>
                <w:lang w:val="en-US" w:eastAsia="zh-CN" w:bidi="ar-SA"/>
              </w:rPr>
              <w:t>3</w:t>
            </w:r>
            <w:r>
              <w:rPr>
                <w:rFonts w:hint="eastAsia" w:ascii="Times New Roman" w:hAnsi="宋体" w:eastAsia="宋体" w:cs="Times New Roman"/>
                <w:b w:val="0"/>
                <w:color w:val="auto"/>
                <w:kern w:val="0"/>
                <w:sz w:val="24"/>
                <w:szCs w:val="24"/>
                <w:highlight w:val="none"/>
                <w:lang w:val="en-US" w:eastAsia="zh-CN" w:bidi="ar-SA"/>
              </w:rPr>
              <w:t>。</w:t>
            </w:r>
          </w:p>
          <w:p w14:paraId="3259C51E">
            <w:pPr>
              <w:keepNext w:val="0"/>
              <w:keepLines w:val="0"/>
              <w:pageBreakBefore w:val="0"/>
              <w:widowControl w:val="0"/>
              <w:kinsoku/>
              <w:wordWrap/>
              <w:overflowPunct/>
              <w:topLinePunct w:val="0"/>
              <w:bidi w:val="0"/>
              <w:snapToGrid/>
              <w:ind w:left="0" w:leftChars="0" w:firstLine="480" w:firstLineChars="0"/>
              <w:textAlignment w:val="auto"/>
              <w:rPr>
                <w:rFonts w:hint="eastAsia" w:ascii="Times New Roman" w:hAnsi="宋体" w:eastAsia="宋体" w:cs="Times New Roman"/>
                <w:b/>
                <w:bCs w:val="0"/>
                <w:color w:val="auto"/>
                <w:kern w:val="0"/>
                <w:sz w:val="24"/>
                <w:szCs w:val="24"/>
                <w:highlight w:val="none"/>
                <w:lang w:val="en-US" w:eastAsia="zh-CN" w:bidi="ar-SA"/>
              </w:rPr>
            </w:pPr>
            <w:r>
              <w:rPr>
                <w:rFonts w:hint="eastAsia" w:ascii="Calibri" w:hAnsi="Calibri" w:cs="Calibri"/>
                <w:b/>
                <w:bCs w:val="0"/>
                <w:color w:val="auto"/>
                <w:sz w:val="24"/>
                <w:highlight w:val="none"/>
                <w:lang w:val="en-US" w:eastAsia="zh-CN"/>
              </w:rPr>
              <w:t>2.4.2.2.3</w:t>
            </w:r>
            <w:r>
              <w:rPr>
                <w:rFonts w:hint="eastAsia" w:ascii="Calibri" w:hAnsi="Calibri" w:cs="Calibri"/>
                <w:b/>
                <w:bCs w:val="0"/>
                <w:color w:val="auto"/>
                <w:kern w:val="0"/>
                <w:sz w:val="24"/>
                <w:highlight w:val="none"/>
                <w:lang w:val="en-US" w:eastAsia="zh-CN"/>
              </w:rPr>
              <w:t xml:space="preserve"> </w:t>
            </w:r>
            <w:r>
              <w:rPr>
                <w:rFonts w:hint="eastAsia" w:ascii="Times New Roman" w:hAnsi="宋体" w:eastAsia="宋体" w:cs="Times New Roman"/>
                <w:b/>
                <w:bCs w:val="0"/>
                <w:color w:val="auto"/>
                <w:kern w:val="0"/>
                <w:sz w:val="24"/>
                <w:szCs w:val="24"/>
                <w:highlight w:val="none"/>
                <w:lang w:val="en-US" w:eastAsia="zh-CN" w:bidi="ar-SA"/>
              </w:rPr>
              <w:t>附属工程</w:t>
            </w:r>
          </w:p>
          <w:p w14:paraId="77B81636">
            <w:pPr>
              <w:keepNext w:val="0"/>
              <w:keepLines w:val="0"/>
              <w:pageBreakBefore w:val="0"/>
              <w:widowControl w:val="0"/>
              <w:kinsoku/>
              <w:wordWrap/>
              <w:overflowPunct/>
              <w:topLinePunct w:val="0"/>
              <w:bidi w:val="0"/>
              <w:snapToGrid/>
              <w:ind w:firstLineChars="200"/>
              <w:textAlignment w:val="auto"/>
              <w:rPr>
                <w:rFonts w:hint="eastAsia"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val="0"/>
                <w:color w:val="auto"/>
                <w:kern w:val="0"/>
                <w:sz w:val="24"/>
                <w:szCs w:val="24"/>
                <w:highlight w:val="none"/>
                <w:lang w:val="en-US" w:eastAsia="zh-CN" w:bidi="ar-SA"/>
              </w:rPr>
              <w:t>·穿堤涵洞</w:t>
            </w:r>
          </w:p>
          <w:p w14:paraId="10BA9894">
            <w:pPr>
              <w:keepNext w:val="0"/>
              <w:keepLines w:val="0"/>
              <w:pageBreakBefore w:val="0"/>
              <w:widowControl w:val="0"/>
              <w:kinsoku/>
              <w:wordWrap/>
              <w:overflowPunct/>
              <w:topLinePunct w:val="0"/>
              <w:bidi w:val="0"/>
              <w:snapToGrid/>
              <w:ind w:firstLineChars="200"/>
              <w:textAlignment w:val="auto"/>
              <w:rPr>
                <w:rFonts w:hint="eastAsia"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val="0"/>
                <w:color w:val="auto"/>
                <w:kern w:val="0"/>
                <w:sz w:val="24"/>
                <w:szCs w:val="24"/>
                <w:highlight w:val="none"/>
                <w:lang w:val="en-US" w:eastAsia="zh-CN" w:bidi="ar-SA"/>
              </w:rPr>
              <w:t>根据建设单位提供的资料，项目</w:t>
            </w:r>
            <w:r>
              <w:rPr>
                <w:rFonts w:hint="default" w:ascii="Times New Roman" w:hAnsi="宋体" w:eastAsia="宋体" w:cs="Times New Roman"/>
                <w:b w:val="0"/>
                <w:color w:val="auto"/>
                <w:kern w:val="0"/>
                <w:sz w:val="24"/>
                <w:szCs w:val="24"/>
                <w:highlight w:val="none"/>
                <w:lang w:val="en-US" w:eastAsia="zh-CN" w:bidi="ar-SA"/>
              </w:rPr>
              <w:t>部分堤顶高程高于现状地面，为防止内涝，在堤后地面低洼处设置涵管，以保证堤后涝水顺利排出</w:t>
            </w:r>
            <w:r>
              <w:rPr>
                <w:rFonts w:hint="eastAsia" w:ascii="Times New Roman" w:hAnsi="宋体" w:eastAsia="宋体" w:cs="Times New Roman"/>
                <w:b w:val="0"/>
                <w:color w:val="auto"/>
                <w:kern w:val="0"/>
                <w:sz w:val="24"/>
                <w:szCs w:val="24"/>
                <w:highlight w:val="none"/>
                <w:lang w:val="en-US" w:eastAsia="zh-CN" w:bidi="ar-SA"/>
              </w:rPr>
              <w:t>。</w:t>
            </w:r>
          </w:p>
          <w:p w14:paraId="2FE08377">
            <w:pPr>
              <w:keepNext w:val="0"/>
              <w:keepLines w:val="0"/>
              <w:pageBreakBefore w:val="0"/>
              <w:widowControl w:val="0"/>
              <w:kinsoku/>
              <w:wordWrap/>
              <w:overflowPunct/>
              <w:topLinePunct w:val="0"/>
              <w:bidi w:val="0"/>
              <w:snapToGrid/>
              <w:ind w:firstLineChars="200"/>
              <w:textAlignment w:val="auto"/>
              <w:rPr>
                <w:rFonts w:hint="eastAsia"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val="0"/>
                <w:color w:val="auto"/>
                <w:kern w:val="0"/>
                <w:sz w:val="24"/>
                <w:szCs w:val="24"/>
                <w:highlight w:val="none"/>
                <w:lang w:val="en-US" w:eastAsia="zh-CN" w:bidi="ar-SA"/>
              </w:rPr>
              <w:t>项目</w:t>
            </w:r>
            <w:r>
              <w:rPr>
                <w:rFonts w:hint="default" w:ascii="Times New Roman" w:hAnsi="宋体" w:eastAsia="宋体" w:cs="Times New Roman"/>
                <w:b w:val="0"/>
                <w:color w:val="auto"/>
                <w:kern w:val="0"/>
                <w:sz w:val="24"/>
                <w:szCs w:val="24"/>
                <w:highlight w:val="none"/>
                <w:lang w:val="en-US" w:eastAsia="zh-CN" w:bidi="ar-SA"/>
              </w:rPr>
              <w:t>管涵设计标准为5年一遇冲沟流域暴雨洪水</w:t>
            </w:r>
            <w:r>
              <w:rPr>
                <w:rFonts w:hint="eastAsia" w:ascii="Times New Roman" w:hAnsi="宋体" w:eastAsia="宋体" w:cs="Times New Roman"/>
                <w:b w:val="0"/>
                <w:color w:val="auto"/>
                <w:kern w:val="0"/>
                <w:sz w:val="24"/>
                <w:szCs w:val="24"/>
                <w:highlight w:val="none"/>
                <w:lang w:val="en-US" w:eastAsia="zh-CN" w:bidi="ar-SA"/>
              </w:rPr>
              <w:t>。项目涉及10处排涝管涵，其中，右岸新建7处排涝管涵，满足堤防排涝；左岸3处现状已有排水管口处按原规格接出。</w:t>
            </w:r>
          </w:p>
          <w:p w14:paraId="0A9BD533">
            <w:pPr>
              <w:keepNext w:val="0"/>
              <w:keepLines w:val="0"/>
              <w:pageBreakBefore w:val="0"/>
              <w:widowControl w:val="0"/>
              <w:kinsoku/>
              <w:wordWrap/>
              <w:overflowPunct/>
              <w:topLinePunct w:val="0"/>
              <w:bidi w:val="0"/>
              <w:snapToGrid/>
              <w:ind w:firstLineChars="200"/>
              <w:textAlignment w:val="auto"/>
              <w:rPr>
                <w:rFonts w:hint="default"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val="0"/>
                <w:color w:val="auto"/>
                <w:kern w:val="0"/>
                <w:sz w:val="24"/>
                <w:szCs w:val="24"/>
                <w:highlight w:val="none"/>
                <w:lang w:val="en-US" w:eastAsia="zh-CN" w:bidi="ar-SA"/>
              </w:rPr>
              <w:t>·人行桥和桥涵</w:t>
            </w:r>
          </w:p>
          <w:p w14:paraId="411EB771">
            <w:pPr>
              <w:keepNext w:val="0"/>
              <w:keepLines w:val="0"/>
              <w:pageBreakBefore w:val="0"/>
              <w:widowControl w:val="0"/>
              <w:kinsoku/>
              <w:wordWrap/>
              <w:overflowPunct/>
              <w:topLinePunct w:val="0"/>
              <w:bidi w:val="0"/>
              <w:snapToGrid/>
              <w:ind w:firstLineChars="200"/>
              <w:textAlignment w:val="auto"/>
              <w:rPr>
                <w:rFonts w:hint="default"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val="0"/>
                <w:color w:val="auto"/>
                <w:kern w:val="0"/>
                <w:sz w:val="24"/>
                <w:szCs w:val="24"/>
                <w:highlight w:val="none"/>
                <w:lang w:val="en-US" w:eastAsia="zh-CN" w:bidi="ar-SA"/>
              </w:rPr>
              <w:t>根据建设单位提供的资料，项目新建</w:t>
            </w:r>
            <w:r>
              <w:rPr>
                <w:rFonts w:hint="default" w:ascii="Times New Roman" w:hAnsi="宋体" w:eastAsia="宋体" w:cs="Times New Roman"/>
                <w:b w:val="0"/>
                <w:color w:val="auto"/>
                <w:kern w:val="0"/>
                <w:sz w:val="24"/>
                <w:szCs w:val="24"/>
                <w:highlight w:val="none"/>
                <w:lang w:val="en-US" w:eastAsia="zh-CN" w:bidi="ar-SA"/>
              </w:rPr>
              <w:t>桥涵和人行桥各1座，</w:t>
            </w:r>
            <w:r>
              <w:rPr>
                <w:rFonts w:hint="eastAsia" w:ascii="Times New Roman" w:hAnsi="宋体" w:eastAsia="宋体" w:cs="Times New Roman"/>
                <w:b w:val="0"/>
                <w:color w:val="auto"/>
                <w:kern w:val="0"/>
                <w:sz w:val="24"/>
                <w:szCs w:val="24"/>
                <w:highlight w:val="none"/>
                <w:lang w:val="en-US" w:eastAsia="zh-CN" w:bidi="ar-SA"/>
              </w:rPr>
              <w:t>分别</w:t>
            </w:r>
            <w:r>
              <w:rPr>
                <w:rFonts w:hint="default" w:ascii="Times New Roman" w:hAnsi="宋体" w:eastAsia="宋体" w:cs="Times New Roman"/>
                <w:b w:val="0"/>
                <w:color w:val="auto"/>
                <w:kern w:val="0"/>
                <w:sz w:val="24"/>
                <w:szCs w:val="24"/>
                <w:highlight w:val="none"/>
                <w:lang w:val="en-US" w:eastAsia="zh-CN" w:bidi="ar-SA"/>
              </w:rPr>
              <w:t>位于主河道右岸桩号QY2+205处支流河口、田家沟右岸桩号TY0+277支沟河口处。</w:t>
            </w:r>
          </w:p>
          <w:p w14:paraId="1309A574">
            <w:pPr>
              <w:keepNext w:val="0"/>
              <w:keepLines w:val="0"/>
              <w:pageBreakBefore w:val="0"/>
              <w:widowControl w:val="0"/>
              <w:kinsoku/>
              <w:wordWrap/>
              <w:overflowPunct/>
              <w:topLinePunct w:val="0"/>
              <w:bidi w:val="0"/>
              <w:snapToGrid/>
              <w:ind w:firstLineChars="200"/>
              <w:textAlignment w:val="auto"/>
              <w:rPr>
                <w:rFonts w:hint="default" w:ascii="Times New Roman" w:hAnsi="宋体" w:eastAsia="宋体" w:cs="Times New Roman"/>
                <w:b w:val="0"/>
                <w:color w:val="auto"/>
                <w:kern w:val="0"/>
                <w:sz w:val="24"/>
                <w:szCs w:val="24"/>
                <w:highlight w:val="none"/>
                <w:lang w:val="en-US" w:eastAsia="zh-CN" w:bidi="ar-SA"/>
              </w:rPr>
            </w:pPr>
            <w:r>
              <w:rPr>
                <w:rFonts w:hint="default" w:ascii="Times New Roman" w:hAnsi="宋体" w:eastAsia="宋体" w:cs="Times New Roman"/>
                <w:b w:val="0"/>
                <w:color w:val="auto"/>
                <w:kern w:val="0"/>
                <w:sz w:val="24"/>
                <w:szCs w:val="24"/>
                <w:highlight w:val="none"/>
                <w:lang w:val="en-US" w:eastAsia="zh-CN" w:bidi="ar-SA"/>
              </w:rPr>
              <w:t>主河道支流桥涵：采用10年一遇的防洪标准</w:t>
            </w:r>
            <w:r>
              <w:rPr>
                <w:rFonts w:hint="eastAsia" w:ascii="Times New Roman" w:hAnsi="宋体" w:eastAsia="宋体" w:cs="Times New Roman"/>
                <w:b w:val="0"/>
                <w:color w:val="auto"/>
                <w:kern w:val="0"/>
                <w:sz w:val="24"/>
                <w:szCs w:val="24"/>
                <w:highlight w:val="none"/>
                <w:lang w:val="en-US" w:eastAsia="zh-CN" w:bidi="ar-SA"/>
              </w:rPr>
              <w:t>。</w:t>
            </w:r>
            <w:r>
              <w:rPr>
                <w:rFonts w:hint="default" w:ascii="Times New Roman" w:hAnsi="宋体" w:eastAsia="宋体" w:cs="Times New Roman"/>
                <w:b w:val="0"/>
                <w:color w:val="auto"/>
                <w:kern w:val="0"/>
                <w:sz w:val="24"/>
                <w:szCs w:val="24"/>
                <w:highlight w:val="none"/>
                <w:lang w:val="en-US" w:eastAsia="zh-CN" w:bidi="ar-SA"/>
              </w:rPr>
              <w:t>采用单跨简支梁板桥结构，净跨6m，桥板连接主河道右岸新建堤顶路面，采用π形梁结构，桥面宽3m，板厚0.12m，梁尺寸0.25m×0.60m（宽×高）；两侧桥墩采用C20重力式挡墙，面坡竖直，背坡1:0.5，顶宽0.5m，埋深1m，墙总高2.5m~7.24m；底板上下游分别与原河道衔接，采用0.2m厚C20砼。底板高程289.40m。</w:t>
            </w:r>
          </w:p>
          <w:p w14:paraId="66D68DF5">
            <w:pPr>
              <w:keepNext w:val="0"/>
              <w:keepLines w:val="0"/>
              <w:pageBreakBefore w:val="0"/>
              <w:widowControl w:val="0"/>
              <w:kinsoku/>
              <w:wordWrap/>
              <w:overflowPunct/>
              <w:topLinePunct w:val="0"/>
              <w:bidi w:val="0"/>
              <w:snapToGrid/>
              <w:spacing w:line="360" w:lineRule="auto"/>
              <w:ind w:firstLineChars="200"/>
              <w:textAlignment w:val="auto"/>
              <w:rPr>
                <w:rFonts w:hint="default" w:ascii="Times New Roman" w:hAnsi="宋体" w:eastAsia="宋体" w:cs="Times New Roman"/>
                <w:b w:val="0"/>
                <w:color w:val="auto"/>
                <w:kern w:val="0"/>
                <w:sz w:val="24"/>
                <w:szCs w:val="24"/>
                <w:highlight w:val="none"/>
                <w:lang w:val="en-US" w:eastAsia="zh-CN" w:bidi="ar-SA"/>
              </w:rPr>
            </w:pPr>
            <w:r>
              <w:rPr>
                <w:rFonts w:hint="default" w:ascii="Times New Roman" w:hAnsi="宋体" w:eastAsia="宋体" w:cs="Times New Roman"/>
                <w:b w:val="0"/>
                <w:color w:val="auto"/>
                <w:kern w:val="0"/>
                <w:sz w:val="24"/>
                <w:szCs w:val="24"/>
                <w:highlight w:val="none"/>
                <w:lang w:val="en-US" w:eastAsia="zh-CN" w:bidi="ar-SA"/>
              </w:rPr>
              <w:t>田家沟支流人行桥：采用单跨简支梁板桥结构，净跨4m，桥板连接田家沟右岸新建亲水步道，采用π形梁结构，桥面宽2m，板厚0.12m，梁尺寸0.2m×0.50m（宽×高）；两侧桥墩采用C20重力式挡墙，面坡1:0.1，背坡1:0.4，顶宽0.5m，埋深1m~1.25m，墙总高1.2m~4.0m；底板上下游分别与原河道衔接，采用0.2m厚C20砼，底板高程290.50m~290.92m。</w:t>
            </w:r>
          </w:p>
          <w:p w14:paraId="32C74286">
            <w:pPr>
              <w:keepNext w:val="0"/>
              <w:keepLines w:val="0"/>
              <w:pageBreakBefore w:val="0"/>
              <w:widowControl w:val="0"/>
              <w:kinsoku/>
              <w:wordWrap/>
              <w:overflowPunct/>
              <w:topLinePunct w:val="0"/>
              <w:bidi w:val="0"/>
              <w:snapToGrid/>
              <w:spacing w:line="360" w:lineRule="auto"/>
              <w:ind w:firstLineChars="200"/>
              <w:textAlignment w:val="auto"/>
              <w:rPr>
                <w:rFonts w:hint="default"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val="0"/>
                <w:color w:val="auto"/>
                <w:kern w:val="0"/>
                <w:sz w:val="24"/>
                <w:szCs w:val="24"/>
                <w:highlight w:val="none"/>
                <w:lang w:val="en-US" w:eastAsia="zh-CN" w:bidi="ar-SA"/>
              </w:rPr>
              <w:t>·安全警示牌</w:t>
            </w:r>
          </w:p>
          <w:p w14:paraId="652BC043">
            <w:pPr>
              <w:ind w:firstLine="480"/>
              <w:rPr>
                <w:rFonts w:hint="eastAsia"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val="0"/>
                <w:color w:val="auto"/>
                <w:kern w:val="0"/>
                <w:sz w:val="24"/>
                <w:szCs w:val="24"/>
                <w:highlight w:val="none"/>
                <w:lang w:val="en-US" w:eastAsia="zh-CN" w:bidi="ar-SA"/>
              </w:rPr>
              <w:t>根据建设单位提供的资料，项目在在河道醒目位置设置安全警示牌，共计6块。</w:t>
            </w:r>
          </w:p>
          <w:p w14:paraId="16A7C936">
            <w:pPr>
              <w:spacing w:line="360" w:lineRule="auto"/>
              <w:ind w:firstLine="480" w:firstLineChars="0"/>
              <w:jc w:val="both"/>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rPr>
              <w:t>2.</w:t>
            </w:r>
            <w:r>
              <w:rPr>
                <w:rFonts w:hint="default" w:ascii="Times New Roman" w:hAnsi="Times New Roman" w:cs="Times New Roman"/>
                <w:b/>
                <w:bCs/>
                <w:color w:val="auto"/>
                <w:highlight w:val="none"/>
                <w:lang w:val="en-US" w:eastAsia="zh-CN"/>
              </w:rPr>
              <w:t>4.</w:t>
            </w:r>
            <w:r>
              <w:rPr>
                <w:rFonts w:hint="eastAsia" w:cs="Times New Roman"/>
                <w:b/>
                <w:bCs/>
                <w:color w:val="auto"/>
                <w:highlight w:val="none"/>
                <w:lang w:val="en-US" w:eastAsia="zh-CN"/>
              </w:rPr>
              <w:t>2.3</w:t>
            </w:r>
            <w:r>
              <w:rPr>
                <w:rFonts w:hint="default" w:ascii="Times New Roman" w:hAnsi="Times New Roman" w:cs="Times New Roman"/>
                <w:b/>
                <w:bCs/>
                <w:color w:val="auto"/>
                <w:highlight w:val="none"/>
              </w:rPr>
              <w:t xml:space="preserve"> </w:t>
            </w:r>
            <w:r>
              <w:rPr>
                <w:rFonts w:hint="eastAsia" w:cs="Times New Roman"/>
                <w:b/>
                <w:bCs/>
                <w:color w:val="auto"/>
                <w:highlight w:val="none"/>
                <w:lang w:val="en-US" w:eastAsia="zh-CN"/>
              </w:rPr>
              <w:t>东柳河杨家镇段防洪工程</w:t>
            </w:r>
          </w:p>
          <w:p w14:paraId="13CF94AD">
            <w:pPr>
              <w:keepNext w:val="0"/>
              <w:keepLines w:val="0"/>
              <w:pageBreakBefore w:val="0"/>
              <w:widowControl w:val="0"/>
              <w:kinsoku/>
              <w:wordWrap/>
              <w:overflowPunct/>
              <w:topLinePunct w:val="0"/>
              <w:bidi w:val="0"/>
              <w:snapToGrid/>
              <w:spacing w:line="360" w:lineRule="auto"/>
              <w:ind w:left="0" w:leftChars="0" w:firstLine="480" w:firstLineChars="0"/>
              <w:textAlignment w:val="auto"/>
              <w:rPr>
                <w:rFonts w:hint="default" w:ascii="Times New Roman" w:hAnsi="宋体" w:eastAsia="宋体" w:cs="Times New Roman"/>
                <w:b/>
                <w:bCs w:val="0"/>
                <w:color w:val="auto"/>
                <w:kern w:val="0"/>
                <w:sz w:val="24"/>
                <w:szCs w:val="24"/>
                <w:highlight w:val="none"/>
                <w:lang w:val="en-US" w:eastAsia="zh-CN" w:bidi="ar-SA"/>
              </w:rPr>
            </w:pPr>
            <w:r>
              <w:rPr>
                <w:rFonts w:hint="eastAsia" w:ascii="Calibri" w:hAnsi="Calibri" w:cs="Calibri"/>
                <w:b/>
                <w:bCs w:val="0"/>
                <w:color w:val="auto"/>
                <w:sz w:val="24"/>
                <w:highlight w:val="none"/>
                <w:lang w:val="en-US" w:eastAsia="zh-CN"/>
              </w:rPr>
              <w:t>2.4.2.3.1</w:t>
            </w:r>
            <w:r>
              <w:rPr>
                <w:rFonts w:hint="eastAsia" w:ascii="Calibri" w:hAnsi="Calibri" w:eastAsia="宋体" w:cs="Calibri"/>
                <w:b/>
                <w:bCs w:val="0"/>
                <w:color w:val="auto"/>
                <w:sz w:val="24"/>
                <w:highlight w:val="none"/>
                <w:lang w:val="en-US" w:eastAsia="zh-CN"/>
              </w:rPr>
              <w:t xml:space="preserve"> </w:t>
            </w:r>
            <w:r>
              <w:rPr>
                <w:rFonts w:hint="eastAsia" w:ascii="Times New Roman" w:hAnsi="宋体" w:eastAsia="宋体" w:cs="Times New Roman"/>
                <w:b/>
                <w:bCs w:val="0"/>
                <w:color w:val="auto"/>
                <w:kern w:val="0"/>
                <w:sz w:val="24"/>
                <w:szCs w:val="24"/>
                <w:highlight w:val="none"/>
                <w:lang w:val="en-US" w:eastAsia="zh-CN" w:bidi="ar-SA"/>
              </w:rPr>
              <w:t>堤防工程</w:t>
            </w:r>
          </w:p>
          <w:p w14:paraId="0BB03666">
            <w:pPr>
              <w:keepNext w:val="0"/>
              <w:keepLines w:val="0"/>
              <w:pageBreakBefore w:val="0"/>
              <w:widowControl/>
              <w:kinsoku/>
              <w:wordWrap/>
              <w:overflowPunct/>
              <w:topLinePunct w:val="0"/>
              <w:autoSpaceDE/>
              <w:autoSpaceDN/>
              <w:bidi w:val="0"/>
              <w:spacing w:line="360" w:lineRule="auto"/>
              <w:ind w:left="0" w:firstLine="480" w:firstLineChars="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新建堤防工程包括东柳河干流段和3条支流段两部分组成。</w:t>
            </w:r>
          </w:p>
          <w:p w14:paraId="36FD8616">
            <w:pPr>
              <w:keepNext w:val="0"/>
              <w:keepLines w:val="0"/>
              <w:pageBreakBefore w:val="0"/>
              <w:widowControl/>
              <w:kinsoku/>
              <w:wordWrap/>
              <w:overflowPunct/>
              <w:topLinePunct w:val="0"/>
              <w:autoSpaceDE/>
              <w:autoSpaceDN/>
              <w:bidi w:val="0"/>
              <w:spacing w:line="360" w:lineRule="auto"/>
              <w:ind w:left="0" w:firstLine="480" w:firstLineChars="0"/>
              <w:textAlignment w:val="auto"/>
              <w:rPr>
                <w:rFonts w:hint="eastAsia" w:ascii="Times New Roman" w:hAnsi="Times New Roman" w:eastAsia="宋体"/>
                <w:color w:val="auto"/>
                <w:sz w:val="24"/>
                <w:highlight w:val="none"/>
              </w:rPr>
            </w:pPr>
            <w:r>
              <w:rPr>
                <w:rFonts w:hint="eastAsia" w:ascii="Times New Roman" w:hAnsi="Times New Roman" w:eastAsia="宋体"/>
                <w:b/>
                <w:color w:val="auto"/>
                <w:sz w:val="24"/>
                <w:highlight w:val="none"/>
                <w:lang w:val="en-US" w:eastAsia="zh-CN"/>
              </w:rPr>
              <w:t>·</w:t>
            </w:r>
            <w:r>
              <w:rPr>
                <w:rFonts w:hint="eastAsia" w:ascii="Times New Roman" w:hAnsi="Times New Roman" w:eastAsia="宋体"/>
                <w:b/>
                <w:color w:val="auto"/>
                <w:sz w:val="24"/>
                <w:highlight w:val="none"/>
              </w:rPr>
              <w:t>东柳河干流段：</w:t>
            </w:r>
            <w:r>
              <w:rPr>
                <w:rFonts w:hint="eastAsia" w:ascii="Times New Roman" w:hAnsi="Times New Roman" w:eastAsia="宋体"/>
                <w:color w:val="auto"/>
                <w:sz w:val="24"/>
                <w:highlight w:val="none"/>
              </w:rPr>
              <w:t>左岸新建堤防1624m</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rPr>
              <w:t>堤线布置为：左岸桩号杨Z0+000</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杨Z0+362段</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rPr>
              <w:t>堤型结构为C20砼镇脚+C25框格梁预制空心六棱块护坡+亲水马道+草皮护坡+堤顶道路；杨Z0+393</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杨Z0+562、杨Z0+958</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Z1+503、杨Z1+507</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Z2+055、杨Y0+000</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杨Y0+539、杨Y0+547</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杨Y0+571、杨Y0+906</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杨Y1+367、杨Y1+541</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杨Y2+374段堤型结构为C20砼镇脚+C25框格梁预制空心六棱块护坡+亲水马道+草皮护坡，其后顺接原岸坡。</w:t>
            </w:r>
          </w:p>
          <w:p w14:paraId="529698C0">
            <w:pPr>
              <w:rPr>
                <w:color w:val="auto"/>
                <w:highlight w:val="none"/>
              </w:rPr>
            </w:pPr>
            <w:r>
              <w:rPr>
                <w:rFonts w:hint="eastAsia" w:ascii="Times New Roman" w:hAnsi="Times New Roman" w:eastAsia="宋体"/>
                <w:color w:val="auto"/>
                <w:sz w:val="24"/>
                <w:highlight w:val="none"/>
              </w:rPr>
              <w:t>右岸新建堤防1810m</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rPr>
              <w:t>堤线布置为：右岸桩号Y0+571~杨Y0+899段，堤型结构为C20砼镇脚+C25框格梁预制空心六棱块护坡+亲水马道+草皮护坡+堤顶道路；Y0+000</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杨Y0+539、杨Y0+547</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杨Y0+571、杨Y0+906</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杨Y1+367、杨Y1+541</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杨Y2+374段堤型结构为C20砼镇脚+C25框格梁预制空心六棱块护坡+亲水马道+草皮护坡，其后顺接原岸坡；杨Y1+383</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杨Y1+537段由于临河有已成公路，故堤型结构为C20砼镇脚+ C25框格梁预制空心六棱块护坡，顺接已成道路。</w:t>
            </w:r>
          </w:p>
          <w:p w14:paraId="42816CA0">
            <w:pPr>
              <w:keepNext w:val="0"/>
              <w:keepLines w:val="0"/>
              <w:pageBreakBefore w:val="0"/>
              <w:widowControl/>
              <w:kinsoku/>
              <w:wordWrap/>
              <w:overflowPunct/>
              <w:topLinePunct w:val="0"/>
              <w:autoSpaceDE/>
              <w:autoSpaceDN/>
              <w:bidi w:val="0"/>
              <w:spacing w:line="360" w:lineRule="auto"/>
              <w:ind w:left="0" w:firstLine="480" w:firstLineChars="0"/>
              <w:textAlignment w:val="auto"/>
              <w:rPr>
                <w:rFonts w:hint="eastAsia" w:ascii="Times New Roman" w:hAnsi="Times New Roman" w:eastAsia="宋体"/>
                <w:color w:val="auto"/>
                <w:sz w:val="24"/>
                <w:highlight w:val="none"/>
                <w:lang w:eastAsia="zh-CN"/>
              </w:rPr>
            </w:pPr>
            <w:r>
              <w:rPr>
                <w:rFonts w:hint="eastAsia" w:ascii="Times New Roman" w:hAnsi="Times New Roman" w:eastAsia="宋体"/>
                <w:color w:val="auto"/>
                <w:sz w:val="24"/>
                <w:highlight w:val="none"/>
              </w:rPr>
              <w:t>河道中心桩号</w:t>
            </w:r>
            <w:r>
              <w:rPr>
                <w:rFonts w:ascii="Times New Roman" w:hAnsi="Times New Roman" w:eastAsia="宋体"/>
                <w:color w:val="auto"/>
                <w:sz w:val="24"/>
                <w:highlight w:val="none"/>
              </w:rPr>
              <w:t>K0+000~K-2+272</w:t>
            </w:r>
            <w:r>
              <w:rPr>
                <w:rFonts w:hint="eastAsia" w:ascii="Times New Roman" w:hAnsi="Times New Roman" w:eastAsia="宋体"/>
                <w:color w:val="auto"/>
                <w:sz w:val="24"/>
                <w:highlight w:val="none"/>
                <w:lang w:val="en-US" w:eastAsia="zh-CN"/>
              </w:rPr>
              <w:t>段</w:t>
            </w:r>
            <w:r>
              <w:rPr>
                <w:rFonts w:hint="eastAsia" w:ascii="Times New Roman" w:hAnsi="Times New Roman" w:eastAsia="宋体"/>
                <w:color w:val="auto"/>
                <w:sz w:val="24"/>
                <w:highlight w:val="none"/>
              </w:rPr>
              <w:t>两岸</w:t>
            </w:r>
            <w:r>
              <w:rPr>
                <w:rFonts w:ascii="Times New Roman" w:hAnsi="Times New Roman" w:eastAsia="宋体"/>
                <w:color w:val="auto"/>
                <w:sz w:val="24"/>
                <w:highlight w:val="none"/>
              </w:rPr>
              <w:t>岸坡杂草丛生</w:t>
            </w:r>
            <w:r>
              <w:rPr>
                <w:rFonts w:hint="eastAsia" w:ascii="Times New Roman" w:hAnsi="Times New Roman" w:eastAsia="宋体"/>
                <w:color w:val="auto"/>
                <w:sz w:val="24"/>
                <w:highlight w:val="none"/>
                <w:lang w:eastAsia="zh-CN"/>
              </w:rPr>
              <w:t>。</w:t>
            </w:r>
          </w:p>
          <w:p w14:paraId="79FE2AD4">
            <w:pPr>
              <w:rPr>
                <w:color w:val="auto"/>
                <w:highlight w:val="none"/>
              </w:rPr>
            </w:pPr>
          </w:p>
          <w:p w14:paraId="37576A08">
            <w:pPr>
              <w:keepNext w:val="0"/>
              <w:keepLines w:val="0"/>
              <w:pageBreakBefore w:val="0"/>
              <w:widowControl/>
              <w:kinsoku/>
              <w:wordWrap/>
              <w:overflowPunct/>
              <w:topLinePunct w:val="0"/>
              <w:autoSpaceDE/>
              <w:autoSpaceDN/>
              <w:bidi w:val="0"/>
              <w:spacing w:line="360" w:lineRule="auto"/>
              <w:ind w:left="0" w:firstLine="480" w:firstLineChars="0"/>
              <w:textAlignment w:val="auto"/>
              <w:rPr>
                <w:rFonts w:hint="eastAsia" w:ascii="Times New Roman" w:hAnsi="Times New Roman" w:eastAsia="宋体"/>
                <w:color w:val="auto"/>
                <w:sz w:val="24"/>
                <w:highlight w:val="none"/>
              </w:rPr>
            </w:pPr>
            <w:r>
              <w:rPr>
                <w:rFonts w:hint="eastAsia" w:ascii="Times New Roman" w:hAnsi="Times New Roman" w:eastAsia="宋体"/>
                <w:b/>
                <w:color w:val="auto"/>
                <w:sz w:val="24"/>
                <w:highlight w:val="none"/>
                <w:lang w:val="en-US" w:eastAsia="zh-CN"/>
              </w:rPr>
              <w:t>·</w:t>
            </w:r>
            <w:r>
              <w:rPr>
                <w:rFonts w:hint="eastAsia" w:ascii="Times New Roman" w:hAnsi="Times New Roman" w:eastAsia="宋体"/>
                <w:b/>
                <w:color w:val="auto"/>
                <w:sz w:val="24"/>
                <w:highlight w:val="none"/>
              </w:rPr>
              <w:t>清溪沟支流段：</w:t>
            </w:r>
            <w:r>
              <w:rPr>
                <w:rFonts w:hint="eastAsia" w:ascii="Times New Roman" w:hAnsi="Times New Roman" w:eastAsia="宋体"/>
                <w:color w:val="auto"/>
                <w:sz w:val="24"/>
                <w:highlight w:val="none"/>
              </w:rPr>
              <w:t>清溪沟支流段新建堤防共计392m。</w:t>
            </w:r>
          </w:p>
          <w:p w14:paraId="79A4274C">
            <w:pPr>
              <w:keepNext w:val="0"/>
              <w:keepLines w:val="0"/>
              <w:pageBreakBefore w:val="0"/>
              <w:widowControl/>
              <w:kinsoku/>
              <w:wordWrap/>
              <w:overflowPunct/>
              <w:topLinePunct w:val="0"/>
              <w:autoSpaceDE/>
              <w:autoSpaceDN/>
              <w:bidi w:val="0"/>
              <w:spacing w:line="360" w:lineRule="auto"/>
              <w:ind w:left="0" w:firstLine="480" w:firstLineChars="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左岸长196m</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rPr>
              <w:t>堤线布置对应桩号亲支Z0+0+000~亲支Z0+196，由于左岸存在已建污水管网，且民房临近河岸，堤型采用C20砼镇脚+C25框格梁预制空心六棱块护坡+亲水马道+草皮护坡，便于当地居民亲水休闲需求，提升人居环境，汇入口端头处顺接主河道河堤。</w:t>
            </w:r>
          </w:p>
          <w:p w14:paraId="6C61EC19">
            <w:pPr>
              <w:keepNext w:val="0"/>
              <w:keepLines w:val="0"/>
              <w:pageBreakBefore w:val="0"/>
              <w:widowControl/>
              <w:kinsoku/>
              <w:wordWrap/>
              <w:overflowPunct/>
              <w:topLinePunct w:val="0"/>
              <w:autoSpaceDE/>
              <w:autoSpaceDN/>
              <w:bidi w:val="0"/>
              <w:spacing w:line="360" w:lineRule="auto"/>
              <w:ind w:left="0" w:firstLine="480" w:firstLineChars="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右岸长196m，堤线布置对应桩号亲支Y0+0+000~亲支Y0+196，堤型</w:t>
            </w:r>
            <w:r>
              <w:rPr>
                <w:rFonts w:ascii="Times New Roman" w:hAnsi="Times New Roman" w:eastAsia="宋体"/>
                <w:color w:val="auto"/>
                <w:sz w:val="24"/>
                <w:highlight w:val="none"/>
              </w:rPr>
              <w:t>采用</w:t>
            </w:r>
            <w:r>
              <w:rPr>
                <w:rFonts w:hint="eastAsia" w:ascii="Times New Roman" w:hAnsi="Times New Roman" w:eastAsia="宋体"/>
                <w:color w:val="auto"/>
                <w:sz w:val="24"/>
                <w:highlight w:val="none"/>
              </w:rPr>
              <w:t>C20砼镇脚+C25框格梁预制空心六棱块护坡+亲水马道+草皮护坡+堤顶道路。汇入口端头处顺接主河道河堤。</w:t>
            </w:r>
          </w:p>
          <w:p w14:paraId="27749CD5">
            <w:pPr>
              <w:keepNext w:val="0"/>
              <w:keepLines w:val="0"/>
              <w:pageBreakBefore w:val="0"/>
              <w:widowControl/>
              <w:kinsoku/>
              <w:wordWrap/>
              <w:overflowPunct/>
              <w:topLinePunct w:val="0"/>
              <w:autoSpaceDE/>
              <w:autoSpaceDN/>
              <w:bidi w:val="0"/>
              <w:spacing w:line="360" w:lineRule="auto"/>
              <w:ind w:left="0" w:firstLine="480" w:firstLineChars="0"/>
              <w:textAlignment w:val="auto"/>
              <w:rPr>
                <w:rFonts w:hint="eastAsia" w:ascii="Times New Roman" w:hAnsi="Times New Roman" w:eastAsia="宋体"/>
                <w:color w:val="auto"/>
                <w:sz w:val="24"/>
                <w:highlight w:val="none"/>
              </w:rPr>
            </w:pPr>
            <w:r>
              <w:rPr>
                <w:rFonts w:hint="eastAsia" w:ascii="Times New Roman" w:hAnsi="Times New Roman" w:eastAsia="宋体"/>
                <w:b/>
                <w:color w:val="auto"/>
                <w:sz w:val="24"/>
                <w:highlight w:val="none"/>
                <w:lang w:val="en-US" w:eastAsia="zh-CN"/>
              </w:rPr>
              <w:t>·</w:t>
            </w:r>
            <w:r>
              <w:rPr>
                <w:rFonts w:hint="eastAsia" w:ascii="Times New Roman" w:hAnsi="Times New Roman" w:eastAsia="宋体"/>
                <w:b/>
                <w:color w:val="auto"/>
                <w:sz w:val="24"/>
                <w:highlight w:val="none"/>
              </w:rPr>
              <w:t>蚂蟥沟支流段：</w:t>
            </w:r>
            <w:r>
              <w:rPr>
                <w:rFonts w:hint="eastAsia" w:ascii="Times New Roman" w:hAnsi="Times New Roman" w:eastAsia="宋体"/>
                <w:color w:val="auto"/>
                <w:sz w:val="24"/>
                <w:highlight w:val="none"/>
              </w:rPr>
              <w:t>清溪沟支流段新建堤防共计334m。</w:t>
            </w:r>
          </w:p>
          <w:p w14:paraId="57267F92">
            <w:pPr>
              <w:keepNext w:val="0"/>
              <w:keepLines w:val="0"/>
              <w:pageBreakBefore w:val="0"/>
              <w:widowControl/>
              <w:kinsoku/>
              <w:wordWrap/>
              <w:overflowPunct/>
              <w:topLinePunct w:val="0"/>
              <w:autoSpaceDE/>
              <w:autoSpaceDN/>
              <w:bidi w:val="0"/>
              <w:spacing w:line="360" w:lineRule="auto"/>
              <w:ind w:left="0" w:firstLine="480" w:firstLineChars="0"/>
              <w:textAlignment w:val="auto"/>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左岸长164m</w:t>
            </w:r>
            <w:r>
              <w:rPr>
                <w:rFonts w:hint="eastAsia" w:ascii="Times New Roman" w:hAnsi="Times New Roman" w:eastAsia="宋体"/>
                <w:color w:val="auto"/>
                <w:sz w:val="24"/>
                <w:highlight w:val="none"/>
                <w:lang w:eastAsia="zh-CN"/>
              </w:rPr>
              <w:t>。</w:t>
            </w:r>
            <w:r>
              <w:rPr>
                <w:rFonts w:hint="eastAsia" w:ascii="Times New Roman" w:hAnsi="Times New Roman" w:eastAsia="宋体"/>
                <w:color w:val="auto"/>
                <w:sz w:val="24"/>
                <w:highlight w:val="none"/>
              </w:rPr>
              <w:t>堤线布置对应桩号蚂支Z0+0+000~蚂支Z0+164，堤型采用C20砼镇脚+C25框格梁预制空心六棱块护坡+亲水马道+草皮护坡，便于当地居民亲水休闲需求，提升人居环境，汇合口端头处顺接主河道河堤。</w:t>
            </w:r>
          </w:p>
          <w:p w14:paraId="56B19920">
            <w:pPr>
              <w:keepNext w:val="0"/>
              <w:keepLines w:val="0"/>
              <w:pageBreakBefore w:val="0"/>
              <w:widowControl/>
              <w:kinsoku/>
              <w:wordWrap/>
              <w:overflowPunct/>
              <w:topLinePunct w:val="0"/>
              <w:autoSpaceDE/>
              <w:autoSpaceDN/>
              <w:bidi w:val="0"/>
              <w:adjustRightInd/>
              <w:snapToGrid/>
              <w:spacing w:line="360" w:lineRule="auto"/>
              <w:ind w:left="0" w:firstLine="480" w:firstLineChars="0"/>
              <w:textAlignment w:val="auto"/>
              <w:rPr>
                <w:rFonts w:hint="eastAsia" w:ascii="Times New Roman" w:hAnsi="Times New Roman" w:eastAsia="宋体" w:cs="Times New Roman"/>
                <w:b/>
                <w:bCs/>
                <w:color w:val="auto"/>
                <w:kern w:val="0"/>
                <w:sz w:val="24"/>
                <w:szCs w:val="24"/>
                <w:highlight w:val="none"/>
                <w:lang w:val="en-US" w:eastAsia="zh-CN" w:bidi="ar-SA"/>
              </w:rPr>
            </w:pPr>
            <w:r>
              <w:rPr>
                <w:rFonts w:hint="eastAsia" w:ascii="Times New Roman" w:hAnsi="Times New Roman" w:eastAsia="宋体"/>
                <w:color w:val="auto"/>
                <w:sz w:val="24"/>
                <w:highlight w:val="none"/>
              </w:rPr>
              <w:t>右岸长170m，堤线布置对应桩号蚂支Y0+0+000~蚂支Y0+196，堤型</w:t>
            </w:r>
            <w:r>
              <w:rPr>
                <w:rFonts w:ascii="Times New Roman" w:hAnsi="Times New Roman" w:eastAsia="宋体"/>
                <w:color w:val="auto"/>
                <w:sz w:val="24"/>
                <w:highlight w:val="none"/>
              </w:rPr>
              <w:t>采用</w:t>
            </w:r>
            <w:r>
              <w:rPr>
                <w:rFonts w:hint="eastAsia" w:ascii="Times New Roman" w:hAnsi="Times New Roman" w:eastAsia="宋体"/>
                <w:color w:val="auto"/>
                <w:sz w:val="24"/>
                <w:highlight w:val="none"/>
              </w:rPr>
              <w:t>C20砼镇脚+C25框格梁预制空心六棱块护坡，顺接已成道路，端头处顺接主河道河堤。</w:t>
            </w:r>
          </w:p>
          <w:p w14:paraId="2CC40471">
            <w:pPr>
              <w:adjustRightInd/>
              <w:snapToGrid/>
              <w:spacing w:line="360" w:lineRule="auto"/>
              <w:ind w:left="0" w:leftChars="0" w:firstLine="480" w:firstLineChars="0"/>
              <w:rPr>
                <w:rFonts w:hint="default" w:hAnsi="宋体" w:eastAsia="宋体"/>
                <w:b/>
                <w:bCs w:val="0"/>
                <w:color w:val="auto"/>
                <w:kern w:val="0"/>
                <w:sz w:val="24"/>
                <w:highlight w:val="none"/>
                <w:lang w:val="en-US" w:eastAsia="zh-CN"/>
              </w:rPr>
            </w:pPr>
            <w:r>
              <w:rPr>
                <w:rFonts w:hint="eastAsia" w:ascii="Calibri" w:hAnsi="Calibri" w:cs="Calibri"/>
                <w:b/>
                <w:bCs w:val="0"/>
                <w:color w:val="auto"/>
                <w:sz w:val="24"/>
                <w:highlight w:val="none"/>
                <w:lang w:val="en-US" w:eastAsia="zh-CN"/>
              </w:rPr>
              <w:t>2.4.2.3.2</w:t>
            </w:r>
            <w:r>
              <w:rPr>
                <w:rFonts w:hint="eastAsia" w:ascii="Calibri" w:hAnsi="Calibri" w:eastAsia="宋体" w:cs="Calibri"/>
                <w:b/>
                <w:bCs w:val="0"/>
                <w:color w:val="auto"/>
                <w:sz w:val="24"/>
                <w:highlight w:val="none"/>
                <w:lang w:val="en-US" w:eastAsia="zh-CN"/>
              </w:rPr>
              <w:t xml:space="preserve"> </w:t>
            </w:r>
            <w:r>
              <w:rPr>
                <w:rFonts w:hint="eastAsia" w:hAnsi="宋体"/>
                <w:b/>
                <w:bCs w:val="0"/>
                <w:color w:val="auto"/>
                <w:kern w:val="0"/>
                <w:sz w:val="24"/>
                <w:highlight w:val="none"/>
                <w:lang w:val="en-US" w:eastAsia="zh-CN"/>
              </w:rPr>
              <w:t>疏浚工程</w:t>
            </w:r>
          </w:p>
          <w:p w14:paraId="005DD442">
            <w:pPr>
              <w:adjustRightInd/>
              <w:snapToGrid/>
              <w:spacing w:line="360" w:lineRule="auto"/>
              <w:ind w:firstLine="480" w:firstLineChars="0"/>
              <w:rPr>
                <w:rFonts w:hint="eastAsia" w:hAnsi="宋体"/>
                <w:color w:val="auto"/>
                <w:kern w:val="0"/>
                <w:sz w:val="24"/>
                <w:szCs w:val="24"/>
                <w:highlight w:val="none"/>
              </w:rPr>
            </w:pPr>
            <w:r>
              <w:rPr>
                <w:rFonts w:hint="eastAsia" w:hAnsi="宋体"/>
                <w:color w:val="auto"/>
                <w:kern w:val="0"/>
                <w:sz w:val="24"/>
                <w:szCs w:val="24"/>
                <w:highlight w:val="none"/>
                <w:lang w:val="en-US" w:eastAsia="zh-CN"/>
              </w:rPr>
              <w:t>根据建设单位提供的资料方案，项目杨家镇段</w:t>
            </w:r>
            <w:r>
              <w:rPr>
                <w:rFonts w:hint="default" w:ascii="Times New Roman" w:hAnsi="Times New Roman" w:cs="Times New Roman"/>
                <w:b w:val="0"/>
                <w:bCs/>
                <w:snapToGrid w:val="0"/>
                <w:color w:val="auto"/>
                <w:sz w:val="24"/>
                <w:szCs w:val="24"/>
                <w:highlight w:val="none"/>
              </w:rPr>
              <w:t>清淤范围为</w:t>
            </w:r>
            <w:r>
              <w:rPr>
                <w:rFonts w:hint="eastAsia" w:cs="Times New Roman"/>
                <w:b w:val="0"/>
                <w:bCs/>
                <w:snapToGrid w:val="0"/>
                <w:color w:val="auto"/>
                <w:sz w:val="24"/>
                <w:szCs w:val="24"/>
                <w:highlight w:val="none"/>
                <w:lang w:val="en-US" w:eastAsia="zh-CN"/>
              </w:rPr>
              <w:t>本</w:t>
            </w:r>
            <w:r>
              <w:rPr>
                <w:b w:val="0"/>
                <w:bCs/>
                <w:color w:val="auto"/>
                <w:sz w:val="24"/>
                <w:szCs w:val="24"/>
                <w:highlight w:val="none"/>
              </w:rPr>
              <w:t>河段全段</w:t>
            </w:r>
            <w:r>
              <w:rPr>
                <w:rFonts w:hint="eastAsia"/>
                <w:b w:val="0"/>
                <w:bCs/>
                <w:color w:val="auto"/>
                <w:sz w:val="24"/>
                <w:szCs w:val="24"/>
                <w:highlight w:val="none"/>
                <w:lang w:val="en-US" w:eastAsia="zh-CN"/>
              </w:rPr>
              <w:t>河段范围</w:t>
            </w:r>
            <w:r>
              <w:rPr>
                <w:b w:val="0"/>
                <w:bCs/>
                <w:color w:val="auto"/>
                <w:sz w:val="24"/>
                <w:szCs w:val="24"/>
                <w:highlight w:val="none"/>
              </w:rPr>
              <w:t>，</w:t>
            </w:r>
            <w:r>
              <w:rPr>
                <w:rFonts w:hint="eastAsia"/>
                <w:b w:val="0"/>
                <w:bCs/>
                <w:color w:val="auto"/>
                <w:sz w:val="24"/>
                <w:szCs w:val="24"/>
                <w:highlight w:val="none"/>
                <w:lang w:val="en-US" w:eastAsia="zh-CN"/>
              </w:rPr>
              <w:t>清淤长度为</w:t>
            </w:r>
            <w:r>
              <w:rPr>
                <w:rFonts w:hint="eastAsia"/>
                <w:b w:val="0"/>
                <w:bCs/>
                <w:color w:val="auto"/>
                <w:sz w:val="24"/>
                <w:szCs w:val="24"/>
                <w:highlight w:val="none"/>
              </w:rPr>
              <w:t>5125m，其中干流段起于G5515公路桥上游872m处，止于杨家镇污水处理厂，河道中心治理长度4772m；清溪沟支流段起于入河口上游189m处止于入河口处</w:t>
            </w:r>
            <w:r>
              <w:rPr>
                <w:rFonts w:hint="eastAsia"/>
                <w:b w:val="0"/>
                <w:bCs/>
                <w:color w:val="auto"/>
                <w:sz w:val="24"/>
                <w:szCs w:val="24"/>
                <w:highlight w:val="none"/>
                <w:lang w:eastAsia="zh-CN"/>
              </w:rPr>
              <w:t>，</w:t>
            </w:r>
            <w:r>
              <w:rPr>
                <w:rFonts w:hint="eastAsia"/>
                <w:b w:val="0"/>
                <w:bCs/>
                <w:color w:val="auto"/>
                <w:sz w:val="24"/>
                <w:szCs w:val="24"/>
                <w:highlight w:val="none"/>
              </w:rPr>
              <w:t>河道中心治理长度189m</w:t>
            </w:r>
            <w:r>
              <w:rPr>
                <w:rFonts w:hint="eastAsia"/>
                <w:b w:val="0"/>
                <w:bCs/>
                <w:color w:val="auto"/>
                <w:sz w:val="24"/>
                <w:szCs w:val="24"/>
                <w:highlight w:val="none"/>
                <w:lang w:eastAsia="zh-CN"/>
              </w:rPr>
              <w:t>；</w:t>
            </w:r>
            <w:r>
              <w:rPr>
                <w:rFonts w:hint="eastAsia"/>
                <w:b w:val="0"/>
                <w:bCs/>
                <w:color w:val="auto"/>
                <w:sz w:val="24"/>
                <w:szCs w:val="24"/>
                <w:highlight w:val="none"/>
              </w:rPr>
              <w:t>蚂蟥沟支流段起于入河口上游164m处</w:t>
            </w:r>
            <w:r>
              <w:rPr>
                <w:rFonts w:hint="eastAsia"/>
                <w:b w:val="0"/>
                <w:bCs/>
                <w:color w:val="auto"/>
                <w:sz w:val="24"/>
                <w:szCs w:val="24"/>
                <w:highlight w:val="none"/>
                <w:lang w:eastAsia="zh-CN"/>
              </w:rPr>
              <w:t>，</w:t>
            </w:r>
            <w:r>
              <w:rPr>
                <w:rFonts w:hint="eastAsia"/>
                <w:b w:val="0"/>
                <w:bCs/>
                <w:color w:val="auto"/>
                <w:sz w:val="24"/>
                <w:szCs w:val="24"/>
                <w:highlight w:val="none"/>
              </w:rPr>
              <w:t>止于入河口处</w:t>
            </w:r>
            <w:r>
              <w:rPr>
                <w:rFonts w:hint="eastAsia"/>
                <w:b w:val="0"/>
                <w:bCs/>
                <w:color w:val="auto"/>
                <w:sz w:val="24"/>
                <w:szCs w:val="24"/>
                <w:highlight w:val="none"/>
                <w:lang w:eastAsia="zh-CN"/>
              </w:rPr>
              <w:t>，</w:t>
            </w:r>
            <w:r>
              <w:rPr>
                <w:rFonts w:hint="eastAsia"/>
                <w:b w:val="0"/>
                <w:bCs/>
                <w:color w:val="auto"/>
                <w:sz w:val="24"/>
                <w:szCs w:val="24"/>
                <w:highlight w:val="none"/>
              </w:rPr>
              <w:t>河道中心治理长度164m</w:t>
            </w:r>
            <w:r>
              <w:rPr>
                <w:rFonts w:hint="eastAsia" w:ascii="Times New Roman" w:hAnsi="Times New Roman" w:eastAsia="宋体"/>
                <w:b w:val="0"/>
                <w:bCs/>
                <w:color w:val="auto"/>
                <w:sz w:val="24"/>
                <w:szCs w:val="24"/>
                <w:highlight w:val="none"/>
              </w:rPr>
              <w:t>。</w:t>
            </w:r>
            <w:r>
              <w:rPr>
                <w:rFonts w:hint="eastAsia" w:hAnsi="宋体"/>
                <w:color w:val="auto"/>
                <w:kern w:val="0"/>
                <w:sz w:val="24"/>
                <w:szCs w:val="24"/>
                <w:highlight w:val="none"/>
              </w:rPr>
              <w:t>疏浚量约</w:t>
            </w:r>
            <w:r>
              <w:rPr>
                <w:rFonts w:hint="eastAsia" w:hAnsi="宋体"/>
                <w:color w:val="auto"/>
                <w:kern w:val="0"/>
                <w:sz w:val="24"/>
                <w:szCs w:val="24"/>
                <w:highlight w:val="none"/>
                <w:lang w:val="en-US" w:eastAsia="zh-CN"/>
              </w:rPr>
              <w:t>20500</w:t>
            </w:r>
            <w:r>
              <w:rPr>
                <w:rFonts w:hint="eastAsia" w:hAnsi="宋体"/>
                <w:color w:val="auto"/>
                <w:kern w:val="0"/>
                <w:sz w:val="24"/>
                <w:szCs w:val="24"/>
                <w:highlight w:val="none"/>
              </w:rPr>
              <w:t>m</w:t>
            </w:r>
            <w:r>
              <w:rPr>
                <w:rFonts w:hint="eastAsia" w:hAnsi="宋体"/>
                <w:color w:val="auto"/>
                <w:kern w:val="0"/>
                <w:sz w:val="24"/>
                <w:szCs w:val="24"/>
                <w:highlight w:val="none"/>
                <w:vertAlign w:val="superscript"/>
              </w:rPr>
              <w:t>3</w:t>
            </w:r>
            <w:r>
              <w:rPr>
                <w:rFonts w:hint="eastAsia" w:hAnsi="宋体"/>
                <w:color w:val="auto"/>
                <w:kern w:val="0"/>
                <w:sz w:val="24"/>
                <w:szCs w:val="24"/>
                <w:highlight w:val="none"/>
              </w:rPr>
              <w:t>。</w:t>
            </w:r>
          </w:p>
          <w:p w14:paraId="7FF1D248">
            <w:pPr>
              <w:adjustRightInd/>
              <w:snapToGrid/>
              <w:spacing w:line="360" w:lineRule="auto"/>
              <w:ind w:left="0" w:leftChars="0" w:firstLine="480" w:firstLineChars="0"/>
              <w:rPr>
                <w:rFonts w:hint="default" w:hAnsi="宋体" w:eastAsia="宋体"/>
                <w:b/>
                <w:bCs w:val="0"/>
                <w:color w:val="auto"/>
                <w:kern w:val="0"/>
                <w:sz w:val="24"/>
                <w:highlight w:val="none"/>
                <w:lang w:val="en-US" w:eastAsia="zh-CN"/>
              </w:rPr>
            </w:pPr>
            <w:r>
              <w:rPr>
                <w:rFonts w:hint="eastAsia" w:ascii="Calibri" w:hAnsi="Calibri" w:cs="Calibri"/>
                <w:b/>
                <w:bCs w:val="0"/>
                <w:color w:val="auto"/>
                <w:sz w:val="24"/>
                <w:highlight w:val="none"/>
                <w:lang w:val="en-US" w:eastAsia="zh-CN"/>
              </w:rPr>
              <w:t>2.4.2.3.3</w:t>
            </w:r>
            <w:r>
              <w:rPr>
                <w:rFonts w:hint="eastAsia" w:ascii="Calibri" w:hAnsi="Calibri" w:eastAsia="宋体" w:cs="Calibri"/>
                <w:b/>
                <w:bCs w:val="0"/>
                <w:color w:val="auto"/>
                <w:sz w:val="24"/>
                <w:highlight w:val="none"/>
                <w:lang w:val="en-US" w:eastAsia="zh-CN"/>
              </w:rPr>
              <w:t xml:space="preserve"> </w:t>
            </w:r>
            <w:r>
              <w:rPr>
                <w:rFonts w:hint="eastAsia" w:hAnsi="宋体"/>
                <w:b/>
                <w:bCs w:val="0"/>
                <w:color w:val="auto"/>
                <w:kern w:val="0"/>
                <w:sz w:val="24"/>
                <w:highlight w:val="none"/>
                <w:lang w:val="en-US" w:eastAsia="zh-CN"/>
              </w:rPr>
              <w:t xml:space="preserve"> 附属工程</w:t>
            </w:r>
          </w:p>
          <w:p w14:paraId="0F70EE8C">
            <w:pPr>
              <w:keepNext w:val="0"/>
              <w:keepLines w:val="0"/>
              <w:pageBreakBefore w:val="0"/>
              <w:widowControl w:val="0"/>
              <w:kinsoku/>
              <w:wordWrap/>
              <w:overflowPunct/>
              <w:topLinePunct w:val="0"/>
              <w:bidi w:val="0"/>
              <w:snapToGrid/>
              <w:spacing w:line="360" w:lineRule="auto"/>
              <w:ind w:firstLineChars="200"/>
              <w:textAlignment w:val="auto"/>
              <w:rPr>
                <w:rFonts w:hint="eastAsia"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val="0"/>
                <w:color w:val="auto"/>
                <w:kern w:val="0"/>
                <w:sz w:val="24"/>
                <w:szCs w:val="24"/>
                <w:highlight w:val="none"/>
                <w:lang w:val="en-US" w:eastAsia="zh-CN" w:bidi="ar-SA"/>
              </w:rPr>
              <w:t>·穿堤涵洞</w:t>
            </w:r>
          </w:p>
          <w:p w14:paraId="26967519">
            <w:pPr>
              <w:adjustRightInd/>
              <w:snapToGrid/>
              <w:spacing w:line="360" w:lineRule="auto"/>
              <w:ind w:firstLine="480" w:firstLineChars="0"/>
              <w:rPr>
                <w:rFonts w:hint="eastAsia" w:hAnsi="宋体"/>
                <w:color w:val="auto"/>
                <w:kern w:val="0"/>
                <w:sz w:val="24"/>
                <w:highlight w:val="none"/>
                <w:lang w:val="en-US" w:eastAsia="zh-CN"/>
              </w:rPr>
            </w:pPr>
            <w:r>
              <w:rPr>
                <w:rFonts w:hint="eastAsia" w:hAnsi="宋体"/>
                <w:color w:val="auto"/>
                <w:kern w:val="0"/>
                <w:sz w:val="24"/>
                <w:highlight w:val="none"/>
                <w:lang w:val="en-US" w:eastAsia="zh-CN"/>
              </w:rPr>
              <w:t>根据建设单位提供的资料，项目新建4处排涝管涵，其中，左岸新建2处、右岸新建2处。</w:t>
            </w:r>
          </w:p>
          <w:p w14:paraId="4E1AB30E">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宋体" w:eastAsia="宋体" w:cs="Times New Roman"/>
                <w:b w:val="0"/>
                <w:color w:val="auto"/>
                <w:kern w:val="0"/>
                <w:sz w:val="24"/>
                <w:szCs w:val="24"/>
                <w:highlight w:val="none"/>
                <w:lang w:val="en-US" w:eastAsia="zh-CN" w:bidi="ar-SA"/>
              </w:rPr>
            </w:pPr>
            <w:r>
              <w:rPr>
                <w:rFonts w:hint="eastAsia" w:hAnsi="宋体"/>
                <w:color w:val="auto"/>
                <w:kern w:val="0"/>
                <w:sz w:val="24"/>
                <w:highlight w:val="none"/>
                <w:lang w:val="en-US" w:eastAsia="zh-CN"/>
              </w:rPr>
              <w:t>·</w:t>
            </w:r>
            <w:r>
              <w:rPr>
                <w:rFonts w:hint="eastAsia" w:ascii="Times New Roman" w:hAnsi="宋体" w:eastAsia="宋体" w:cs="Times New Roman"/>
                <w:b w:val="0"/>
                <w:color w:val="auto"/>
                <w:kern w:val="0"/>
                <w:sz w:val="24"/>
                <w:szCs w:val="24"/>
                <w:highlight w:val="none"/>
                <w:lang w:val="en-US" w:eastAsia="zh-CN" w:bidi="ar-SA"/>
              </w:rPr>
              <w:t>人行桥和桥涵</w:t>
            </w:r>
          </w:p>
          <w:p w14:paraId="4A32F295">
            <w:pPr>
              <w:adjustRightInd/>
              <w:snapToGrid/>
              <w:spacing w:line="360" w:lineRule="auto"/>
              <w:ind w:firstLine="480" w:firstLineChars="0"/>
              <w:rPr>
                <w:rFonts w:hint="default" w:hAnsi="宋体"/>
                <w:color w:val="auto"/>
                <w:kern w:val="0"/>
                <w:sz w:val="24"/>
                <w:highlight w:val="none"/>
                <w:lang w:val="en-US" w:eastAsia="zh-CN"/>
              </w:rPr>
            </w:pPr>
            <w:r>
              <w:rPr>
                <w:rFonts w:hint="eastAsia" w:hAnsi="宋体"/>
                <w:color w:val="auto"/>
                <w:kern w:val="0"/>
                <w:sz w:val="24"/>
                <w:highlight w:val="none"/>
                <w:lang w:val="en-US" w:eastAsia="zh-CN"/>
              </w:rPr>
              <w:t>项目新建</w:t>
            </w:r>
            <w:r>
              <w:rPr>
                <w:rFonts w:hint="default" w:hAnsi="宋体"/>
                <w:color w:val="auto"/>
                <w:kern w:val="0"/>
                <w:sz w:val="24"/>
                <w:highlight w:val="none"/>
                <w:lang w:val="en-US" w:eastAsia="zh-CN"/>
              </w:rPr>
              <w:t>桥涵1座，位于主河道杨Y1+071~杨Y1+076处支流姜家沟支流河口处。</w:t>
            </w:r>
          </w:p>
          <w:p w14:paraId="1884434A">
            <w:pPr>
              <w:adjustRightInd/>
              <w:snapToGrid/>
              <w:spacing w:line="360" w:lineRule="auto"/>
              <w:ind w:firstLine="480" w:firstLineChars="0"/>
              <w:rPr>
                <w:rFonts w:hint="eastAsia" w:hAnsi="宋体"/>
                <w:color w:val="auto"/>
                <w:kern w:val="0"/>
                <w:sz w:val="24"/>
                <w:highlight w:val="none"/>
                <w:lang w:val="en-US" w:eastAsia="zh-CN"/>
              </w:rPr>
            </w:pPr>
            <w:r>
              <w:rPr>
                <w:rFonts w:hint="eastAsia" w:hAnsi="宋体"/>
                <w:color w:val="auto"/>
                <w:kern w:val="0"/>
                <w:sz w:val="24"/>
                <w:highlight w:val="none"/>
                <w:lang w:val="en-US" w:eastAsia="zh-CN"/>
              </w:rPr>
              <w:t>新建1座</w:t>
            </w:r>
            <w:r>
              <w:rPr>
                <w:rFonts w:hint="default" w:hAnsi="宋体"/>
                <w:color w:val="auto"/>
                <w:kern w:val="0"/>
                <w:sz w:val="24"/>
                <w:highlight w:val="none"/>
                <w:lang w:val="en-US" w:eastAsia="zh-CN"/>
              </w:rPr>
              <w:t>姜家沟支流人行桥</w:t>
            </w:r>
            <w:r>
              <w:rPr>
                <w:rFonts w:hint="eastAsia" w:hAnsi="宋体"/>
                <w:color w:val="auto"/>
                <w:kern w:val="0"/>
                <w:sz w:val="24"/>
                <w:highlight w:val="none"/>
                <w:lang w:val="en-US" w:eastAsia="zh-CN"/>
              </w:rPr>
              <w:t>。该桥</w:t>
            </w:r>
            <w:r>
              <w:rPr>
                <w:rFonts w:hint="default" w:hAnsi="宋体"/>
                <w:color w:val="auto"/>
                <w:kern w:val="0"/>
                <w:sz w:val="24"/>
                <w:highlight w:val="none"/>
                <w:lang w:val="en-US" w:eastAsia="zh-CN"/>
              </w:rPr>
              <w:t>采用单跨简支梁板桥结构，净跨4m，桥板连接主河道新建亲水马道，简支板结构，桥面宽2m，板厚0.12m，梁尺寸0.2m×0.50m（宽×高）；两侧桥墩采用C20重力式挡墙，面坡1:0.1，背坡1:0.4，顶宽0.6m，埋深1m~1.25m，墙高2.0m~4.0m</w:t>
            </w:r>
            <w:r>
              <w:rPr>
                <w:rFonts w:hint="eastAsia" w:hAnsi="宋体"/>
                <w:color w:val="auto"/>
                <w:kern w:val="0"/>
                <w:sz w:val="24"/>
                <w:highlight w:val="none"/>
                <w:lang w:val="en-US" w:eastAsia="zh-CN"/>
              </w:rPr>
              <w:t>。</w:t>
            </w:r>
          </w:p>
          <w:p w14:paraId="1A817A10">
            <w:pPr>
              <w:keepNext w:val="0"/>
              <w:keepLines w:val="0"/>
              <w:pageBreakBefore w:val="0"/>
              <w:widowControl w:val="0"/>
              <w:kinsoku/>
              <w:wordWrap/>
              <w:overflowPunct/>
              <w:topLinePunct w:val="0"/>
              <w:bidi w:val="0"/>
              <w:snapToGrid/>
              <w:spacing w:line="360" w:lineRule="auto"/>
              <w:ind w:firstLineChars="200"/>
              <w:textAlignment w:val="auto"/>
              <w:rPr>
                <w:rFonts w:hint="default"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val="0"/>
                <w:color w:val="auto"/>
                <w:kern w:val="0"/>
                <w:sz w:val="24"/>
                <w:szCs w:val="24"/>
                <w:highlight w:val="none"/>
                <w:lang w:val="en-US" w:eastAsia="zh-CN" w:bidi="ar-SA"/>
              </w:rPr>
              <w:t>·安全警示牌</w:t>
            </w:r>
          </w:p>
          <w:p w14:paraId="25D86A66">
            <w:pPr>
              <w:ind w:firstLine="480"/>
              <w:rPr>
                <w:rFonts w:hint="default" w:ascii="Times New Roman" w:hAnsi="宋体" w:eastAsia="宋体" w:cs="Times New Roman"/>
                <w:b w:val="0"/>
                <w:color w:val="auto"/>
                <w:kern w:val="0"/>
                <w:sz w:val="24"/>
                <w:szCs w:val="24"/>
                <w:highlight w:val="none"/>
                <w:lang w:val="en-US" w:eastAsia="zh-CN" w:bidi="ar-SA"/>
              </w:rPr>
            </w:pPr>
            <w:r>
              <w:rPr>
                <w:rFonts w:hint="eastAsia" w:ascii="Times New Roman" w:hAnsi="宋体" w:eastAsia="宋体" w:cs="Times New Roman"/>
                <w:b w:val="0"/>
                <w:color w:val="auto"/>
                <w:kern w:val="0"/>
                <w:sz w:val="24"/>
                <w:szCs w:val="24"/>
                <w:highlight w:val="none"/>
                <w:lang w:val="en-US" w:eastAsia="zh-CN" w:bidi="ar-SA"/>
              </w:rPr>
              <w:t>根据建设单位提供的资料，项目在在河道醒目位置设置安全警示牌，共计4块。</w:t>
            </w:r>
          </w:p>
          <w:p w14:paraId="5A9F1286">
            <w:pPr>
              <w:ind w:firstLine="48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2.5 施工布置</w:t>
            </w:r>
          </w:p>
          <w:p w14:paraId="41FBD15D">
            <w:pPr>
              <w:ind w:left="0" w:leftChars="0" w:firstLine="480" w:firstLineChars="0"/>
              <w:rPr>
                <w:rFonts w:hint="default" w:cs="Times New Roman"/>
                <w:b/>
                <w:bCs/>
                <w:snapToGrid w:val="0"/>
                <w:color w:val="auto"/>
                <w:sz w:val="24"/>
                <w:szCs w:val="22"/>
                <w:highlight w:val="none"/>
                <w:lang w:val="en-US" w:eastAsia="zh-CN" w:bidi="ar-SA"/>
              </w:rPr>
            </w:pPr>
            <w:r>
              <w:rPr>
                <w:rFonts w:hint="eastAsia" w:cs="Times New Roman"/>
                <w:b/>
                <w:bCs/>
                <w:snapToGrid w:val="0"/>
                <w:color w:val="auto"/>
                <w:sz w:val="24"/>
                <w:szCs w:val="22"/>
                <w:highlight w:val="none"/>
                <w:lang w:val="en-US" w:eastAsia="zh-CN" w:bidi="ar-SA"/>
              </w:rPr>
              <w:t>2.5.1 柳城河石河镇段工程（石河镇二郎及福兴段、</w:t>
            </w:r>
            <w:r>
              <w:rPr>
                <w:rFonts w:hint="eastAsia" w:cs="Times New Roman"/>
                <w:b/>
                <w:bCs/>
                <w:color w:val="auto"/>
                <w:highlight w:val="none"/>
                <w:lang w:val="en-US" w:eastAsia="zh-CN"/>
              </w:rPr>
              <w:t>石河镇石河镇段及双拱场段</w:t>
            </w:r>
            <w:r>
              <w:rPr>
                <w:rFonts w:hint="eastAsia" w:cs="Times New Roman"/>
                <w:b/>
                <w:bCs/>
                <w:snapToGrid w:val="0"/>
                <w:color w:val="auto"/>
                <w:sz w:val="24"/>
                <w:szCs w:val="22"/>
                <w:highlight w:val="none"/>
                <w:lang w:val="en-US" w:eastAsia="zh-CN" w:bidi="ar-SA"/>
              </w:rPr>
              <w:t>）</w:t>
            </w:r>
          </w:p>
          <w:p w14:paraId="65446F2C">
            <w:pPr>
              <w:ind w:firstLine="480"/>
              <w:rPr>
                <w:rFonts w:hint="default" w:ascii="Times New Roman" w:hAnsi="Times New Roman" w:cs="Times New Roman"/>
                <w:color w:val="auto"/>
                <w:highlight w:val="none"/>
              </w:rPr>
            </w:pPr>
            <w:r>
              <w:rPr>
                <w:rFonts w:hint="eastAsia" w:cs="Times New Roman"/>
                <w:b w:val="0"/>
                <w:bCs w:val="0"/>
                <w:snapToGrid w:val="0"/>
                <w:color w:val="auto"/>
                <w:sz w:val="24"/>
                <w:szCs w:val="22"/>
                <w:highlight w:val="none"/>
                <w:lang w:val="en-US" w:eastAsia="zh-CN" w:bidi="ar-SA"/>
              </w:rPr>
              <w:t>石河镇二郎、福兴段</w:t>
            </w:r>
            <w:r>
              <w:rPr>
                <w:rFonts w:hint="default" w:ascii="Times New Roman" w:hAnsi="Times New Roman" w:cs="Times New Roman"/>
                <w:color w:val="auto"/>
                <w:sz w:val="24"/>
                <w:szCs w:val="24"/>
                <w:highlight w:val="none"/>
              </w:rPr>
              <w:t>施工布置有</w:t>
            </w:r>
            <w:r>
              <w:rPr>
                <w:rFonts w:hint="eastAsia" w:cs="Times New Roman"/>
                <w:color w:val="auto"/>
                <w:sz w:val="24"/>
                <w:szCs w:val="24"/>
                <w:highlight w:val="none"/>
                <w:lang w:eastAsia="zh-CN"/>
              </w:rPr>
              <w:t>施工场地</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eastAsia="zh-CN"/>
              </w:rPr>
              <w:t>施工道路</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eastAsia="zh-CN"/>
              </w:rPr>
              <w:t>施工场地</w:t>
            </w:r>
            <w:r>
              <w:rPr>
                <w:rFonts w:hint="default" w:ascii="Times New Roman" w:hAnsi="Times New Roman" w:cs="Times New Roman"/>
                <w:color w:val="auto"/>
                <w:sz w:val="24"/>
                <w:szCs w:val="24"/>
                <w:highlight w:val="none"/>
                <w:lang w:val="en-US" w:eastAsia="zh-CN"/>
              </w:rPr>
              <w:t>设置在</w:t>
            </w:r>
            <w:r>
              <w:rPr>
                <w:rFonts w:hint="eastAsia" w:cs="Times New Roman"/>
                <w:color w:val="auto"/>
                <w:sz w:val="24"/>
                <w:szCs w:val="24"/>
                <w:highlight w:val="none"/>
                <w:lang w:val="en-US" w:eastAsia="zh-CN"/>
              </w:rPr>
              <w:t>石河镇玉子铺村</w:t>
            </w:r>
            <w:r>
              <w:rPr>
                <w:rFonts w:hint="default" w:ascii="Times New Roman" w:hAnsi="Times New Roman" w:cs="Times New Roman"/>
                <w:color w:val="auto"/>
                <w:sz w:val="24"/>
                <w:szCs w:val="24"/>
                <w:highlight w:val="none"/>
              </w:rPr>
              <w:t>，临时占地面积</w:t>
            </w:r>
            <w:r>
              <w:rPr>
                <w:rFonts w:hint="eastAsia" w:ascii="Times New Roman" w:hAnsi="Times New Roman" w:cs="Times New Roman"/>
                <w:color w:val="auto"/>
                <w:sz w:val="24"/>
                <w:szCs w:val="24"/>
                <w:highlight w:val="none"/>
                <w:lang w:eastAsia="zh-CN"/>
              </w:rPr>
              <w:t>约</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00</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rPr>
              <w:t>2</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eastAsia="zh-CN"/>
              </w:rPr>
              <w:t>施工道路</w:t>
            </w:r>
            <w:r>
              <w:rPr>
                <w:rFonts w:hint="default" w:ascii="Times New Roman" w:hAnsi="Times New Roman" w:cs="Times New Roman"/>
                <w:color w:val="auto"/>
                <w:sz w:val="24"/>
                <w:szCs w:val="24"/>
                <w:highlight w:val="none"/>
              </w:rPr>
              <w:t>总长约</w:t>
            </w:r>
            <w:r>
              <w:rPr>
                <w:rFonts w:hint="eastAsia" w:cs="Times New Roman"/>
                <w:color w:val="auto"/>
                <w:sz w:val="24"/>
                <w:szCs w:val="24"/>
                <w:highlight w:val="none"/>
                <w:lang w:val="en-US" w:eastAsia="zh-CN"/>
              </w:rPr>
              <w:t>1582.4</w:t>
            </w:r>
            <w:r>
              <w:rPr>
                <w:rFonts w:hint="default" w:ascii="Times New Roman" w:hAnsi="Times New Roman" w:cs="Times New Roman"/>
                <w:color w:val="auto"/>
                <w:sz w:val="24"/>
                <w:szCs w:val="24"/>
                <w:highlight w:val="none"/>
              </w:rPr>
              <w:t>m，宽3.5m</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泥结石路面。</w:t>
            </w:r>
            <w:r>
              <w:rPr>
                <w:rFonts w:hint="default" w:ascii="Times New Roman" w:hAnsi="Times New Roman" w:cs="Times New Roman"/>
                <w:color w:val="auto"/>
                <w:sz w:val="24"/>
                <w:szCs w:val="24"/>
                <w:highlight w:val="none"/>
                <w:lang w:val="en-US" w:eastAsia="zh-CN"/>
              </w:rPr>
              <w:t>其中，</w:t>
            </w:r>
            <w:r>
              <w:rPr>
                <w:rFonts w:hint="default" w:ascii="Times New Roman" w:hAnsi="Times New Roman" w:cs="Times New Roman"/>
                <w:color w:val="auto"/>
                <w:kern w:val="0"/>
                <w:sz w:val="24"/>
                <w:szCs w:val="24"/>
                <w:highlight w:val="none"/>
              </w:rPr>
              <w:t>二郎段堤防临时道路</w:t>
            </w:r>
            <w:r>
              <w:rPr>
                <w:rFonts w:hint="default" w:ascii="Times New Roman" w:hAnsi="Times New Roman" w:cs="Times New Roman"/>
                <w:color w:val="auto"/>
                <w:kern w:val="0"/>
                <w:sz w:val="24"/>
                <w:szCs w:val="24"/>
                <w:highlight w:val="none"/>
                <w:lang w:val="en-US" w:eastAsia="zh-CN"/>
              </w:rPr>
              <w:t>总长</w:t>
            </w:r>
            <w:r>
              <w:rPr>
                <w:rFonts w:hint="eastAsia" w:cs="Times New Roman"/>
                <w:color w:val="auto"/>
                <w:kern w:val="0"/>
                <w:sz w:val="24"/>
                <w:szCs w:val="24"/>
                <w:highlight w:val="none"/>
                <w:lang w:val="en-US" w:eastAsia="zh-CN"/>
              </w:rPr>
              <w:t>826</w:t>
            </w:r>
            <w:r>
              <w:rPr>
                <w:rFonts w:hint="default" w:ascii="Times New Roman" w:hAnsi="Times New Roman" w:cs="Times New Roman"/>
                <w:color w:val="auto"/>
                <w:kern w:val="0"/>
                <w:sz w:val="24"/>
                <w:szCs w:val="24"/>
                <w:highlight w:val="none"/>
                <w:lang w:val="en-US" w:eastAsia="zh-CN"/>
              </w:rPr>
              <w:t>m，</w:t>
            </w:r>
            <w:r>
              <w:rPr>
                <w:rFonts w:hint="default" w:ascii="Times New Roman" w:hAnsi="Times New Roman" w:cs="Times New Roman"/>
                <w:color w:val="auto"/>
                <w:kern w:val="0"/>
                <w:sz w:val="24"/>
                <w:szCs w:val="24"/>
                <w:highlight w:val="none"/>
              </w:rPr>
              <w:t>福兴段堤防临时道路</w:t>
            </w:r>
            <w:r>
              <w:rPr>
                <w:rFonts w:hint="default" w:ascii="Times New Roman" w:hAnsi="Times New Roman" w:cs="Times New Roman"/>
                <w:color w:val="auto"/>
                <w:kern w:val="0"/>
                <w:sz w:val="24"/>
                <w:szCs w:val="24"/>
                <w:highlight w:val="none"/>
                <w:lang w:val="en-US" w:eastAsia="zh-CN"/>
              </w:rPr>
              <w:t>总长</w:t>
            </w:r>
            <w:r>
              <w:rPr>
                <w:rFonts w:hint="eastAsia" w:cs="Times New Roman"/>
                <w:color w:val="auto"/>
                <w:kern w:val="0"/>
                <w:sz w:val="24"/>
                <w:szCs w:val="24"/>
                <w:highlight w:val="none"/>
                <w:lang w:val="en-US" w:eastAsia="zh-CN"/>
              </w:rPr>
              <w:t>756.4</w:t>
            </w:r>
            <w:r>
              <w:rPr>
                <w:rFonts w:hint="default" w:ascii="Times New Roman" w:hAnsi="Times New Roman" w:cs="Times New Roman"/>
                <w:color w:val="auto"/>
                <w:kern w:val="0"/>
                <w:sz w:val="24"/>
                <w:szCs w:val="24"/>
                <w:highlight w:val="none"/>
                <w:lang w:val="en-US" w:eastAsia="zh-CN"/>
              </w:rPr>
              <w:t>m。</w:t>
            </w:r>
            <w:r>
              <w:rPr>
                <w:rFonts w:hint="default" w:ascii="Times New Roman" w:hAnsi="Times New Roman" w:cs="Times New Roman"/>
                <w:color w:val="auto"/>
                <w:sz w:val="24"/>
                <w:szCs w:val="24"/>
                <w:highlight w:val="none"/>
              </w:rPr>
              <w:t>施工总平</w:t>
            </w:r>
            <w:r>
              <w:rPr>
                <w:rFonts w:hint="default" w:ascii="Times New Roman" w:hAnsi="Times New Roman" w:cs="Times New Roman"/>
                <w:color w:val="auto"/>
                <w:highlight w:val="none"/>
              </w:rPr>
              <w:t>面布置见附图</w:t>
            </w:r>
            <w:r>
              <w:rPr>
                <w:rFonts w:hint="eastAsia" w:cs="Times New Roman"/>
                <w:color w:val="auto"/>
                <w:highlight w:val="none"/>
                <w:lang w:val="en-US" w:eastAsia="zh-CN"/>
              </w:rPr>
              <w:t>6，项目1#施工场地平面布置图见附图5</w:t>
            </w:r>
            <w:r>
              <w:rPr>
                <w:rFonts w:hint="default" w:ascii="Times New Roman" w:hAnsi="Times New Roman" w:cs="Times New Roman"/>
                <w:color w:val="auto"/>
                <w:highlight w:val="none"/>
              </w:rPr>
              <w:t>。</w:t>
            </w:r>
          </w:p>
          <w:p w14:paraId="5F79310A">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石河镇石河镇段、双拱场段</w:t>
            </w:r>
            <w:r>
              <w:rPr>
                <w:rFonts w:hint="default" w:ascii="Times New Roman" w:hAnsi="Times New Roman" w:cs="Times New Roman"/>
                <w:color w:val="auto"/>
                <w:sz w:val="24"/>
                <w:szCs w:val="24"/>
                <w:highlight w:val="none"/>
              </w:rPr>
              <w:t>施工布置有</w:t>
            </w:r>
            <w:r>
              <w:rPr>
                <w:rFonts w:hint="eastAsia" w:cs="Times New Roman"/>
                <w:color w:val="auto"/>
                <w:sz w:val="24"/>
                <w:szCs w:val="24"/>
                <w:highlight w:val="none"/>
                <w:lang w:eastAsia="zh-CN"/>
              </w:rPr>
              <w:t>施工道路</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疏浚淤泥干化场</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eastAsia="zh-CN"/>
              </w:rPr>
              <w:t>施工道路</w:t>
            </w:r>
            <w:r>
              <w:rPr>
                <w:rFonts w:hint="eastAsia"/>
                <w:color w:val="auto"/>
                <w:sz w:val="24"/>
                <w:szCs w:val="24"/>
                <w:highlight w:val="none"/>
                <w:lang w:val="en-US" w:eastAsia="zh-CN"/>
              </w:rPr>
              <w:t>总长</w:t>
            </w:r>
            <w:r>
              <w:rPr>
                <w:rFonts w:hint="eastAsia"/>
                <w:color w:val="auto"/>
                <w:sz w:val="24"/>
                <w:szCs w:val="24"/>
                <w:highlight w:val="none"/>
              </w:rPr>
              <w:t>3.33</w:t>
            </w:r>
            <w:r>
              <w:rPr>
                <w:color w:val="auto"/>
                <w:sz w:val="24"/>
                <w:szCs w:val="24"/>
                <w:highlight w:val="none"/>
              </w:rPr>
              <w:t>km，临时道路采用泥结石路面（厚30cm），路面宽度4.0m</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其中，</w:t>
            </w:r>
            <w:r>
              <w:rPr>
                <w:rFonts w:hint="eastAsia" w:cs="Times New Roman"/>
                <w:color w:val="auto"/>
                <w:kern w:val="0"/>
                <w:sz w:val="24"/>
                <w:szCs w:val="24"/>
                <w:highlight w:val="none"/>
                <w:lang w:eastAsia="zh-CN"/>
              </w:rPr>
              <w:t>石河镇段</w:t>
            </w:r>
            <w:r>
              <w:rPr>
                <w:rFonts w:hint="default" w:ascii="Times New Roman" w:hAnsi="Times New Roman" w:cs="Times New Roman"/>
                <w:color w:val="auto"/>
                <w:kern w:val="0"/>
                <w:sz w:val="24"/>
                <w:szCs w:val="24"/>
                <w:highlight w:val="none"/>
              </w:rPr>
              <w:t>堤防临时道路</w:t>
            </w:r>
            <w:r>
              <w:rPr>
                <w:rFonts w:hint="default" w:ascii="Times New Roman" w:hAnsi="Times New Roman" w:cs="Times New Roman"/>
                <w:color w:val="auto"/>
                <w:kern w:val="0"/>
                <w:sz w:val="24"/>
                <w:szCs w:val="24"/>
                <w:highlight w:val="none"/>
                <w:lang w:val="en-US" w:eastAsia="zh-CN"/>
              </w:rPr>
              <w:t>总长</w:t>
            </w:r>
            <w:r>
              <w:rPr>
                <w:rFonts w:hint="eastAsia" w:cs="Times New Roman"/>
                <w:color w:val="auto"/>
                <w:kern w:val="0"/>
                <w:sz w:val="24"/>
                <w:szCs w:val="24"/>
                <w:highlight w:val="none"/>
                <w:lang w:val="en-US" w:eastAsia="zh-CN"/>
              </w:rPr>
              <w:t>2.05k</w:t>
            </w:r>
            <w:r>
              <w:rPr>
                <w:rFonts w:hint="default" w:ascii="Times New Roman" w:hAnsi="Times New Roman" w:cs="Times New Roman"/>
                <w:color w:val="auto"/>
                <w:kern w:val="0"/>
                <w:sz w:val="24"/>
                <w:szCs w:val="24"/>
                <w:highlight w:val="none"/>
                <w:lang w:val="en-US" w:eastAsia="zh-CN"/>
              </w:rPr>
              <w:t>m，</w:t>
            </w:r>
            <w:r>
              <w:rPr>
                <w:rFonts w:hint="eastAsia" w:cs="Times New Roman"/>
                <w:color w:val="auto"/>
                <w:kern w:val="0"/>
                <w:sz w:val="24"/>
                <w:szCs w:val="24"/>
                <w:highlight w:val="none"/>
                <w:lang w:eastAsia="zh-CN"/>
              </w:rPr>
              <w:t>双拱场段</w:t>
            </w:r>
            <w:r>
              <w:rPr>
                <w:rFonts w:hint="default" w:ascii="Times New Roman" w:hAnsi="Times New Roman" w:cs="Times New Roman"/>
                <w:color w:val="auto"/>
                <w:kern w:val="0"/>
                <w:sz w:val="24"/>
                <w:szCs w:val="24"/>
                <w:highlight w:val="none"/>
              </w:rPr>
              <w:t>堤防临时道路</w:t>
            </w:r>
            <w:r>
              <w:rPr>
                <w:rFonts w:hint="default" w:ascii="Times New Roman" w:hAnsi="Times New Roman" w:cs="Times New Roman"/>
                <w:color w:val="auto"/>
                <w:kern w:val="0"/>
                <w:sz w:val="24"/>
                <w:szCs w:val="24"/>
                <w:highlight w:val="none"/>
                <w:lang w:val="en-US" w:eastAsia="zh-CN"/>
              </w:rPr>
              <w:t>总长</w:t>
            </w:r>
            <w:r>
              <w:rPr>
                <w:rFonts w:hint="eastAsia" w:cs="Times New Roman"/>
                <w:color w:val="auto"/>
                <w:kern w:val="0"/>
                <w:sz w:val="24"/>
                <w:szCs w:val="24"/>
                <w:highlight w:val="none"/>
                <w:lang w:val="en-US" w:eastAsia="zh-CN"/>
              </w:rPr>
              <w:t>1.28k</w:t>
            </w:r>
            <w:r>
              <w:rPr>
                <w:rFonts w:hint="default" w:ascii="Times New Roman" w:hAnsi="Times New Roman" w:cs="Times New Roman"/>
                <w:color w:val="auto"/>
                <w:kern w:val="0"/>
                <w:sz w:val="24"/>
                <w:szCs w:val="24"/>
                <w:highlight w:val="none"/>
                <w:lang w:val="en-US" w:eastAsia="zh-CN"/>
              </w:rPr>
              <w:t>m。</w:t>
            </w:r>
            <w:r>
              <w:rPr>
                <w:rFonts w:hint="eastAsia" w:cs="Times New Roman"/>
                <w:color w:val="auto"/>
                <w:kern w:val="0"/>
                <w:sz w:val="24"/>
                <w:szCs w:val="24"/>
                <w:highlight w:val="none"/>
                <w:lang w:val="en-US" w:eastAsia="zh-CN"/>
              </w:rPr>
              <w:t>双拱场段设</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处疏浚淤泥干化场，位于</w:t>
            </w:r>
            <w:r>
              <w:rPr>
                <w:rFonts w:hint="eastAsia" w:cs="Times New Roman"/>
                <w:color w:val="auto"/>
                <w:sz w:val="24"/>
                <w:szCs w:val="24"/>
                <w:highlight w:val="none"/>
                <w:lang w:val="en-US" w:eastAsia="zh-CN"/>
              </w:rPr>
              <w:t>双0+200左岸</w:t>
            </w:r>
            <w:r>
              <w:rPr>
                <w:rFonts w:hint="default" w:ascii="Times New Roman" w:hAnsi="Times New Roman" w:cs="Times New Roman"/>
                <w:color w:val="auto"/>
                <w:sz w:val="24"/>
                <w:szCs w:val="24"/>
                <w:highlight w:val="none"/>
              </w:rPr>
              <w:t>。施工总平</w:t>
            </w:r>
            <w:r>
              <w:rPr>
                <w:rFonts w:hint="default" w:ascii="Times New Roman" w:hAnsi="Times New Roman" w:cs="Times New Roman"/>
                <w:color w:val="auto"/>
                <w:highlight w:val="none"/>
              </w:rPr>
              <w:t>面布置见附图</w:t>
            </w:r>
            <w:r>
              <w:rPr>
                <w:rFonts w:hint="eastAsia" w:cs="Times New Roman"/>
                <w:color w:val="auto"/>
                <w:highlight w:val="none"/>
                <w:lang w:val="en-US" w:eastAsia="zh-CN"/>
              </w:rPr>
              <w:t>6</w:t>
            </w:r>
            <w:r>
              <w:rPr>
                <w:rFonts w:hint="default" w:ascii="Times New Roman" w:hAnsi="Times New Roman" w:cs="Times New Roman"/>
                <w:color w:val="auto"/>
                <w:highlight w:val="none"/>
              </w:rPr>
              <w:t>。</w:t>
            </w:r>
          </w:p>
          <w:p w14:paraId="1369A75D">
            <w:pPr>
              <w:ind w:firstLine="480"/>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（1）施工导流</w:t>
            </w:r>
          </w:p>
          <w:p w14:paraId="08ED9310">
            <w:pPr>
              <w:jc w:val="both"/>
              <w:rPr>
                <w:rFonts w:hint="eastAsia"/>
                <w:color w:val="auto"/>
                <w:szCs w:val="24"/>
                <w:highlight w:val="none"/>
                <w:lang w:eastAsia="zh-CN"/>
              </w:rPr>
            </w:pPr>
            <w:r>
              <w:rPr>
                <w:color w:val="auto"/>
                <w:szCs w:val="24"/>
                <w:highlight w:val="none"/>
              </w:rPr>
              <w:t>施工期临时导流建筑物为5级，相应导流设计洪水标准采用5年一遇的洪水标准</w:t>
            </w:r>
            <w:r>
              <w:rPr>
                <w:rFonts w:hint="default" w:ascii="Times New Roman" w:hAnsi="Times New Roman" w:cs="Times New Roman"/>
                <w:color w:val="auto"/>
                <w:highlight w:val="none"/>
              </w:rPr>
              <w:t>。</w:t>
            </w:r>
            <w:r>
              <w:rPr>
                <w:color w:val="auto"/>
                <w:szCs w:val="24"/>
                <w:highlight w:val="none"/>
              </w:rPr>
              <w:t>导流时段为</w:t>
            </w:r>
            <w:r>
              <w:rPr>
                <w:rFonts w:hint="eastAsia"/>
                <w:color w:val="auto"/>
                <w:szCs w:val="24"/>
                <w:highlight w:val="none"/>
              </w:rPr>
              <w:t>12</w:t>
            </w:r>
            <w:r>
              <w:rPr>
                <w:color w:val="auto"/>
                <w:szCs w:val="24"/>
                <w:highlight w:val="none"/>
              </w:rPr>
              <w:t>月～</w:t>
            </w:r>
            <w:r>
              <w:rPr>
                <w:rFonts w:hint="eastAsia"/>
                <w:color w:val="auto"/>
                <w:szCs w:val="24"/>
                <w:highlight w:val="none"/>
              </w:rPr>
              <w:t>次年3月</w:t>
            </w:r>
            <w:r>
              <w:rPr>
                <w:rFonts w:hint="eastAsia"/>
                <w:color w:val="auto"/>
                <w:szCs w:val="24"/>
                <w:highlight w:val="none"/>
                <w:lang w:eastAsia="zh-CN"/>
              </w:rPr>
              <w:t>。</w:t>
            </w:r>
          </w:p>
          <w:p w14:paraId="4733F6E1">
            <w:pPr>
              <w:jc w:val="both"/>
              <w:rPr>
                <w:rFonts w:hint="eastAsia" w:cs="Times New Roman"/>
                <w:b w:val="0"/>
                <w:bCs w:val="0"/>
                <w:snapToGrid w:val="0"/>
                <w:color w:val="auto"/>
                <w:sz w:val="24"/>
                <w:szCs w:val="22"/>
                <w:highlight w:val="none"/>
                <w:lang w:val="en-US" w:eastAsia="zh-CN" w:bidi="ar-SA"/>
              </w:rPr>
            </w:pPr>
            <w:r>
              <w:rPr>
                <w:rFonts w:hint="eastAsia" w:cs="Times New Roman"/>
                <w:b w:val="0"/>
                <w:bCs w:val="0"/>
                <w:snapToGrid w:val="0"/>
                <w:color w:val="auto"/>
                <w:sz w:val="24"/>
                <w:szCs w:val="22"/>
                <w:highlight w:val="none"/>
                <w:lang w:val="en-US" w:eastAsia="zh-CN" w:bidi="ar-SA"/>
              </w:rPr>
              <w:fldChar w:fldCharType="begin"/>
            </w:r>
            <w:r>
              <w:rPr>
                <w:rFonts w:hint="eastAsia" w:cs="Times New Roman"/>
                <w:b w:val="0"/>
                <w:bCs w:val="0"/>
                <w:snapToGrid w:val="0"/>
                <w:color w:val="auto"/>
                <w:sz w:val="24"/>
                <w:szCs w:val="22"/>
                <w:highlight w:val="none"/>
                <w:lang w:val="en-US" w:eastAsia="zh-CN" w:bidi="ar-SA"/>
              </w:rPr>
              <w:instrText xml:space="preserve"> = 1 \* GB3 \* MERGEFORMAT </w:instrText>
            </w:r>
            <w:r>
              <w:rPr>
                <w:rFonts w:hint="eastAsia" w:cs="Times New Roman"/>
                <w:b w:val="0"/>
                <w:bCs w:val="0"/>
                <w:snapToGrid w:val="0"/>
                <w:color w:val="auto"/>
                <w:sz w:val="24"/>
                <w:szCs w:val="22"/>
                <w:highlight w:val="none"/>
                <w:lang w:val="en-US" w:eastAsia="zh-CN" w:bidi="ar-SA"/>
              </w:rPr>
              <w:fldChar w:fldCharType="separate"/>
            </w:r>
            <w:r>
              <w:rPr>
                <w:rFonts w:hint="eastAsia" w:cs="Times New Roman"/>
                <w:b w:val="0"/>
                <w:bCs w:val="0"/>
                <w:snapToGrid w:val="0"/>
                <w:color w:val="auto"/>
                <w:sz w:val="24"/>
                <w:szCs w:val="22"/>
                <w:highlight w:val="none"/>
                <w:lang w:val="en-US" w:eastAsia="zh-CN" w:bidi="ar-SA"/>
              </w:rPr>
              <w:t>①</w:t>
            </w:r>
            <w:r>
              <w:rPr>
                <w:rFonts w:hint="eastAsia" w:cs="Times New Roman"/>
                <w:b w:val="0"/>
                <w:bCs w:val="0"/>
                <w:snapToGrid w:val="0"/>
                <w:color w:val="auto"/>
                <w:sz w:val="24"/>
                <w:szCs w:val="22"/>
                <w:highlight w:val="none"/>
                <w:lang w:val="en-US" w:eastAsia="zh-CN" w:bidi="ar-SA"/>
              </w:rPr>
              <w:fldChar w:fldCharType="end"/>
            </w:r>
            <w:r>
              <w:rPr>
                <w:rFonts w:hint="eastAsia" w:cs="Times New Roman"/>
                <w:b w:val="0"/>
                <w:bCs w:val="0"/>
                <w:snapToGrid w:val="0"/>
                <w:color w:val="auto"/>
                <w:sz w:val="24"/>
                <w:szCs w:val="22"/>
                <w:highlight w:val="none"/>
                <w:lang w:val="en-US" w:eastAsia="zh-CN" w:bidi="ar-SA"/>
              </w:rPr>
              <w:t>石河镇二郎、福兴段</w:t>
            </w:r>
          </w:p>
          <w:p w14:paraId="1C6D4916">
            <w:pPr>
              <w:jc w:val="both"/>
              <w:rPr>
                <w:rFonts w:hint="eastAsia"/>
                <w:color w:val="auto"/>
                <w:highlight w:val="none"/>
              </w:rPr>
            </w:pPr>
            <w:r>
              <w:rPr>
                <w:rFonts w:hint="eastAsia"/>
                <w:color w:val="auto"/>
                <w:szCs w:val="24"/>
                <w:highlight w:val="none"/>
              </w:rPr>
              <w:t>二郎段</w:t>
            </w:r>
            <w:r>
              <w:rPr>
                <w:color w:val="auto"/>
                <w:szCs w:val="24"/>
                <w:highlight w:val="none"/>
              </w:rPr>
              <w:t>导流流量为</w:t>
            </w:r>
            <w:r>
              <w:rPr>
                <w:rFonts w:hint="eastAsia"/>
                <w:color w:val="auto"/>
                <w:szCs w:val="24"/>
                <w:highlight w:val="none"/>
              </w:rPr>
              <w:t>13.11</w:t>
            </w:r>
            <w:r>
              <w:rPr>
                <w:color w:val="auto"/>
                <w:szCs w:val="24"/>
                <w:highlight w:val="none"/>
              </w:rPr>
              <w:t>m</w:t>
            </w:r>
            <w:r>
              <w:rPr>
                <w:color w:val="auto"/>
                <w:szCs w:val="24"/>
                <w:highlight w:val="none"/>
                <w:vertAlign w:val="superscript"/>
              </w:rPr>
              <w:t>3</w:t>
            </w:r>
            <w:r>
              <w:rPr>
                <w:color w:val="auto"/>
                <w:szCs w:val="24"/>
                <w:highlight w:val="none"/>
              </w:rPr>
              <w:t>/s</w:t>
            </w:r>
            <w:r>
              <w:rPr>
                <w:rFonts w:hint="eastAsia"/>
                <w:color w:val="auto"/>
                <w:szCs w:val="24"/>
                <w:highlight w:val="none"/>
                <w:lang w:eastAsia="zh-CN"/>
              </w:rPr>
              <w:t>，</w:t>
            </w:r>
            <w:r>
              <w:rPr>
                <w:rFonts w:hint="eastAsia"/>
                <w:color w:val="auto"/>
                <w:szCs w:val="24"/>
                <w:highlight w:val="none"/>
              </w:rPr>
              <w:t>福兴段导流流量为0.9</w:t>
            </w:r>
            <w:r>
              <w:rPr>
                <w:color w:val="auto"/>
                <w:szCs w:val="24"/>
                <w:highlight w:val="none"/>
              </w:rPr>
              <w:t>m</w:t>
            </w:r>
            <w:r>
              <w:rPr>
                <w:color w:val="auto"/>
                <w:szCs w:val="24"/>
                <w:highlight w:val="none"/>
                <w:vertAlign w:val="superscript"/>
              </w:rPr>
              <w:t>3</w:t>
            </w:r>
            <w:r>
              <w:rPr>
                <w:color w:val="auto"/>
                <w:szCs w:val="24"/>
                <w:highlight w:val="none"/>
              </w:rPr>
              <w:t>/s</w:t>
            </w:r>
            <w:r>
              <w:rPr>
                <w:rFonts w:hint="eastAsia"/>
                <w:color w:val="auto"/>
                <w:szCs w:val="24"/>
                <w:highlight w:val="none"/>
                <w:lang w:eastAsia="zh-CN"/>
              </w:rPr>
              <w:t>。</w:t>
            </w:r>
            <w:r>
              <w:rPr>
                <w:color w:val="auto"/>
                <w:highlight w:val="none"/>
              </w:rPr>
              <w:t>导流方式采用一期分段</w:t>
            </w:r>
            <w:r>
              <w:rPr>
                <w:rFonts w:hint="eastAsia"/>
                <w:color w:val="auto"/>
                <w:highlight w:val="none"/>
              </w:rPr>
              <w:t>土石</w:t>
            </w:r>
            <w:r>
              <w:rPr>
                <w:color w:val="auto"/>
                <w:highlight w:val="none"/>
              </w:rPr>
              <w:t>围堰法导流，采用原河床过水。</w:t>
            </w:r>
            <w:r>
              <w:rPr>
                <w:rFonts w:hint="eastAsia"/>
                <w:color w:val="auto"/>
                <w:highlight w:val="none"/>
              </w:rPr>
              <w:t>二郎段导流时下游柳城滩拦河坝拆除缺口（4.0m×2.5m×2.0m、长×厚×高），待堤防结构施工完成后进行恢复。福兴段导流时将河堰口拦河坝拆除，待堤防结构施工完成后二郎段拦河坝进行恢复。</w:t>
            </w:r>
          </w:p>
          <w:p w14:paraId="6286F3C1">
            <w:pPr>
              <w:ind w:firstLine="480"/>
              <w:rPr>
                <w:color w:val="auto"/>
                <w:highlight w:val="none"/>
              </w:rPr>
            </w:pPr>
            <w:r>
              <w:rPr>
                <w:rFonts w:hint="eastAsia"/>
                <w:color w:val="auto"/>
                <w:highlight w:val="none"/>
              </w:rPr>
              <w:t>围堰坡角线离堤防基础开挖线1m以上，堤防左右两岸同时设置围堰。围堰布置后以最小束窄断面作为</w:t>
            </w:r>
            <w:r>
              <w:rPr>
                <w:color w:val="auto"/>
                <w:highlight w:val="none"/>
              </w:rPr>
              <w:t>围堰</w:t>
            </w:r>
            <w:r>
              <w:rPr>
                <w:rFonts w:hint="eastAsia"/>
                <w:color w:val="auto"/>
                <w:highlight w:val="none"/>
              </w:rPr>
              <w:t>水位的控制断面。二郎段围堰布置后最小断面河底宽度为22m，边坡为1:1.5，糙率取0.035，河道纵坡取综合坡降1.29‰，过流量为导流时段内的最大流量13.11m³/s，围堰高度1.3m；福兴段围堰布置后最小断面河底宽度为2.8m，边坡为1:1.5，糙率取0.035，河道纵坡取综合坡降5.45‰，过流量为导流时段内的最大流量0.9m³/s，围堰高度为0.9m。</w:t>
            </w:r>
          </w:p>
          <w:p w14:paraId="1BA8003E">
            <w:pPr>
              <w:ind w:firstLine="480"/>
              <w:rPr>
                <w:rFonts w:hint="eastAsia"/>
                <w:color w:val="auto"/>
                <w:highlight w:val="none"/>
              </w:rPr>
            </w:pPr>
            <w:r>
              <w:rPr>
                <w:rFonts w:hint="eastAsia"/>
                <w:color w:val="auto"/>
                <w:highlight w:val="none"/>
              </w:rPr>
              <w:t>二郎段围堰</w:t>
            </w:r>
            <w:r>
              <w:rPr>
                <w:color w:val="auto"/>
                <w:highlight w:val="none"/>
              </w:rPr>
              <w:t>利用堤基</w:t>
            </w:r>
            <w:r>
              <w:rPr>
                <w:rFonts w:hint="eastAsia"/>
                <w:color w:val="auto"/>
                <w:highlight w:val="none"/>
              </w:rPr>
              <w:t>开挖料</w:t>
            </w:r>
            <w:r>
              <w:rPr>
                <w:color w:val="auto"/>
                <w:highlight w:val="none"/>
              </w:rPr>
              <w:t>填筑，在围堰的迎水面放置土工膜并用</w:t>
            </w:r>
            <w:r>
              <w:rPr>
                <w:color w:val="auto"/>
                <w:szCs w:val="24"/>
                <w:highlight w:val="none"/>
              </w:rPr>
              <w:t>编织</w:t>
            </w:r>
            <w:r>
              <w:rPr>
                <w:rFonts w:hint="eastAsia"/>
                <w:color w:val="auto"/>
                <w:szCs w:val="24"/>
                <w:highlight w:val="none"/>
              </w:rPr>
              <w:t>袋装渣料</w:t>
            </w:r>
            <w:r>
              <w:rPr>
                <w:color w:val="auto"/>
                <w:highlight w:val="none"/>
              </w:rPr>
              <w:t>压实</w:t>
            </w:r>
            <w:r>
              <w:rPr>
                <w:rFonts w:hint="eastAsia"/>
                <w:color w:val="auto"/>
                <w:highlight w:val="none"/>
              </w:rPr>
              <w:t>，断面</w:t>
            </w:r>
            <w:r>
              <w:rPr>
                <w:color w:val="auto"/>
                <w:highlight w:val="none"/>
              </w:rPr>
              <w:t>顶宽</w:t>
            </w:r>
            <w:r>
              <w:rPr>
                <w:rFonts w:hint="eastAsia"/>
                <w:color w:val="auto"/>
                <w:highlight w:val="none"/>
              </w:rPr>
              <w:t>0.7</w:t>
            </w:r>
            <w:r>
              <w:rPr>
                <w:color w:val="auto"/>
                <w:highlight w:val="none"/>
              </w:rPr>
              <w:t>m，</w:t>
            </w:r>
            <w:r>
              <w:rPr>
                <w:rFonts w:hint="eastAsia"/>
                <w:color w:val="auto"/>
                <w:highlight w:val="none"/>
              </w:rPr>
              <w:t>高1.3m，</w:t>
            </w:r>
            <w:r>
              <w:rPr>
                <w:color w:val="auto"/>
                <w:highlight w:val="none"/>
              </w:rPr>
              <w:t>迎水面及背水面坡比为1:1.5，</w:t>
            </w:r>
            <w:r>
              <w:rPr>
                <w:rFonts w:hint="eastAsia"/>
                <w:color w:val="auto"/>
                <w:highlight w:val="none"/>
              </w:rPr>
              <w:t>二郎段堤防工程</w:t>
            </w:r>
            <w:r>
              <w:rPr>
                <w:rFonts w:hint="eastAsia"/>
                <w:color w:val="auto"/>
                <w:highlight w:val="none"/>
                <w:lang w:eastAsia="zh-CN"/>
              </w:rPr>
              <w:t>围堰总长2866.17m，其中左岸围堰长931.79m</w:t>
            </w:r>
            <w:r>
              <w:rPr>
                <w:rFonts w:hint="eastAsia"/>
                <w:color w:val="auto"/>
                <w:highlight w:val="none"/>
              </w:rPr>
              <w:t>，右岸围堰长1934.38m；福兴段围堰</w:t>
            </w:r>
            <w:r>
              <w:rPr>
                <w:color w:val="auto"/>
                <w:highlight w:val="none"/>
              </w:rPr>
              <w:t>利用堤基开挖料</w:t>
            </w:r>
            <w:r>
              <w:rPr>
                <w:rFonts w:hint="eastAsia"/>
                <w:color w:val="auto"/>
                <w:highlight w:val="none"/>
              </w:rPr>
              <w:t>装编织袋</w:t>
            </w:r>
            <w:r>
              <w:rPr>
                <w:color w:val="auto"/>
                <w:highlight w:val="none"/>
              </w:rPr>
              <w:t>填筑，</w:t>
            </w:r>
            <w:r>
              <w:rPr>
                <w:rFonts w:hint="eastAsia"/>
                <w:color w:val="auto"/>
                <w:highlight w:val="none"/>
              </w:rPr>
              <w:t>内设</w:t>
            </w:r>
            <w:r>
              <w:rPr>
                <w:color w:val="auto"/>
                <w:highlight w:val="none"/>
              </w:rPr>
              <w:t>土工膜</w:t>
            </w:r>
            <w:r>
              <w:rPr>
                <w:rFonts w:hint="eastAsia"/>
                <w:color w:val="auto"/>
                <w:highlight w:val="none"/>
              </w:rPr>
              <w:t>防渗，断面顶宽1.0m，高0.9m，</w:t>
            </w:r>
            <w:r>
              <w:rPr>
                <w:color w:val="auto"/>
                <w:highlight w:val="none"/>
              </w:rPr>
              <w:t>迎水面及背水面</w:t>
            </w:r>
            <w:r>
              <w:rPr>
                <w:rFonts w:hint="eastAsia"/>
                <w:color w:val="auto"/>
                <w:highlight w:val="none"/>
              </w:rPr>
              <w:t>垂直，福兴段堤防工程围堰总长1413.35m，其中左岸围堰长117.46m，右岸围堰长1295.89m。</w:t>
            </w:r>
          </w:p>
          <w:p w14:paraId="7B489C47">
            <w:pPr>
              <w:ind w:firstLine="480"/>
              <w:rPr>
                <w:rFonts w:hint="eastAsia"/>
                <w:color w:val="auto"/>
                <w:highlight w:val="none"/>
              </w:rPr>
            </w:pPr>
            <w:r>
              <w:rPr>
                <w:rFonts w:hint="eastAsia"/>
                <w:color w:val="auto"/>
                <w:highlight w:val="none"/>
              </w:rPr>
              <w:fldChar w:fldCharType="begin"/>
            </w:r>
            <w:r>
              <w:rPr>
                <w:rFonts w:hint="eastAsia"/>
                <w:color w:val="auto"/>
                <w:highlight w:val="none"/>
              </w:rPr>
              <w:instrText xml:space="preserve"> = 2 \* GB3 \* MERGEFORMAT </w:instrText>
            </w:r>
            <w:r>
              <w:rPr>
                <w:rFonts w:hint="eastAsia"/>
                <w:color w:val="auto"/>
                <w:highlight w:val="none"/>
              </w:rPr>
              <w:fldChar w:fldCharType="separate"/>
            </w:r>
            <w:r>
              <w:rPr>
                <w:color w:val="auto"/>
                <w:highlight w:val="none"/>
              </w:rPr>
              <w:t>②</w:t>
            </w:r>
            <w:r>
              <w:rPr>
                <w:rFonts w:hint="eastAsia"/>
                <w:color w:val="auto"/>
                <w:highlight w:val="none"/>
              </w:rPr>
              <w:fldChar w:fldCharType="end"/>
            </w:r>
            <w:r>
              <w:rPr>
                <w:rFonts w:hint="eastAsia" w:cs="Times New Roman"/>
                <w:color w:val="auto"/>
                <w:highlight w:val="none"/>
                <w:lang w:val="en-US" w:eastAsia="zh-CN"/>
              </w:rPr>
              <w:t>石河镇石河镇段、双拱场段</w:t>
            </w:r>
          </w:p>
          <w:p w14:paraId="5EDE9BF0">
            <w:pPr>
              <w:ind w:firstLine="480"/>
              <w:rPr>
                <w:color w:val="auto"/>
                <w:highlight w:val="none"/>
              </w:rPr>
            </w:pPr>
            <w:r>
              <w:rPr>
                <w:rFonts w:hint="eastAsia"/>
                <w:color w:val="auto"/>
                <w:szCs w:val="24"/>
                <w:highlight w:val="none"/>
                <w:lang w:eastAsia="zh-CN"/>
              </w:rPr>
              <w:t>石河镇段干流导流流量为2.1m</w:t>
            </w:r>
            <w:r>
              <w:rPr>
                <w:rFonts w:hint="eastAsia"/>
                <w:color w:val="auto"/>
                <w:szCs w:val="24"/>
                <w:highlight w:val="none"/>
                <w:vertAlign w:val="superscript"/>
                <w:lang w:eastAsia="zh-CN"/>
              </w:rPr>
              <w:t>3</w:t>
            </w:r>
            <w:r>
              <w:rPr>
                <w:rFonts w:hint="eastAsia"/>
                <w:color w:val="auto"/>
                <w:szCs w:val="24"/>
                <w:highlight w:val="none"/>
                <w:lang w:eastAsia="zh-CN"/>
              </w:rPr>
              <w:t>/s，双拱场段干流导流流量为8.9m</w:t>
            </w:r>
            <w:r>
              <w:rPr>
                <w:rFonts w:hint="eastAsia"/>
                <w:color w:val="auto"/>
                <w:szCs w:val="24"/>
                <w:highlight w:val="none"/>
                <w:vertAlign w:val="superscript"/>
                <w:lang w:eastAsia="zh-CN"/>
              </w:rPr>
              <w:t>3</w:t>
            </w:r>
            <w:r>
              <w:rPr>
                <w:rFonts w:hint="eastAsia"/>
                <w:color w:val="auto"/>
                <w:szCs w:val="24"/>
                <w:highlight w:val="none"/>
                <w:lang w:eastAsia="zh-CN"/>
              </w:rPr>
              <w:t>/s。</w:t>
            </w:r>
            <w:r>
              <w:rPr>
                <w:rFonts w:hint="default" w:ascii="Times New Roman" w:hAnsi="Times New Roman" w:cs="Times New Roman"/>
                <w:color w:val="auto"/>
                <w:szCs w:val="24"/>
                <w:highlight w:val="none"/>
              </w:rPr>
              <w:t>根据</w:t>
            </w:r>
            <w:r>
              <w:rPr>
                <w:rFonts w:hint="eastAsia" w:cs="Times New Roman"/>
                <w:color w:val="auto"/>
                <w:szCs w:val="24"/>
                <w:highlight w:val="none"/>
                <w:lang w:eastAsia="zh-CN"/>
              </w:rPr>
              <w:t>堤防工程</w:t>
            </w:r>
            <w:r>
              <w:rPr>
                <w:rFonts w:hint="default" w:ascii="Times New Roman" w:hAnsi="Times New Roman" w:cs="Times New Roman"/>
                <w:color w:val="auto"/>
                <w:szCs w:val="24"/>
                <w:highlight w:val="none"/>
              </w:rPr>
              <w:t>布置及总进度安排，</w:t>
            </w:r>
            <w:r>
              <w:rPr>
                <w:rFonts w:hint="eastAsia"/>
                <w:color w:val="auto"/>
                <w:highlight w:val="none"/>
              </w:rPr>
              <w:t>考虑两处河段工程下部均设有C20砼挡墙，其一期施工控制高程高于1</w:t>
            </w:r>
            <w:r>
              <w:rPr>
                <w:color w:val="auto"/>
                <w:highlight w:val="none"/>
              </w:rPr>
              <w:t>2</w:t>
            </w:r>
            <w:r>
              <w:rPr>
                <w:rFonts w:hint="eastAsia"/>
                <w:color w:val="auto"/>
                <w:highlight w:val="none"/>
              </w:rPr>
              <w:t>月～次年3月在5年一遇枯期洪水位相对高程；一期施工时，两处河段施工导流均采用纵向围堰导流；待河道两侧施工完成砼挡墙后，对纵向围堰进行拆除，利用河道进行导流即可；二期施工主要为上部护坡及堤顶等项目，导流时段为4-5月，利用下部河道已成型断面导流能满足施工期要求。</w:t>
            </w:r>
          </w:p>
          <w:p w14:paraId="04494FC5">
            <w:pPr>
              <w:jc w:val="both"/>
              <w:rPr>
                <w:rFonts w:hint="eastAsia"/>
                <w:color w:val="auto"/>
                <w:highlight w:val="none"/>
              </w:rPr>
            </w:pPr>
            <w:r>
              <w:rPr>
                <w:rFonts w:hint="eastAsia"/>
                <w:color w:val="auto"/>
                <w:highlight w:val="none"/>
              </w:rPr>
              <w:t>石河镇段导流时石梁子拦河坝拆除缺口（3.0m×2.5m×2.2m、长×厚×高），待下部结构施工完成后进行恢复。双拱场段导流时江水大桥石河堰拆除缺口（4.0m×2.0m×2.0m、长×厚×高，坝后岩石开挖15.0m×5.0m×1.5m、长×厚×高），控制底高程300.00m，待下部结构施工完成后进行恢复。</w:t>
            </w:r>
          </w:p>
          <w:p w14:paraId="163D7E43">
            <w:pPr>
              <w:ind w:firstLine="480"/>
              <w:rPr>
                <w:rFonts w:hint="eastAsia"/>
                <w:color w:val="auto"/>
                <w:highlight w:val="none"/>
              </w:rPr>
            </w:pPr>
            <w:r>
              <w:rPr>
                <w:rFonts w:hint="eastAsia"/>
                <w:color w:val="auto"/>
                <w:highlight w:val="none"/>
              </w:rPr>
              <w:t>石河镇段采用纵向围堰导流，导流流量为2.1m</w:t>
            </w:r>
            <w:r>
              <w:rPr>
                <w:rFonts w:hint="eastAsia"/>
                <w:color w:val="auto"/>
                <w:highlight w:val="none"/>
                <w:vertAlign w:val="superscript"/>
              </w:rPr>
              <w:t>3</w:t>
            </w:r>
            <w:r>
              <w:rPr>
                <w:rFonts w:hint="eastAsia"/>
                <w:color w:val="auto"/>
                <w:highlight w:val="none"/>
              </w:rPr>
              <w:t>/s，</w:t>
            </w:r>
            <w:r>
              <w:rPr>
                <w:rFonts w:hint="eastAsia"/>
                <w:color w:val="auto"/>
                <w:highlight w:val="none"/>
                <w:lang w:val="en-US" w:eastAsia="zh-CN"/>
              </w:rPr>
              <w:t>顶</w:t>
            </w:r>
            <w:r>
              <w:rPr>
                <w:color w:val="auto"/>
                <w:highlight w:val="none"/>
              </w:rPr>
              <w:t>宽</w:t>
            </w:r>
            <w:r>
              <w:rPr>
                <w:rFonts w:hint="eastAsia"/>
                <w:color w:val="auto"/>
                <w:highlight w:val="none"/>
                <w:lang w:val="en-US" w:eastAsia="zh-CN"/>
              </w:rPr>
              <w:t>1.5</w:t>
            </w:r>
            <w:r>
              <w:rPr>
                <w:color w:val="auto"/>
                <w:highlight w:val="none"/>
              </w:rPr>
              <w:t>m</w:t>
            </w:r>
            <w:r>
              <w:rPr>
                <w:rFonts w:hint="eastAsia"/>
                <w:color w:val="auto"/>
                <w:highlight w:val="none"/>
                <w:lang w:eastAsia="zh-CN"/>
              </w:rPr>
              <w:t>，</w:t>
            </w:r>
            <w:r>
              <w:rPr>
                <w:rFonts w:hint="eastAsia"/>
                <w:color w:val="auto"/>
                <w:highlight w:val="none"/>
              </w:rPr>
              <w:t>围堰高度2.0m</w:t>
            </w:r>
            <w:r>
              <w:rPr>
                <w:rFonts w:hint="eastAsia"/>
                <w:color w:val="auto"/>
                <w:highlight w:val="none"/>
                <w:lang w:eastAsia="zh-CN"/>
              </w:rPr>
              <w:t>，</w:t>
            </w:r>
            <w:r>
              <w:rPr>
                <w:rFonts w:hint="eastAsia"/>
                <w:color w:val="auto"/>
                <w:highlight w:val="none"/>
              </w:rPr>
              <w:t>围堰长</w:t>
            </w:r>
            <w:r>
              <w:rPr>
                <w:rFonts w:hint="eastAsia"/>
                <w:color w:val="auto"/>
                <w:highlight w:val="none"/>
                <w:lang w:val="en-US" w:eastAsia="zh-CN"/>
              </w:rPr>
              <w:t>度1806</w:t>
            </w:r>
            <w:r>
              <w:rPr>
                <w:rFonts w:hint="eastAsia"/>
                <w:color w:val="auto"/>
                <w:highlight w:val="none"/>
              </w:rPr>
              <w:t>m；双拱场段采用纵向围堰导流，导流流量为8.9m</w:t>
            </w:r>
            <w:r>
              <w:rPr>
                <w:rFonts w:hint="eastAsia"/>
                <w:color w:val="auto"/>
                <w:highlight w:val="none"/>
                <w:vertAlign w:val="superscript"/>
              </w:rPr>
              <w:t>3</w:t>
            </w:r>
            <w:r>
              <w:rPr>
                <w:rFonts w:hint="eastAsia"/>
                <w:color w:val="auto"/>
                <w:highlight w:val="none"/>
              </w:rPr>
              <w:t>/s，</w:t>
            </w:r>
            <w:r>
              <w:rPr>
                <w:rFonts w:hint="eastAsia"/>
                <w:color w:val="auto"/>
                <w:highlight w:val="none"/>
                <w:lang w:val="en-US" w:eastAsia="zh-CN"/>
              </w:rPr>
              <w:t>顶</w:t>
            </w:r>
            <w:r>
              <w:rPr>
                <w:color w:val="auto"/>
                <w:highlight w:val="none"/>
              </w:rPr>
              <w:t>宽</w:t>
            </w:r>
            <w:r>
              <w:rPr>
                <w:rFonts w:hint="eastAsia"/>
                <w:color w:val="auto"/>
                <w:highlight w:val="none"/>
                <w:lang w:val="en-US" w:eastAsia="zh-CN"/>
              </w:rPr>
              <w:t>2.4</w:t>
            </w:r>
            <w:r>
              <w:rPr>
                <w:color w:val="auto"/>
                <w:highlight w:val="none"/>
              </w:rPr>
              <w:t>m</w:t>
            </w:r>
            <w:r>
              <w:rPr>
                <w:rFonts w:hint="eastAsia"/>
                <w:color w:val="auto"/>
                <w:highlight w:val="none"/>
                <w:lang w:eastAsia="zh-CN"/>
              </w:rPr>
              <w:t>，</w:t>
            </w:r>
            <w:r>
              <w:rPr>
                <w:rFonts w:hint="eastAsia"/>
                <w:color w:val="auto"/>
                <w:highlight w:val="none"/>
              </w:rPr>
              <w:t>围堰高度2.4m</w:t>
            </w:r>
            <w:r>
              <w:rPr>
                <w:rFonts w:hint="eastAsia"/>
                <w:color w:val="auto"/>
                <w:highlight w:val="none"/>
                <w:lang w:eastAsia="zh-CN"/>
              </w:rPr>
              <w:t>，</w:t>
            </w:r>
            <w:r>
              <w:rPr>
                <w:rFonts w:hint="eastAsia"/>
                <w:color w:val="auto"/>
                <w:highlight w:val="none"/>
              </w:rPr>
              <w:t>围堰</w:t>
            </w:r>
            <w:r>
              <w:rPr>
                <w:rFonts w:hint="eastAsia"/>
                <w:color w:val="auto"/>
                <w:highlight w:val="none"/>
                <w:lang w:val="en-US" w:eastAsia="zh-CN"/>
              </w:rPr>
              <w:t>总长992</w:t>
            </w:r>
            <w:r>
              <w:rPr>
                <w:rFonts w:hint="eastAsia"/>
                <w:color w:val="auto"/>
                <w:highlight w:val="none"/>
              </w:rPr>
              <w:t>m。</w:t>
            </w:r>
          </w:p>
          <w:p w14:paraId="6D90098B">
            <w:pPr>
              <w:ind w:firstLine="480"/>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（2）施工交通</w:t>
            </w:r>
          </w:p>
          <w:p w14:paraId="12596D63">
            <w:pPr>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①场外交通</w:t>
            </w:r>
          </w:p>
          <w:p w14:paraId="0FA1A556">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工程场外交通较方便，工程</w:t>
            </w:r>
            <w:r>
              <w:rPr>
                <w:rFonts w:hint="default" w:ascii="Times New Roman" w:hAnsi="Times New Roman" w:cs="Times New Roman"/>
                <w:color w:val="auto"/>
                <w:szCs w:val="24"/>
                <w:highlight w:val="none"/>
              </w:rPr>
              <w:t>区内有乡村公路通过</w:t>
            </w:r>
            <w:r>
              <w:rPr>
                <w:rFonts w:hint="default" w:ascii="Times New Roman" w:hAnsi="Times New Roman" w:cs="Times New Roman"/>
                <w:color w:val="auto"/>
                <w:highlight w:val="none"/>
              </w:rPr>
              <w:t>。</w:t>
            </w:r>
          </w:p>
          <w:p w14:paraId="35D6EF32">
            <w:pPr>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②场内交通</w:t>
            </w:r>
          </w:p>
          <w:p w14:paraId="1D00EA39">
            <w:pPr>
              <w:ind w:firstLine="480"/>
              <w:jc w:val="left"/>
              <w:rPr>
                <w:rFonts w:hint="default" w:ascii="Times New Roman" w:hAnsi="Times New Roman" w:cs="Times New Roman"/>
                <w:color w:val="auto"/>
                <w:sz w:val="24"/>
                <w:szCs w:val="24"/>
                <w:highlight w:val="none"/>
              </w:rPr>
            </w:pPr>
            <w:r>
              <w:rPr>
                <w:color w:val="auto"/>
                <w:highlight w:val="none"/>
              </w:rPr>
              <w:t>场内交通有乡村公路通至工程区，且砼</w:t>
            </w:r>
            <w:r>
              <w:rPr>
                <w:rFonts w:hint="eastAsia"/>
                <w:color w:val="auto"/>
                <w:highlight w:val="none"/>
                <w:lang w:val="en-US" w:eastAsia="zh-CN"/>
              </w:rPr>
              <w:t>拌和</w:t>
            </w:r>
            <w:r>
              <w:rPr>
                <w:color w:val="auto"/>
                <w:highlight w:val="none"/>
              </w:rPr>
              <w:t>机、施工机械等一般都布置在靠近公路边的河滩地</w:t>
            </w:r>
            <w:r>
              <w:rPr>
                <w:rFonts w:hint="default" w:ascii="Times New Roman" w:hAnsi="Times New Roman" w:cs="Times New Roman"/>
                <w:color w:val="auto"/>
                <w:szCs w:val="24"/>
                <w:highlight w:val="none"/>
              </w:rPr>
              <w:t>，不足部分需新建临时施工道路，使工程各施工工厂、施工仓库等联系起来，以满足场内施工要</w:t>
            </w:r>
            <w:r>
              <w:rPr>
                <w:rFonts w:hint="default" w:ascii="Times New Roman" w:hAnsi="Times New Roman" w:cs="Times New Roman"/>
                <w:color w:val="auto"/>
                <w:sz w:val="24"/>
                <w:szCs w:val="24"/>
                <w:highlight w:val="none"/>
              </w:rPr>
              <w:t>求。</w:t>
            </w:r>
          </w:p>
          <w:p w14:paraId="4BE536F9">
            <w:pPr>
              <w:ind w:firstLine="480"/>
              <w:jc w:val="left"/>
              <w:rPr>
                <w:rFonts w:hint="default" w:ascii="Times New Roman" w:hAnsi="Times New Roman" w:cs="Times New Roman"/>
                <w:color w:val="auto"/>
                <w:sz w:val="24"/>
                <w:szCs w:val="24"/>
                <w:highlight w:val="none"/>
              </w:rPr>
            </w:pPr>
            <w:r>
              <w:rPr>
                <w:rFonts w:hint="eastAsia" w:cs="Times New Roman"/>
                <w:b w:val="0"/>
                <w:bCs w:val="0"/>
                <w:snapToGrid w:val="0"/>
                <w:color w:val="auto"/>
                <w:sz w:val="24"/>
                <w:szCs w:val="22"/>
                <w:highlight w:val="none"/>
                <w:lang w:val="en-US" w:eastAsia="zh-CN" w:bidi="ar-SA"/>
              </w:rPr>
              <w:t>石河镇二郎、福兴段</w:t>
            </w:r>
            <w:r>
              <w:rPr>
                <w:rFonts w:hint="default" w:ascii="Times New Roman" w:hAnsi="Times New Roman" w:cs="Times New Roman"/>
                <w:color w:val="auto"/>
                <w:sz w:val="24"/>
                <w:szCs w:val="24"/>
                <w:highlight w:val="none"/>
              </w:rPr>
              <w:t>施工期需新建临时便道约</w:t>
            </w:r>
            <w:r>
              <w:rPr>
                <w:rFonts w:hint="eastAsia" w:cs="Times New Roman"/>
                <w:color w:val="auto"/>
                <w:sz w:val="24"/>
                <w:szCs w:val="24"/>
                <w:highlight w:val="none"/>
                <w:lang w:val="en-US" w:eastAsia="zh-CN"/>
              </w:rPr>
              <w:t>1582.4</w:t>
            </w:r>
            <w:r>
              <w:rPr>
                <w:rFonts w:hint="default" w:ascii="Times New Roman" w:hAnsi="Times New Roman" w:cs="Times New Roman"/>
                <w:color w:val="auto"/>
                <w:sz w:val="24"/>
                <w:szCs w:val="24"/>
                <w:highlight w:val="none"/>
              </w:rPr>
              <w:t>m，宽3.5m</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泥结石路面。</w:t>
            </w:r>
            <w:r>
              <w:rPr>
                <w:rFonts w:hint="default" w:ascii="Times New Roman" w:hAnsi="Times New Roman" w:cs="Times New Roman"/>
                <w:color w:val="auto"/>
                <w:sz w:val="24"/>
                <w:szCs w:val="24"/>
                <w:highlight w:val="none"/>
                <w:lang w:val="en-US" w:eastAsia="zh-CN"/>
              </w:rPr>
              <w:t>其中，</w:t>
            </w:r>
            <w:r>
              <w:rPr>
                <w:rFonts w:hint="default" w:ascii="Times New Roman" w:hAnsi="Times New Roman" w:cs="Times New Roman"/>
                <w:color w:val="auto"/>
                <w:kern w:val="0"/>
                <w:sz w:val="24"/>
                <w:szCs w:val="24"/>
                <w:highlight w:val="none"/>
              </w:rPr>
              <w:t>二郎段堤防临时道路</w:t>
            </w:r>
            <w:r>
              <w:rPr>
                <w:rFonts w:hint="default" w:ascii="Times New Roman" w:hAnsi="Times New Roman" w:cs="Times New Roman"/>
                <w:color w:val="auto"/>
                <w:kern w:val="0"/>
                <w:sz w:val="24"/>
                <w:szCs w:val="24"/>
                <w:highlight w:val="none"/>
                <w:lang w:val="en-US" w:eastAsia="zh-CN"/>
              </w:rPr>
              <w:t>总长</w:t>
            </w:r>
            <w:r>
              <w:rPr>
                <w:rFonts w:hint="eastAsia" w:cs="Times New Roman"/>
                <w:color w:val="auto"/>
                <w:kern w:val="0"/>
                <w:sz w:val="24"/>
                <w:szCs w:val="24"/>
                <w:highlight w:val="none"/>
                <w:lang w:val="en-US" w:eastAsia="zh-CN"/>
              </w:rPr>
              <w:t>826</w:t>
            </w:r>
            <w:r>
              <w:rPr>
                <w:rFonts w:hint="default" w:ascii="Times New Roman" w:hAnsi="Times New Roman" w:cs="Times New Roman"/>
                <w:color w:val="auto"/>
                <w:kern w:val="0"/>
                <w:sz w:val="24"/>
                <w:szCs w:val="24"/>
                <w:highlight w:val="none"/>
                <w:lang w:val="en-US" w:eastAsia="zh-CN"/>
              </w:rPr>
              <w:t>m，</w:t>
            </w:r>
            <w:r>
              <w:rPr>
                <w:rFonts w:hint="default" w:ascii="Times New Roman" w:hAnsi="Times New Roman" w:cs="Times New Roman"/>
                <w:color w:val="auto"/>
                <w:kern w:val="0"/>
                <w:sz w:val="24"/>
                <w:szCs w:val="24"/>
                <w:highlight w:val="none"/>
              </w:rPr>
              <w:t>福兴段堤防临时道路</w:t>
            </w:r>
            <w:r>
              <w:rPr>
                <w:rFonts w:hint="default" w:ascii="Times New Roman" w:hAnsi="Times New Roman" w:cs="Times New Roman"/>
                <w:color w:val="auto"/>
                <w:kern w:val="0"/>
                <w:sz w:val="24"/>
                <w:szCs w:val="24"/>
                <w:highlight w:val="none"/>
                <w:lang w:val="en-US" w:eastAsia="zh-CN"/>
              </w:rPr>
              <w:t>总长</w:t>
            </w:r>
            <w:r>
              <w:rPr>
                <w:rFonts w:hint="eastAsia" w:cs="Times New Roman"/>
                <w:color w:val="auto"/>
                <w:kern w:val="0"/>
                <w:sz w:val="24"/>
                <w:szCs w:val="24"/>
                <w:highlight w:val="none"/>
                <w:lang w:val="en-US" w:eastAsia="zh-CN"/>
              </w:rPr>
              <w:t>756.4</w:t>
            </w:r>
            <w:r>
              <w:rPr>
                <w:rFonts w:hint="default" w:ascii="Times New Roman" w:hAnsi="Times New Roman" w:cs="Times New Roman"/>
                <w:color w:val="auto"/>
                <w:kern w:val="0"/>
                <w:sz w:val="24"/>
                <w:szCs w:val="24"/>
                <w:highlight w:val="none"/>
                <w:lang w:val="en-US" w:eastAsia="zh-CN"/>
              </w:rPr>
              <w:t>m</w:t>
            </w:r>
            <w:r>
              <w:rPr>
                <w:rFonts w:hint="default" w:ascii="Times New Roman" w:hAnsi="Times New Roman" w:cs="Times New Roman"/>
                <w:color w:val="auto"/>
                <w:sz w:val="24"/>
                <w:szCs w:val="24"/>
                <w:highlight w:val="none"/>
              </w:rPr>
              <w:t>。</w:t>
            </w:r>
            <w:r>
              <w:rPr>
                <w:rFonts w:hint="eastAsia" w:cs="Times New Roman"/>
                <w:color w:val="auto"/>
                <w:highlight w:val="none"/>
                <w:lang w:val="en-US" w:eastAsia="zh-CN"/>
              </w:rPr>
              <w:t>石河镇石河镇段、双拱场段</w:t>
            </w:r>
            <w:r>
              <w:rPr>
                <w:rFonts w:hint="default" w:ascii="Times New Roman" w:hAnsi="Times New Roman" w:cs="Times New Roman"/>
                <w:color w:val="auto"/>
                <w:sz w:val="24"/>
                <w:szCs w:val="24"/>
                <w:highlight w:val="none"/>
              </w:rPr>
              <w:t>施工期需新建临时便道</w:t>
            </w:r>
            <w:r>
              <w:rPr>
                <w:rFonts w:hint="eastAsia" w:cs="Times New Roman"/>
                <w:color w:val="auto"/>
                <w:sz w:val="24"/>
                <w:szCs w:val="24"/>
                <w:highlight w:val="none"/>
                <w:lang w:val="en-US" w:eastAsia="zh-CN"/>
              </w:rPr>
              <w:t>约</w:t>
            </w:r>
            <w:r>
              <w:rPr>
                <w:rFonts w:hint="eastAsia"/>
                <w:color w:val="auto"/>
                <w:sz w:val="24"/>
                <w:szCs w:val="24"/>
                <w:highlight w:val="none"/>
              </w:rPr>
              <w:t>3.33</w:t>
            </w:r>
            <w:r>
              <w:rPr>
                <w:color w:val="auto"/>
                <w:sz w:val="24"/>
                <w:szCs w:val="24"/>
                <w:highlight w:val="none"/>
              </w:rPr>
              <w:t>km</w:t>
            </w:r>
            <w:r>
              <w:rPr>
                <w:rFonts w:hint="default" w:ascii="Times New Roman" w:hAnsi="Times New Roman" w:cs="Times New Roman"/>
                <w:color w:val="auto"/>
                <w:sz w:val="24"/>
                <w:szCs w:val="24"/>
                <w:highlight w:val="none"/>
              </w:rPr>
              <w:t>，宽</w:t>
            </w:r>
            <w:r>
              <w:rPr>
                <w:rFonts w:hint="eastAsia" w:cs="Times New Roman"/>
                <w:color w:val="auto"/>
                <w:sz w:val="24"/>
                <w:szCs w:val="24"/>
                <w:highlight w:val="none"/>
                <w:lang w:val="en-US" w:eastAsia="zh-CN"/>
              </w:rPr>
              <w:t>4.0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泥结石路面。</w:t>
            </w:r>
            <w:r>
              <w:rPr>
                <w:rFonts w:hint="default" w:ascii="Times New Roman" w:hAnsi="Times New Roman" w:cs="Times New Roman"/>
                <w:color w:val="auto"/>
                <w:sz w:val="24"/>
                <w:szCs w:val="24"/>
                <w:highlight w:val="none"/>
                <w:lang w:val="en-US" w:eastAsia="zh-CN"/>
              </w:rPr>
              <w:t>其中，</w:t>
            </w:r>
            <w:r>
              <w:rPr>
                <w:rFonts w:hint="eastAsia" w:cs="Times New Roman"/>
                <w:color w:val="auto"/>
                <w:kern w:val="0"/>
                <w:sz w:val="24"/>
                <w:szCs w:val="24"/>
                <w:highlight w:val="none"/>
                <w:lang w:eastAsia="zh-CN"/>
              </w:rPr>
              <w:t>石河镇段</w:t>
            </w:r>
            <w:r>
              <w:rPr>
                <w:rFonts w:hint="default" w:ascii="Times New Roman" w:hAnsi="Times New Roman" w:cs="Times New Roman"/>
                <w:color w:val="auto"/>
                <w:kern w:val="0"/>
                <w:sz w:val="24"/>
                <w:szCs w:val="24"/>
                <w:highlight w:val="none"/>
              </w:rPr>
              <w:t>堤防临时道路</w:t>
            </w:r>
            <w:r>
              <w:rPr>
                <w:rFonts w:hint="default" w:ascii="Times New Roman" w:hAnsi="Times New Roman" w:cs="Times New Roman"/>
                <w:color w:val="auto"/>
                <w:kern w:val="0"/>
                <w:sz w:val="24"/>
                <w:szCs w:val="24"/>
                <w:highlight w:val="none"/>
                <w:lang w:val="en-US" w:eastAsia="zh-CN"/>
              </w:rPr>
              <w:t>总长</w:t>
            </w:r>
            <w:r>
              <w:rPr>
                <w:rFonts w:hint="eastAsia" w:cs="Times New Roman"/>
                <w:color w:val="auto"/>
                <w:kern w:val="0"/>
                <w:sz w:val="24"/>
                <w:szCs w:val="24"/>
                <w:highlight w:val="none"/>
                <w:lang w:val="en-US" w:eastAsia="zh-CN"/>
              </w:rPr>
              <w:t>2.05k</w:t>
            </w:r>
            <w:r>
              <w:rPr>
                <w:rFonts w:hint="default" w:ascii="Times New Roman" w:hAnsi="Times New Roman" w:cs="Times New Roman"/>
                <w:color w:val="auto"/>
                <w:kern w:val="0"/>
                <w:sz w:val="24"/>
                <w:szCs w:val="24"/>
                <w:highlight w:val="none"/>
                <w:lang w:val="en-US" w:eastAsia="zh-CN"/>
              </w:rPr>
              <w:t>m，</w:t>
            </w:r>
            <w:r>
              <w:rPr>
                <w:rFonts w:hint="eastAsia" w:cs="Times New Roman"/>
                <w:color w:val="auto"/>
                <w:kern w:val="0"/>
                <w:sz w:val="24"/>
                <w:szCs w:val="24"/>
                <w:highlight w:val="none"/>
                <w:lang w:eastAsia="zh-CN"/>
              </w:rPr>
              <w:t>双拱场段</w:t>
            </w:r>
            <w:r>
              <w:rPr>
                <w:rFonts w:hint="default" w:ascii="Times New Roman" w:hAnsi="Times New Roman" w:cs="Times New Roman"/>
                <w:color w:val="auto"/>
                <w:kern w:val="0"/>
                <w:sz w:val="24"/>
                <w:szCs w:val="24"/>
                <w:highlight w:val="none"/>
              </w:rPr>
              <w:t>堤防临时道路</w:t>
            </w:r>
            <w:r>
              <w:rPr>
                <w:rFonts w:hint="default" w:ascii="Times New Roman" w:hAnsi="Times New Roman" w:cs="Times New Roman"/>
                <w:color w:val="auto"/>
                <w:kern w:val="0"/>
                <w:sz w:val="24"/>
                <w:szCs w:val="24"/>
                <w:highlight w:val="none"/>
                <w:lang w:val="en-US" w:eastAsia="zh-CN"/>
              </w:rPr>
              <w:t>总长</w:t>
            </w:r>
            <w:r>
              <w:rPr>
                <w:rFonts w:hint="eastAsia" w:cs="Times New Roman"/>
                <w:color w:val="auto"/>
                <w:kern w:val="0"/>
                <w:sz w:val="24"/>
                <w:szCs w:val="24"/>
                <w:highlight w:val="none"/>
                <w:lang w:val="en-US" w:eastAsia="zh-CN"/>
              </w:rPr>
              <w:t>1.28k</w:t>
            </w:r>
            <w:r>
              <w:rPr>
                <w:rFonts w:hint="default" w:ascii="Times New Roman" w:hAnsi="Times New Roman" w:cs="Times New Roman"/>
                <w:color w:val="auto"/>
                <w:kern w:val="0"/>
                <w:sz w:val="24"/>
                <w:szCs w:val="24"/>
                <w:highlight w:val="none"/>
                <w:lang w:val="en-US" w:eastAsia="zh-CN"/>
              </w:rPr>
              <w:t>m</w:t>
            </w:r>
            <w:r>
              <w:rPr>
                <w:rFonts w:hint="default" w:ascii="Times New Roman" w:hAnsi="Times New Roman" w:cs="Times New Roman"/>
                <w:color w:val="auto"/>
                <w:sz w:val="24"/>
                <w:szCs w:val="24"/>
                <w:highlight w:val="none"/>
              </w:rPr>
              <w:t>。</w:t>
            </w:r>
          </w:p>
          <w:p w14:paraId="1F64A181">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施工结束后，</w:t>
            </w:r>
            <w:r>
              <w:rPr>
                <w:rFonts w:hint="eastAsia" w:cs="Times New Roman"/>
                <w:color w:val="auto"/>
                <w:sz w:val="24"/>
                <w:szCs w:val="24"/>
                <w:highlight w:val="none"/>
                <w:lang w:eastAsia="zh-CN"/>
              </w:rPr>
              <w:t>施工道路</w:t>
            </w:r>
            <w:r>
              <w:rPr>
                <w:rFonts w:hint="default" w:ascii="Times New Roman" w:hAnsi="Times New Roman" w:cs="Times New Roman"/>
                <w:color w:val="auto"/>
                <w:sz w:val="24"/>
                <w:szCs w:val="24"/>
                <w:highlight w:val="none"/>
              </w:rPr>
              <w:t>拆除。</w:t>
            </w:r>
          </w:p>
          <w:p w14:paraId="07D0AAE4">
            <w:pPr>
              <w:pStyle w:val="21"/>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w:t>
            </w:r>
            <w:r>
              <w:rPr>
                <w:rFonts w:hint="eastAsia" w:ascii="Times New Roman" w:hAnsi="Times New Roman" w:cs="Times New Roman"/>
                <w:b/>
                <w:bCs/>
                <w:color w:val="auto"/>
                <w:highlight w:val="none"/>
                <w:lang w:val="en-US" w:eastAsia="zh-CN"/>
              </w:rPr>
              <w:t>5-1</w:t>
            </w:r>
            <w:r>
              <w:rPr>
                <w:rFonts w:hint="default" w:ascii="Times New Roman" w:hAnsi="Times New Roman" w:cs="Times New Roman"/>
                <w:b/>
                <w:bCs/>
                <w:color w:val="auto"/>
                <w:highlight w:val="none"/>
              </w:rPr>
              <w:t xml:space="preserve"> 项目</w:t>
            </w:r>
            <w:r>
              <w:rPr>
                <w:rFonts w:hint="eastAsia" w:cs="Times New Roman"/>
                <w:b/>
                <w:bCs/>
                <w:color w:val="auto"/>
                <w:highlight w:val="none"/>
                <w:lang w:eastAsia="zh-CN"/>
              </w:rPr>
              <w:t>施工道路</w:t>
            </w:r>
            <w:r>
              <w:rPr>
                <w:rFonts w:hint="default" w:ascii="Times New Roman" w:hAnsi="Times New Roman" w:cs="Times New Roman"/>
                <w:b/>
                <w:bCs/>
                <w:color w:val="auto"/>
                <w:highlight w:val="none"/>
              </w:rPr>
              <w:t>一览表</w:t>
            </w:r>
          </w:p>
          <w:tbl>
            <w:tblPr>
              <w:tblStyle w:val="11"/>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425"/>
              <w:gridCol w:w="2296"/>
              <w:gridCol w:w="1373"/>
              <w:gridCol w:w="1143"/>
            </w:tblGrid>
            <w:tr w14:paraId="7E7D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restart"/>
                  <w:noWrap w:val="0"/>
                  <w:vAlign w:val="center"/>
                </w:tcPr>
                <w:p w14:paraId="163C786E">
                  <w:pPr>
                    <w:pStyle w:val="21"/>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道路名称</w:t>
                  </w:r>
                </w:p>
              </w:tc>
              <w:tc>
                <w:tcPr>
                  <w:tcW w:w="4721" w:type="dxa"/>
                  <w:gridSpan w:val="2"/>
                  <w:noWrap w:val="0"/>
                  <w:vAlign w:val="center"/>
                </w:tcPr>
                <w:p w14:paraId="719E05C5">
                  <w:pPr>
                    <w:pStyle w:val="21"/>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桩号</w:t>
                  </w:r>
                </w:p>
              </w:tc>
              <w:tc>
                <w:tcPr>
                  <w:tcW w:w="1373" w:type="dxa"/>
                  <w:vMerge w:val="restart"/>
                  <w:noWrap w:val="0"/>
                  <w:vAlign w:val="center"/>
                </w:tcPr>
                <w:p w14:paraId="25E5770E">
                  <w:pPr>
                    <w:pStyle w:val="21"/>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长度</w:t>
                  </w:r>
                </w:p>
              </w:tc>
              <w:tc>
                <w:tcPr>
                  <w:tcW w:w="1143" w:type="dxa"/>
                  <w:vMerge w:val="restart"/>
                  <w:noWrap w:val="0"/>
                  <w:vAlign w:val="center"/>
                </w:tcPr>
                <w:p w14:paraId="4EBB74F2">
                  <w:pPr>
                    <w:pStyle w:val="21"/>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宽度（m）</w:t>
                  </w:r>
                </w:p>
              </w:tc>
            </w:tr>
            <w:tr w14:paraId="1B132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continue"/>
                  <w:noWrap w:val="0"/>
                  <w:vAlign w:val="center"/>
                </w:tcPr>
                <w:p w14:paraId="74AB80D3">
                  <w:pPr>
                    <w:pStyle w:val="21"/>
                    <w:spacing w:line="240" w:lineRule="auto"/>
                    <w:ind w:firstLine="480"/>
                    <w:rPr>
                      <w:rFonts w:hint="default" w:ascii="Times New Roman" w:hAnsi="Times New Roman" w:cs="Times New Roman"/>
                      <w:color w:val="auto"/>
                      <w:sz w:val="21"/>
                      <w:szCs w:val="21"/>
                      <w:highlight w:val="none"/>
                    </w:rPr>
                  </w:pPr>
                </w:p>
              </w:tc>
              <w:tc>
                <w:tcPr>
                  <w:tcW w:w="2425" w:type="dxa"/>
                  <w:noWrap w:val="0"/>
                  <w:vAlign w:val="center"/>
                </w:tcPr>
                <w:p w14:paraId="7AD6B52B">
                  <w:pPr>
                    <w:pStyle w:val="21"/>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起点</w:t>
                  </w:r>
                </w:p>
              </w:tc>
              <w:tc>
                <w:tcPr>
                  <w:tcW w:w="2296" w:type="dxa"/>
                  <w:noWrap w:val="0"/>
                  <w:vAlign w:val="center"/>
                </w:tcPr>
                <w:p w14:paraId="4C145E9B">
                  <w:pPr>
                    <w:pStyle w:val="21"/>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终点</w:t>
                  </w:r>
                </w:p>
              </w:tc>
              <w:tc>
                <w:tcPr>
                  <w:tcW w:w="1373" w:type="dxa"/>
                  <w:vMerge w:val="continue"/>
                  <w:noWrap w:val="0"/>
                  <w:vAlign w:val="center"/>
                </w:tcPr>
                <w:p w14:paraId="69FF257D">
                  <w:pPr>
                    <w:pStyle w:val="21"/>
                    <w:spacing w:line="240" w:lineRule="auto"/>
                    <w:ind w:firstLine="420"/>
                    <w:rPr>
                      <w:rFonts w:hint="default" w:ascii="Times New Roman" w:hAnsi="Times New Roman" w:cs="Times New Roman"/>
                      <w:color w:val="auto"/>
                      <w:sz w:val="21"/>
                      <w:szCs w:val="21"/>
                      <w:highlight w:val="none"/>
                    </w:rPr>
                  </w:pPr>
                </w:p>
              </w:tc>
              <w:tc>
                <w:tcPr>
                  <w:tcW w:w="1143" w:type="dxa"/>
                  <w:vMerge w:val="continue"/>
                  <w:noWrap w:val="0"/>
                  <w:vAlign w:val="center"/>
                </w:tcPr>
                <w:p w14:paraId="267FFDE0">
                  <w:pPr>
                    <w:pStyle w:val="21"/>
                    <w:spacing w:line="240" w:lineRule="auto"/>
                    <w:ind w:firstLine="420"/>
                    <w:rPr>
                      <w:rFonts w:hint="default" w:ascii="Times New Roman" w:hAnsi="Times New Roman" w:cs="Times New Roman"/>
                      <w:color w:val="auto"/>
                      <w:sz w:val="21"/>
                      <w:szCs w:val="21"/>
                      <w:highlight w:val="none"/>
                    </w:rPr>
                  </w:pPr>
                </w:p>
              </w:tc>
            </w:tr>
            <w:tr w14:paraId="1503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restart"/>
                  <w:noWrap w:val="0"/>
                  <w:vAlign w:val="center"/>
                </w:tcPr>
                <w:p w14:paraId="6F87ACD3">
                  <w:pPr>
                    <w:pStyle w:val="21"/>
                    <w:spacing w:line="240" w:lineRule="auto"/>
                    <w:ind w:firstLine="0" w:firstLineChars="0"/>
                    <w:rPr>
                      <w:rFonts w:hint="eastAsia" w:ascii="Times New Roman" w:hAnsi="Times New Roman" w:eastAsia="宋体" w:cs="Times New Roman"/>
                      <w:color w:val="auto"/>
                      <w:sz w:val="21"/>
                      <w:szCs w:val="21"/>
                      <w:highlight w:val="none"/>
                      <w:lang w:eastAsia="zh-CN"/>
                    </w:rPr>
                  </w:pPr>
                  <w:r>
                    <w:rPr>
                      <w:rFonts w:hint="eastAsia" w:hAnsi="宋体" w:cs="宋体"/>
                      <w:color w:val="auto"/>
                      <w:kern w:val="0"/>
                      <w:sz w:val="21"/>
                      <w:szCs w:val="21"/>
                      <w:highlight w:val="none"/>
                    </w:rPr>
                    <w:t>二郎段</w:t>
                  </w:r>
                  <w:r>
                    <w:rPr>
                      <w:rFonts w:hint="eastAsia" w:cs="Times New Roman"/>
                      <w:color w:val="auto"/>
                      <w:sz w:val="21"/>
                      <w:szCs w:val="21"/>
                      <w:highlight w:val="none"/>
                      <w:lang w:eastAsia="zh-CN"/>
                    </w:rPr>
                    <w:t>施工道路</w:t>
                  </w:r>
                </w:p>
              </w:tc>
              <w:tc>
                <w:tcPr>
                  <w:tcW w:w="2425" w:type="dxa"/>
                  <w:noWrap w:val="0"/>
                  <w:vAlign w:val="center"/>
                </w:tcPr>
                <w:p w14:paraId="40CCCB37">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二郎整治k0+480左岸</w:t>
                  </w:r>
                </w:p>
              </w:tc>
              <w:tc>
                <w:tcPr>
                  <w:tcW w:w="2296" w:type="dxa"/>
                  <w:shd w:val="clear" w:color="auto" w:fill="auto"/>
                  <w:noWrap w:val="0"/>
                  <w:vAlign w:val="center"/>
                </w:tcPr>
                <w:p w14:paraId="55E2398E">
                  <w:pPr>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二郎整治k0+900左岸</w:t>
                  </w:r>
                </w:p>
              </w:tc>
              <w:tc>
                <w:tcPr>
                  <w:tcW w:w="1373" w:type="dxa"/>
                  <w:shd w:val="clear" w:color="auto" w:fill="auto"/>
                  <w:noWrap w:val="0"/>
                  <w:vAlign w:val="center"/>
                </w:tcPr>
                <w:p w14:paraId="11087A55">
                  <w:pPr>
                    <w:pStyle w:val="21"/>
                    <w:spacing w:line="240" w:lineRule="auto"/>
                    <w:ind w:firstLine="0" w:firstLineChars="0"/>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226m</w:t>
                  </w:r>
                </w:p>
              </w:tc>
              <w:tc>
                <w:tcPr>
                  <w:tcW w:w="1143" w:type="dxa"/>
                  <w:noWrap w:val="0"/>
                  <w:vAlign w:val="center"/>
                </w:tcPr>
                <w:p w14:paraId="7D8BAA42">
                  <w:pPr>
                    <w:pStyle w:val="21"/>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r>
                    <w:rPr>
                      <w:rFonts w:hint="eastAsia" w:cs="Times New Roman"/>
                      <w:color w:val="auto"/>
                      <w:sz w:val="21"/>
                      <w:szCs w:val="21"/>
                      <w:highlight w:val="none"/>
                      <w:lang w:val="en-US" w:eastAsia="zh-CN"/>
                    </w:rPr>
                    <w:t>m</w:t>
                  </w:r>
                </w:p>
              </w:tc>
            </w:tr>
            <w:tr w14:paraId="4384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continue"/>
                  <w:noWrap w:val="0"/>
                  <w:vAlign w:val="center"/>
                </w:tcPr>
                <w:p w14:paraId="696EB948">
                  <w:pPr>
                    <w:pStyle w:val="21"/>
                    <w:spacing w:line="240" w:lineRule="auto"/>
                    <w:ind w:firstLine="0" w:firstLineChars="0"/>
                    <w:rPr>
                      <w:rFonts w:hint="eastAsia" w:hAnsi="宋体" w:cs="宋体"/>
                      <w:color w:val="auto"/>
                      <w:kern w:val="0"/>
                      <w:sz w:val="21"/>
                      <w:szCs w:val="21"/>
                      <w:highlight w:val="none"/>
                    </w:rPr>
                  </w:pPr>
                </w:p>
              </w:tc>
              <w:tc>
                <w:tcPr>
                  <w:tcW w:w="2425" w:type="dxa"/>
                  <w:shd w:val="clear" w:color="auto" w:fill="auto"/>
                  <w:noWrap w:val="0"/>
                  <w:vAlign w:val="center"/>
                </w:tcPr>
                <w:p w14:paraId="21A1533C">
                  <w:pPr>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二郎整治k1+900右岸</w:t>
                  </w:r>
                </w:p>
              </w:tc>
              <w:tc>
                <w:tcPr>
                  <w:tcW w:w="2296" w:type="dxa"/>
                  <w:shd w:val="clear" w:color="auto" w:fill="auto"/>
                  <w:noWrap w:val="0"/>
                  <w:vAlign w:val="center"/>
                </w:tcPr>
                <w:p w14:paraId="06ED8165">
                  <w:pPr>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二郎整治k2+500右岸</w:t>
                  </w:r>
                </w:p>
              </w:tc>
              <w:tc>
                <w:tcPr>
                  <w:tcW w:w="1373" w:type="dxa"/>
                  <w:noWrap w:val="0"/>
                  <w:vAlign w:val="center"/>
                </w:tcPr>
                <w:p w14:paraId="43041D2A">
                  <w:pPr>
                    <w:pStyle w:val="21"/>
                    <w:spacing w:line="240" w:lineRule="auto"/>
                    <w:ind w:firstLine="0" w:firstLine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600m</w:t>
                  </w:r>
                </w:p>
              </w:tc>
              <w:tc>
                <w:tcPr>
                  <w:tcW w:w="1143" w:type="dxa"/>
                  <w:shd w:val="clear" w:color="auto" w:fill="auto"/>
                  <w:noWrap w:val="0"/>
                  <w:vAlign w:val="center"/>
                </w:tcPr>
                <w:p w14:paraId="700CA2F1">
                  <w:pPr>
                    <w:pStyle w:val="21"/>
                    <w:spacing w:line="240" w:lineRule="auto"/>
                    <w:ind w:firstLine="0" w:firstLineChars="0"/>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3.5</w:t>
                  </w:r>
                  <w:r>
                    <w:rPr>
                      <w:rFonts w:hint="eastAsia" w:cs="Times New Roman"/>
                      <w:color w:val="auto"/>
                      <w:sz w:val="21"/>
                      <w:szCs w:val="21"/>
                      <w:highlight w:val="none"/>
                      <w:lang w:val="en-US" w:eastAsia="zh-CN"/>
                    </w:rPr>
                    <w:t>m</w:t>
                  </w:r>
                </w:p>
              </w:tc>
            </w:tr>
            <w:tr w14:paraId="2CED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continue"/>
                  <w:noWrap w:val="0"/>
                  <w:vAlign w:val="center"/>
                </w:tcPr>
                <w:p w14:paraId="318B8695">
                  <w:pPr>
                    <w:pStyle w:val="21"/>
                    <w:spacing w:line="240" w:lineRule="auto"/>
                    <w:ind w:firstLine="0" w:firstLineChars="0"/>
                    <w:rPr>
                      <w:rFonts w:hint="eastAsia" w:hAnsi="宋体" w:cs="宋体"/>
                      <w:color w:val="auto"/>
                      <w:kern w:val="0"/>
                      <w:sz w:val="21"/>
                      <w:szCs w:val="21"/>
                      <w:highlight w:val="none"/>
                    </w:rPr>
                  </w:pPr>
                </w:p>
              </w:tc>
              <w:tc>
                <w:tcPr>
                  <w:tcW w:w="4721" w:type="dxa"/>
                  <w:gridSpan w:val="2"/>
                  <w:shd w:val="clear" w:color="auto" w:fill="auto"/>
                  <w:noWrap w:val="0"/>
                  <w:vAlign w:val="center"/>
                </w:tcPr>
                <w:p w14:paraId="322B1D2E">
                  <w:pPr>
                    <w:spacing w:line="240" w:lineRule="auto"/>
                    <w:ind w:firstLine="0" w:firstLineChars="0"/>
                    <w:jc w:val="center"/>
                    <w:rPr>
                      <w:rFonts w:hint="eastAsia" w:cs="Times New Roman"/>
                      <w:color w:val="auto"/>
                      <w:sz w:val="21"/>
                      <w:szCs w:val="21"/>
                      <w:highlight w:val="none"/>
                      <w:lang w:val="en-US" w:eastAsia="zh-CN"/>
                    </w:rPr>
                  </w:pPr>
                  <w:r>
                    <w:rPr>
                      <w:rFonts w:hint="eastAsia" w:cs="Times New Roman"/>
                      <w:snapToGrid w:val="0"/>
                      <w:color w:val="auto"/>
                      <w:sz w:val="21"/>
                      <w:szCs w:val="21"/>
                      <w:highlight w:val="none"/>
                      <w:lang w:val="en-US" w:eastAsia="zh-CN" w:bidi="ar-SA"/>
                    </w:rPr>
                    <w:t>合计</w:t>
                  </w:r>
                </w:p>
              </w:tc>
              <w:tc>
                <w:tcPr>
                  <w:tcW w:w="1373" w:type="dxa"/>
                  <w:noWrap w:val="0"/>
                  <w:vAlign w:val="center"/>
                </w:tcPr>
                <w:p w14:paraId="75E31F3C">
                  <w:pPr>
                    <w:pStyle w:val="21"/>
                    <w:spacing w:line="240" w:lineRule="auto"/>
                    <w:ind w:firstLine="0" w:firstLine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826m</w:t>
                  </w:r>
                </w:p>
              </w:tc>
              <w:tc>
                <w:tcPr>
                  <w:tcW w:w="1143" w:type="dxa"/>
                  <w:shd w:val="clear" w:color="auto" w:fill="auto"/>
                  <w:noWrap w:val="0"/>
                  <w:vAlign w:val="center"/>
                </w:tcPr>
                <w:p w14:paraId="0EA689F2">
                  <w:pPr>
                    <w:pStyle w:val="21"/>
                    <w:spacing w:line="240" w:lineRule="auto"/>
                    <w:ind w:firstLine="0" w:firstLineChars="0"/>
                    <w:rPr>
                      <w:rFonts w:hint="default" w:ascii="Times New Roman" w:hAnsi="Times New Roman" w:cs="Times New Roman"/>
                      <w:color w:val="auto"/>
                      <w:sz w:val="21"/>
                      <w:szCs w:val="21"/>
                      <w:highlight w:val="none"/>
                    </w:rPr>
                  </w:pPr>
                </w:p>
              </w:tc>
            </w:tr>
            <w:tr w14:paraId="081C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restart"/>
                  <w:noWrap w:val="0"/>
                  <w:vAlign w:val="center"/>
                </w:tcPr>
                <w:p w14:paraId="49A83329">
                  <w:pPr>
                    <w:pStyle w:val="21"/>
                    <w:spacing w:line="240" w:lineRule="auto"/>
                    <w:ind w:firstLine="0" w:firstLineChars="0"/>
                    <w:rPr>
                      <w:rFonts w:hint="eastAsia" w:ascii="Times New Roman" w:hAnsi="Times New Roman" w:eastAsia="宋体" w:cs="Times New Roman"/>
                      <w:color w:val="auto"/>
                      <w:sz w:val="21"/>
                      <w:szCs w:val="21"/>
                      <w:highlight w:val="none"/>
                      <w:lang w:eastAsia="zh-CN"/>
                    </w:rPr>
                  </w:pPr>
                  <w:r>
                    <w:rPr>
                      <w:rFonts w:hint="eastAsia" w:hAnsi="宋体" w:cs="宋体"/>
                      <w:color w:val="auto"/>
                      <w:kern w:val="0"/>
                      <w:sz w:val="21"/>
                      <w:szCs w:val="21"/>
                      <w:highlight w:val="none"/>
                    </w:rPr>
                    <w:t>福兴段</w:t>
                  </w:r>
                  <w:r>
                    <w:rPr>
                      <w:rFonts w:hint="eastAsia" w:cs="Times New Roman"/>
                      <w:color w:val="auto"/>
                      <w:sz w:val="21"/>
                      <w:szCs w:val="21"/>
                      <w:highlight w:val="none"/>
                      <w:lang w:eastAsia="zh-CN"/>
                    </w:rPr>
                    <w:t>施工道路</w:t>
                  </w:r>
                </w:p>
              </w:tc>
              <w:tc>
                <w:tcPr>
                  <w:tcW w:w="2425" w:type="dxa"/>
                  <w:noWrap w:val="0"/>
                  <w:vAlign w:val="center"/>
                </w:tcPr>
                <w:p w14:paraId="48EDDC77">
                  <w:pPr>
                    <w:pStyle w:val="21"/>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福k0+057.66右岸</w:t>
                  </w:r>
                </w:p>
              </w:tc>
              <w:tc>
                <w:tcPr>
                  <w:tcW w:w="2296" w:type="dxa"/>
                  <w:noWrap w:val="0"/>
                  <w:vAlign w:val="center"/>
                </w:tcPr>
                <w:p w14:paraId="3AE12E0F">
                  <w:pPr>
                    <w:pStyle w:val="21"/>
                    <w:spacing w:line="240" w:lineRule="auto"/>
                    <w:ind w:firstLine="0" w:firstLineChars="0"/>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福k0+672.92右岸</w:t>
                  </w:r>
                </w:p>
              </w:tc>
              <w:tc>
                <w:tcPr>
                  <w:tcW w:w="1373" w:type="dxa"/>
                  <w:noWrap w:val="0"/>
                  <w:vAlign w:val="center"/>
                </w:tcPr>
                <w:p w14:paraId="74040FC2">
                  <w:pPr>
                    <w:pStyle w:val="21"/>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615.26m</w:t>
                  </w:r>
                </w:p>
              </w:tc>
              <w:tc>
                <w:tcPr>
                  <w:tcW w:w="1143" w:type="dxa"/>
                  <w:noWrap w:val="0"/>
                  <w:vAlign w:val="center"/>
                </w:tcPr>
                <w:p w14:paraId="2CD39415">
                  <w:pPr>
                    <w:pStyle w:val="21"/>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r>
                    <w:rPr>
                      <w:rFonts w:hint="eastAsia" w:cs="Times New Roman"/>
                      <w:color w:val="auto"/>
                      <w:sz w:val="21"/>
                      <w:szCs w:val="21"/>
                      <w:highlight w:val="none"/>
                      <w:lang w:val="en-US" w:eastAsia="zh-CN"/>
                    </w:rPr>
                    <w:t>m</w:t>
                  </w:r>
                </w:p>
              </w:tc>
            </w:tr>
            <w:tr w14:paraId="122B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Merge w:val="continue"/>
                  <w:noWrap w:val="0"/>
                  <w:vAlign w:val="center"/>
                </w:tcPr>
                <w:p w14:paraId="1FEF5587">
                  <w:pPr>
                    <w:pStyle w:val="21"/>
                    <w:spacing w:line="240" w:lineRule="auto"/>
                    <w:ind w:firstLine="0" w:firstLineChars="0"/>
                    <w:rPr>
                      <w:rFonts w:hint="eastAsia" w:hAnsi="宋体" w:cs="宋体"/>
                      <w:color w:val="auto"/>
                      <w:kern w:val="0"/>
                      <w:sz w:val="21"/>
                      <w:szCs w:val="21"/>
                      <w:highlight w:val="none"/>
                    </w:rPr>
                  </w:pPr>
                </w:p>
              </w:tc>
              <w:tc>
                <w:tcPr>
                  <w:tcW w:w="2425" w:type="dxa"/>
                  <w:noWrap w:val="0"/>
                  <w:vAlign w:val="center"/>
                </w:tcPr>
                <w:p w14:paraId="1B6B7E4C">
                  <w:pPr>
                    <w:pStyle w:val="21"/>
                    <w:spacing w:line="240" w:lineRule="auto"/>
                    <w:ind w:firstLine="0" w:firstLine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福k1+154.75右岸</w:t>
                  </w:r>
                </w:p>
              </w:tc>
              <w:tc>
                <w:tcPr>
                  <w:tcW w:w="2296" w:type="dxa"/>
                  <w:noWrap w:val="0"/>
                  <w:vAlign w:val="center"/>
                </w:tcPr>
                <w:p w14:paraId="60655FED">
                  <w:pPr>
                    <w:pStyle w:val="21"/>
                    <w:spacing w:line="240" w:lineRule="auto"/>
                    <w:ind w:firstLine="0" w:firstLineChars="0"/>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福k1+295.89右岸</w:t>
                  </w:r>
                </w:p>
              </w:tc>
              <w:tc>
                <w:tcPr>
                  <w:tcW w:w="1373" w:type="dxa"/>
                  <w:noWrap w:val="0"/>
                  <w:vAlign w:val="center"/>
                </w:tcPr>
                <w:p w14:paraId="125D0C9B">
                  <w:pPr>
                    <w:pStyle w:val="21"/>
                    <w:spacing w:line="240" w:lineRule="auto"/>
                    <w:ind w:firstLine="0" w:firstLineChars="0"/>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141.14m</w:t>
                  </w:r>
                </w:p>
              </w:tc>
              <w:tc>
                <w:tcPr>
                  <w:tcW w:w="1143" w:type="dxa"/>
                  <w:shd w:val="clear" w:color="auto" w:fill="auto"/>
                  <w:noWrap w:val="0"/>
                  <w:vAlign w:val="center"/>
                </w:tcPr>
                <w:p w14:paraId="45D38BB8">
                  <w:pPr>
                    <w:pStyle w:val="21"/>
                    <w:spacing w:line="240" w:lineRule="auto"/>
                    <w:ind w:firstLine="0" w:firstLineChars="0"/>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3.5</w:t>
                  </w:r>
                  <w:r>
                    <w:rPr>
                      <w:rFonts w:hint="eastAsia" w:cs="Times New Roman"/>
                      <w:color w:val="auto"/>
                      <w:sz w:val="21"/>
                      <w:szCs w:val="21"/>
                      <w:highlight w:val="none"/>
                      <w:lang w:val="en-US" w:eastAsia="zh-CN"/>
                    </w:rPr>
                    <w:t>m</w:t>
                  </w:r>
                </w:p>
              </w:tc>
            </w:tr>
            <w:tr w14:paraId="2C79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continue"/>
                  <w:noWrap w:val="0"/>
                  <w:vAlign w:val="center"/>
                </w:tcPr>
                <w:p w14:paraId="33B251E1">
                  <w:pPr>
                    <w:pStyle w:val="21"/>
                    <w:spacing w:line="240" w:lineRule="auto"/>
                    <w:ind w:firstLine="0" w:firstLineChars="0"/>
                    <w:rPr>
                      <w:rFonts w:hint="eastAsia" w:hAnsi="宋体" w:cs="宋体"/>
                      <w:color w:val="auto"/>
                      <w:kern w:val="0"/>
                      <w:sz w:val="21"/>
                      <w:szCs w:val="21"/>
                      <w:highlight w:val="none"/>
                    </w:rPr>
                  </w:pPr>
                </w:p>
              </w:tc>
              <w:tc>
                <w:tcPr>
                  <w:tcW w:w="4721" w:type="dxa"/>
                  <w:gridSpan w:val="2"/>
                  <w:noWrap w:val="0"/>
                  <w:vAlign w:val="center"/>
                </w:tcPr>
                <w:p w14:paraId="0E33D5AC">
                  <w:pPr>
                    <w:pStyle w:val="21"/>
                    <w:spacing w:line="240" w:lineRule="auto"/>
                    <w:ind w:firstLine="0" w:firstLineChars="0"/>
                    <w:rPr>
                      <w:rFonts w:hint="eastAsia" w:cs="Times New Roman"/>
                      <w:color w:val="auto"/>
                      <w:sz w:val="21"/>
                      <w:szCs w:val="21"/>
                      <w:highlight w:val="none"/>
                      <w:lang w:val="en-US" w:eastAsia="zh-CN"/>
                    </w:rPr>
                  </w:pPr>
                  <w:r>
                    <w:rPr>
                      <w:rFonts w:hint="eastAsia" w:cs="Times New Roman"/>
                      <w:snapToGrid w:val="0"/>
                      <w:color w:val="auto"/>
                      <w:sz w:val="21"/>
                      <w:szCs w:val="21"/>
                      <w:highlight w:val="none"/>
                      <w:lang w:val="en-US" w:eastAsia="zh-CN" w:bidi="ar-SA"/>
                    </w:rPr>
                    <w:t>合计</w:t>
                  </w:r>
                </w:p>
              </w:tc>
              <w:tc>
                <w:tcPr>
                  <w:tcW w:w="1373" w:type="dxa"/>
                  <w:noWrap w:val="0"/>
                  <w:vAlign w:val="center"/>
                </w:tcPr>
                <w:p w14:paraId="15E2AC35">
                  <w:pPr>
                    <w:pStyle w:val="21"/>
                    <w:spacing w:line="240" w:lineRule="auto"/>
                    <w:ind w:firstLine="0" w:firstLineChars="0"/>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rPr>
                    <w:t>756.40</w:t>
                  </w:r>
                  <w:r>
                    <w:rPr>
                      <w:rFonts w:hint="default" w:ascii="Times New Roman" w:hAnsi="Times New Roman" w:cs="Times New Roman"/>
                      <w:color w:val="auto"/>
                      <w:kern w:val="0"/>
                      <w:sz w:val="21"/>
                      <w:szCs w:val="21"/>
                      <w:highlight w:val="none"/>
                      <w:lang w:val="en-US" w:eastAsia="zh-CN"/>
                    </w:rPr>
                    <w:t>m</w:t>
                  </w:r>
                </w:p>
              </w:tc>
              <w:tc>
                <w:tcPr>
                  <w:tcW w:w="1143" w:type="dxa"/>
                  <w:shd w:val="clear" w:color="auto" w:fill="auto"/>
                  <w:noWrap w:val="0"/>
                  <w:vAlign w:val="center"/>
                </w:tcPr>
                <w:p w14:paraId="2A2DF15C">
                  <w:pPr>
                    <w:pStyle w:val="21"/>
                    <w:spacing w:line="240" w:lineRule="auto"/>
                    <w:ind w:firstLine="0" w:firstLineChars="0"/>
                    <w:rPr>
                      <w:rFonts w:hint="default" w:ascii="Times New Roman" w:hAnsi="Times New Roman" w:cs="Times New Roman"/>
                      <w:color w:val="auto"/>
                      <w:sz w:val="21"/>
                      <w:szCs w:val="21"/>
                      <w:highlight w:val="none"/>
                    </w:rPr>
                  </w:pPr>
                </w:p>
              </w:tc>
            </w:tr>
            <w:tr w14:paraId="236E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restart"/>
                  <w:shd w:val="clear" w:color="auto" w:fill="auto"/>
                  <w:noWrap w:val="0"/>
                  <w:vAlign w:val="center"/>
                </w:tcPr>
                <w:p w14:paraId="2C151A7D">
                  <w:pPr>
                    <w:pStyle w:val="21"/>
                    <w:spacing w:line="240" w:lineRule="auto"/>
                    <w:ind w:firstLine="0" w:firstLineChars="0"/>
                    <w:rPr>
                      <w:rFonts w:hint="eastAsia" w:ascii="Times New Roman" w:hAnsi="Times New Roman" w:eastAsia="宋体" w:cs="Times New Roman"/>
                      <w:snapToGrid w:val="0"/>
                      <w:color w:val="auto"/>
                      <w:sz w:val="21"/>
                      <w:szCs w:val="21"/>
                      <w:highlight w:val="none"/>
                      <w:lang w:val="en-US" w:eastAsia="zh-CN" w:bidi="ar-SA"/>
                    </w:rPr>
                  </w:pPr>
                  <w:r>
                    <w:rPr>
                      <w:rFonts w:hint="eastAsia" w:hAnsi="宋体" w:cs="宋体"/>
                      <w:color w:val="auto"/>
                      <w:kern w:val="0"/>
                      <w:sz w:val="21"/>
                      <w:szCs w:val="21"/>
                      <w:highlight w:val="none"/>
                      <w:lang w:eastAsia="zh-CN"/>
                    </w:rPr>
                    <w:t>石河镇段</w:t>
                  </w:r>
                  <w:r>
                    <w:rPr>
                      <w:rFonts w:hint="eastAsia" w:cs="Times New Roman"/>
                      <w:color w:val="auto"/>
                      <w:sz w:val="21"/>
                      <w:szCs w:val="21"/>
                      <w:highlight w:val="none"/>
                      <w:lang w:eastAsia="zh-CN"/>
                    </w:rPr>
                    <w:t>施工道路</w:t>
                  </w:r>
                </w:p>
              </w:tc>
              <w:tc>
                <w:tcPr>
                  <w:tcW w:w="2425" w:type="dxa"/>
                  <w:shd w:val="clear" w:color="auto" w:fill="auto"/>
                  <w:noWrap w:val="0"/>
                  <w:vAlign w:val="center"/>
                </w:tcPr>
                <w:p w14:paraId="4FF7076F">
                  <w:pPr>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石Y0+428西侧</w:t>
                  </w:r>
                </w:p>
              </w:tc>
              <w:tc>
                <w:tcPr>
                  <w:tcW w:w="2296" w:type="dxa"/>
                  <w:shd w:val="clear" w:color="auto" w:fill="auto"/>
                  <w:noWrap w:val="0"/>
                  <w:vAlign w:val="center"/>
                </w:tcPr>
                <w:p w14:paraId="64C1613C">
                  <w:pPr>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石Y0+578东侧</w:t>
                  </w:r>
                </w:p>
              </w:tc>
              <w:tc>
                <w:tcPr>
                  <w:tcW w:w="1373" w:type="dxa"/>
                  <w:shd w:val="clear" w:color="auto" w:fill="auto"/>
                  <w:noWrap w:val="0"/>
                  <w:vAlign w:val="center"/>
                </w:tcPr>
                <w:p w14:paraId="64241607">
                  <w:pPr>
                    <w:pStyle w:val="28"/>
                    <w:ind w:firstLine="0" w:firstLineChars="0"/>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sz w:val="21"/>
                      <w:szCs w:val="21"/>
                      <w:highlight w:val="none"/>
                    </w:rPr>
                    <w:t xml:space="preserve">0.16 </w:t>
                  </w:r>
                  <w:r>
                    <w:rPr>
                      <w:rFonts w:hint="eastAsia"/>
                      <w:color w:val="auto"/>
                      <w:sz w:val="21"/>
                      <w:szCs w:val="21"/>
                      <w:highlight w:val="none"/>
                      <w:lang w:val="en-US" w:eastAsia="zh-CN"/>
                    </w:rPr>
                    <w:t>k</w:t>
                  </w:r>
                  <w:r>
                    <w:rPr>
                      <w:rFonts w:hint="eastAsia" w:cs="Times New Roman"/>
                      <w:color w:val="auto"/>
                      <w:sz w:val="21"/>
                      <w:szCs w:val="21"/>
                      <w:highlight w:val="none"/>
                      <w:lang w:val="en-US" w:eastAsia="zh-CN"/>
                    </w:rPr>
                    <w:t>m</w:t>
                  </w:r>
                </w:p>
              </w:tc>
              <w:tc>
                <w:tcPr>
                  <w:tcW w:w="1143" w:type="dxa"/>
                  <w:shd w:val="clear" w:color="auto" w:fill="auto"/>
                  <w:noWrap w:val="0"/>
                  <w:vAlign w:val="center"/>
                </w:tcPr>
                <w:p w14:paraId="4FB03C11">
                  <w:pPr>
                    <w:pStyle w:val="21"/>
                    <w:spacing w:line="240" w:lineRule="auto"/>
                    <w:ind w:firstLine="0" w:firstLineChars="0"/>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4.0m</w:t>
                  </w:r>
                </w:p>
              </w:tc>
            </w:tr>
            <w:tr w14:paraId="359D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continue"/>
                </w:tcPr>
                <w:p w14:paraId="50D450A7">
                  <w:pPr>
                    <w:pStyle w:val="21"/>
                    <w:spacing w:line="240" w:lineRule="auto"/>
                    <w:ind w:firstLine="0" w:firstLineChars="0"/>
                    <w:rPr>
                      <w:rFonts w:hint="eastAsia" w:hAnsi="宋体" w:cs="宋体"/>
                      <w:color w:val="auto"/>
                      <w:kern w:val="0"/>
                      <w:sz w:val="21"/>
                      <w:szCs w:val="21"/>
                      <w:highlight w:val="none"/>
                    </w:rPr>
                  </w:pPr>
                </w:p>
              </w:tc>
              <w:tc>
                <w:tcPr>
                  <w:tcW w:w="0" w:type="auto"/>
                  <w:shd w:val="clear" w:color="auto" w:fill="auto"/>
                  <w:vAlign w:val="center"/>
                </w:tcPr>
                <w:p w14:paraId="1366F868">
                  <w:pPr>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石Z0+447处</w:t>
                  </w:r>
                </w:p>
              </w:tc>
              <w:tc>
                <w:tcPr>
                  <w:tcW w:w="0" w:type="auto"/>
                  <w:shd w:val="clear" w:color="auto" w:fill="auto"/>
                  <w:vAlign w:val="center"/>
                </w:tcPr>
                <w:p w14:paraId="22D54CB1">
                  <w:pPr>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石Z0+841东南侧</w:t>
                  </w:r>
                </w:p>
              </w:tc>
              <w:tc>
                <w:tcPr>
                  <w:tcW w:w="0" w:type="auto"/>
                  <w:shd w:val="clear" w:color="auto" w:fill="auto"/>
                  <w:vAlign w:val="center"/>
                </w:tcPr>
                <w:p w14:paraId="13B7D862">
                  <w:pPr>
                    <w:pStyle w:val="28"/>
                    <w:ind w:firstLine="0" w:firstLineChars="0"/>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sz w:val="21"/>
                      <w:szCs w:val="21"/>
                      <w:highlight w:val="none"/>
                    </w:rPr>
                    <w:t xml:space="preserve">0.38 </w:t>
                  </w:r>
                  <w:r>
                    <w:rPr>
                      <w:rFonts w:hint="eastAsia"/>
                      <w:color w:val="auto"/>
                      <w:sz w:val="21"/>
                      <w:szCs w:val="21"/>
                      <w:highlight w:val="none"/>
                      <w:lang w:val="en-US" w:eastAsia="zh-CN"/>
                    </w:rPr>
                    <w:t>k</w:t>
                  </w:r>
                  <w:r>
                    <w:rPr>
                      <w:rFonts w:hint="eastAsia" w:cs="Times New Roman"/>
                      <w:color w:val="auto"/>
                      <w:sz w:val="21"/>
                      <w:szCs w:val="21"/>
                      <w:highlight w:val="none"/>
                      <w:lang w:val="en-US" w:eastAsia="zh-CN"/>
                    </w:rPr>
                    <w:t>m</w:t>
                  </w:r>
                </w:p>
              </w:tc>
              <w:tc>
                <w:tcPr>
                  <w:tcW w:w="1143" w:type="dxa"/>
                  <w:shd w:val="clear" w:color="auto" w:fill="auto"/>
                  <w:vAlign w:val="center"/>
                </w:tcPr>
                <w:p w14:paraId="342537AE">
                  <w:pPr>
                    <w:pStyle w:val="21"/>
                    <w:spacing w:line="240" w:lineRule="auto"/>
                    <w:ind w:firstLine="0" w:firstLineChars="0"/>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4.0m</w:t>
                  </w:r>
                </w:p>
              </w:tc>
            </w:tr>
            <w:tr w14:paraId="6C0C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continue"/>
                </w:tcPr>
                <w:p w14:paraId="50740E46">
                  <w:pPr>
                    <w:pStyle w:val="21"/>
                    <w:spacing w:line="240" w:lineRule="auto"/>
                    <w:ind w:firstLine="0" w:firstLineChars="0"/>
                    <w:rPr>
                      <w:rFonts w:hint="eastAsia" w:hAnsi="宋体" w:cs="宋体"/>
                      <w:color w:val="auto"/>
                      <w:kern w:val="0"/>
                      <w:sz w:val="21"/>
                      <w:szCs w:val="21"/>
                      <w:highlight w:val="none"/>
                    </w:rPr>
                  </w:pPr>
                </w:p>
              </w:tc>
              <w:tc>
                <w:tcPr>
                  <w:tcW w:w="0" w:type="auto"/>
                  <w:shd w:val="clear" w:color="auto" w:fill="auto"/>
                  <w:vAlign w:val="center"/>
                </w:tcPr>
                <w:p w14:paraId="010DAF6E">
                  <w:pPr>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石Y0+615东侧</w:t>
                  </w:r>
                </w:p>
              </w:tc>
              <w:tc>
                <w:tcPr>
                  <w:tcW w:w="0" w:type="auto"/>
                  <w:shd w:val="clear" w:color="auto" w:fill="auto"/>
                  <w:vAlign w:val="center"/>
                </w:tcPr>
                <w:p w14:paraId="3FE62FB4">
                  <w:pPr>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石Y0+953处</w:t>
                  </w:r>
                </w:p>
              </w:tc>
              <w:tc>
                <w:tcPr>
                  <w:tcW w:w="0" w:type="auto"/>
                  <w:shd w:val="clear" w:color="auto" w:fill="auto"/>
                  <w:vAlign w:val="center"/>
                </w:tcPr>
                <w:p w14:paraId="483FC1AA">
                  <w:pPr>
                    <w:pStyle w:val="28"/>
                    <w:ind w:firstLine="0" w:firstLineChars="0"/>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sz w:val="21"/>
                      <w:szCs w:val="21"/>
                      <w:highlight w:val="none"/>
                    </w:rPr>
                    <w:t xml:space="preserve">0.33 </w:t>
                  </w:r>
                  <w:r>
                    <w:rPr>
                      <w:rFonts w:hint="eastAsia"/>
                      <w:color w:val="auto"/>
                      <w:sz w:val="21"/>
                      <w:szCs w:val="21"/>
                      <w:highlight w:val="none"/>
                      <w:lang w:val="en-US" w:eastAsia="zh-CN"/>
                    </w:rPr>
                    <w:t>k</w:t>
                  </w:r>
                  <w:r>
                    <w:rPr>
                      <w:rFonts w:hint="eastAsia" w:cs="Times New Roman"/>
                      <w:color w:val="auto"/>
                      <w:sz w:val="21"/>
                      <w:szCs w:val="21"/>
                      <w:highlight w:val="none"/>
                      <w:lang w:val="en-US" w:eastAsia="zh-CN"/>
                    </w:rPr>
                    <w:t>m</w:t>
                  </w:r>
                </w:p>
              </w:tc>
              <w:tc>
                <w:tcPr>
                  <w:tcW w:w="1143" w:type="dxa"/>
                  <w:shd w:val="clear" w:color="auto" w:fill="auto"/>
                  <w:vAlign w:val="center"/>
                </w:tcPr>
                <w:p w14:paraId="240337AE">
                  <w:pPr>
                    <w:pStyle w:val="21"/>
                    <w:spacing w:line="240" w:lineRule="auto"/>
                    <w:ind w:firstLine="0" w:firstLineChars="0"/>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4.0m</w:t>
                  </w:r>
                </w:p>
              </w:tc>
            </w:tr>
            <w:tr w14:paraId="7DEE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continue"/>
                </w:tcPr>
                <w:p w14:paraId="2181955B">
                  <w:pPr>
                    <w:pStyle w:val="21"/>
                    <w:spacing w:line="240" w:lineRule="auto"/>
                    <w:ind w:firstLine="0" w:firstLineChars="0"/>
                    <w:rPr>
                      <w:rFonts w:hint="eastAsia" w:hAnsi="宋体" w:cs="宋体"/>
                      <w:color w:val="auto"/>
                      <w:kern w:val="0"/>
                      <w:sz w:val="21"/>
                      <w:szCs w:val="21"/>
                      <w:highlight w:val="none"/>
                    </w:rPr>
                  </w:pPr>
                </w:p>
              </w:tc>
              <w:tc>
                <w:tcPr>
                  <w:tcW w:w="0" w:type="auto"/>
                  <w:shd w:val="clear" w:color="auto" w:fill="auto"/>
                  <w:vAlign w:val="center"/>
                </w:tcPr>
                <w:p w14:paraId="4B9D823F">
                  <w:pPr>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石Y0+965处</w:t>
                  </w:r>
                </w:p>
              </w:tc>
              <w:tc>
                <w:tcPr>
                  <w:tcW w:w="0" w:type="auto"/>
                  <w:shd w:val="clear" w:color="auto" w:fill="auto"/>
                  <w:vAlign w:val="center"/>
                </w:tcPr>
                <w:p w14:paraId="7008E4FC">
                  <w:pPr>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石Y1+203北侧</w:t>
                  </w:r>
                </w:p>
              </w:tc>
              <w:tc>
                <w:tcPr>
                  <w:tcW w:w="0" w:type="auto"/>
                  <w:shd w:val="clear" w:color="auto" w:fill="auto"/>
                  <w:vAlign w:val="center"/>
                </w:tcPr>
                <w:p w14:paraId="6A53B9DF">
                  <w:pPr>
                    <w:pStyle w:val="28"/>
                    <w:ind w:firstLine="0" w:firstLineChars="0"/>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sz w:val="21"/>
                      <w:szCs w:val="21"/>
                      <w:highlight w:val="none"/>
                    </w:rPr>
                    <w:t xml:space="preserve">0.27 </w:t>
                  </w:r>
                  <w:r>
                    <w:rPr>
                      <w:rFonts w:hint="eastAsia"/>
                      <w:color w:val="auto"/>
                      <w:sz w:val="21"/>
                      <w:szCs w:val="21"/>
                      <w:highlight w:val="none"/>
                      <w:lang w:val="en-US" w:eastAsia="zh-CN"/>
                    </w:rPr>
                    <w:t>k</w:t>
                  </w:r>
                  <w:r>
                    <w:rPr>
                      <w:rFonts w:hint="eastAsia" w:cs="Times New Roman"/>
                      <w:color w:val="auto"/>
                      <w:sz w:val="21"/>
                      <w:szCs w:val="21"/>
                      <w:highlight w:val="none"/>
                      <w:lang w:val="en-US" w:eastAsia="zh-CN"/>
                    </w:rPr>
                    <w:t>m</w:t>
                  </w:r>
                </w:p>
              </w:tc>
              <w:tc>
                <w:tcPr>
                  <w:tcW w:w="1143" w:type="dxa"/>
                  <w:shd w:val="clear" w:color="auto" w:fill="auto"/>
                  <w:vAlign w:val="center"/>
                </w:tcPr>
                <w:p w14:paraId="228C4348">
                  <w:pPr>
                    <w:pStyle w:val="21"/>
                    <w:spacing w:line="240" w:lineRule="auto"/>
                    <w:ind w:firstLine="0" w:firstLineChars="0"/>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4.0m</w:t>
                  </w:r>
                </w:p>
              </w:tc>
            </w:tr>
            <w:tr w14:paraId="4651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Merge w:val="continue"/>
                </w:tcPr>
                <w:p w14:paraId="469BD4E3">
                  <w:pPr>
                    <w:pStyle w:val="21"/>
                    <w:spacing w:line="240" w:lineRule="auto"/>
                    <w:ind w:firstLine="0" w:firstLineChars="0"/>
                    <w:rPr>
                      <w:rFonts w:hint="eastAsia" w:hAnsi="宋体" w:cs="宋体"/>
                      <w:color w:val="auto"/>
                      <w:kern w:val="0"/>
                      <w:sz w:val="21"/>
                      <w:szCs w:val="21"/>
                      <w:highlight w:val="none"/>
                    </w:rPr>
                  </w:pPr>
                </w:p>
              </w:tc>
              <w:tc>
                <w:tcPr>
                  <w:tcW w:w="0" w:type="auto"/>
                  <w:shd w:val="clear" w:color="auto" w:fill="auto"/>
                  <w:vAlign w:val="center"/>
                </w:tcPr>
                <w:p w14:paraId="19E0F1B5">
                  <w:pPr>
                    <w:pStyle w:val="21"/>
                    <w:spacing w:line="240" w:lineRule="auto"/>
                    <w:ind w:firstLine="0" w:firstLineChars="0"/>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石Y1+260南侧</w:t>
                  </w:r>
                </w:p>
              </w:tc>
              <w:tc>
                <w:tcPr>
                  <w:tcW w:w="0" w:type="auto"/>
                  <w:shd w:val="clear" w:color="auto" w:fill="auto"/>
                  <w:vAlign w:val="center"/>
                </w:tcPr>
                <w:p w14:paraId="7563EFEA">
                  <w:pPr>
                    <w:pStyle w:val="21"/>
                    <w:spacing w:line="240" w:lineRule="auto"/>
                    <w:ind w:firstLine="0" w:firstLineChars="0"/>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石Y2+206</w:t>
                  </w:r>
                </w:p>
              </w:tc>
              <w:tc>
                <w:tcPr>
                  <w:tcW w:w="0" w:type="auto"/>
                  <w:shd w:val="clear" w:color="auto" w:fill="auto"/>
                  <w:vAlign w:val="center"/>
                </w:tcPr>
                <w:p w14:paraId="4DE08A6F">
                  <w:pPr>
                    <w:pStyle w:val="28"/>
                    <w:ind w:firstLine="0" w:firstLineChars="0"/>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sz w:val="21"/>
                      <w:szCs w:val="21"/>
                      <w:highlight w:val="none"/>
                    </w:rPr>
                    <w:t xml:space="preserve">0.91 </w:t>
                  </w:r>
                  <w:r>
                    <w:rPr>
                      <w:rFonts w:hint="eastAsia"/>
                      <w:color w:val="auto"/>
                      <w:sz w:val="21"/>
                      <w:szCs w:val="21"/>
                      <w:highlight w:val="none"/>
                      <w:lang w:val="en-US" w:eastAsia="zh-CN"/>
                    </w:rPr>
                    <w:t>k</w:t>
                  </w:r>
                  <w:r>
                    <w:rPr>
                      <w:rFonts w:hint="eastAsia" w:cs="Times New Roman"/>
                      <w:color w:val="auto"/>
                      <w:sz w:val="21"/>
                      <w:szCs w:val="21"/>
                      <w:highlight w:val="none"/>
                      <w:lang w:val="en-US" w:eastAsia="zh-CN"/>
                    </w:rPr>
                    <w:t>m</w:t>
                  </w:r>
                </w:p>
              </w:tc>
              <w:tc>
                <w:tcPr>
                  <w:tcW w:w="1143" w:type="dxa"/>
                  <w:shd w:val="clear" w:color="auto" w:fill="auto"/>
                  <w:vAlign w:val="center"/>
                </w:tcPr>
                <w:p w14:paraId="118FABE9">
                  <w:pPr>
                    <w:pStyle w:val="21"/>
                    <w:spacing w:line="240" w:lineRule="auto"/>
                    <w:ind w:firstLine="0" w:firstLineChars="0"/>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4.0m</w:t>
                  </w:r>
                </w:p>
              </w:tc>
            </w:tr>
            <w:tr w14:paraId="22E2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continue"/>
                </w:tcPr>
                <w:p w14:paraId="44771DEB">
                  <w:pPr>
                    <w:pStyle w:val="21"/>
                    <w:spacing w:line="240" w:lineRule="auto"/>
                    <w:ind w:firstLine="0" w:firstLineChars="0"/>
                    <w:rPr>
                      <w:rFonts w:hint="eastAsia" w:hAnsi="宋体" w:cs="宋体"/>
                      <w:color w:val="auto"/>
                      <w:kern w:val="0"/>
                      <w:sz w:val="21"/>
                      <w:szCs w:val="21"/>
                      <w:highlight w:val="none"/>
                    </w:rPr>
                  </w:pPr>
                </w:p>
              </w:tc>
              <w:tc>
                <w:tcPr>
                  <w:tcW w:w="4721" w:type="dxa"/>
                  <w:gridSpan w:val="2"/>
                  <w:shd w:val="clear" w:color="auto" w:fill="auto"/>
                  <w:vAlign w:val="center"/>
                </w:tcPr>
                <w:p w14:paraId="66955769">
                  <w:pPr>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合计</w:t>
                  </w:r>
                </w:p>
              </w:tc>
              <w:tc>
                <w:tcPr>
                  <w:tcW w:w="0" w:type="auto"/>
                  <w:shd w:val="clear" w:color="auto" w:fill="auto"/>
                  <w:vAlign w:val="center"/>
                </w:tcPr>
                <w:p w14:paraId="1885BEB2">
                  <w:pPr>
                    <w:pStyle w:val="28"/>
                    <w:ind w:firstLine="0" w:firstLineChars="0"/>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sz w:val="21"/>
                      <w:szCs w:val="21"/>
                      <w:highlight w:val="none"/>
                    </w:rPr>
                    <w:t xml:space="preserve">2.05 </w:t>
                  </w:r>
                  <w:r>
                    <w:rPr>
                      <w:rFonts w:hint="eastAsia"/>
                      <w:color w:val="auto"/>
                      <w:sz w:val="21"/>
                      <w:szCs w:val="21"/>
                      <w:highlight w:val="none"/>
                      <w:lang w:val="en-US" w:eastAsia="zh-CN"/>
                    </w:rPr>
                    <w:t>k</w:t>
                  </w:r>
                  <w:r>
                    <w:rPr>
                      <w:rFonts w:hint="eastAsia" w:cs="Times New Roman"/>
                      <w:color w:val="auto"/>
                      <w:sz w:val="21"/>
                      <w:szCs w:val="21"/>
                      <w:highlight w:val="none"/>
                      <w:lang w:val="en-US" w:eastAsia="zh-CN"/>
                    </w:rPr>
                    <w:t>m</w:t>
                  </w:r>
                </w:p>
              </w:tc>
              <w:tc>
                <w:tcPr>
                  <w:tcW w:w="1143" w:type="dxa"/>
                </w:tcPr>
                <w:p w14:paraId="429006CC">
                  <w:pPr>
                    <w:pStyle w:val="21"/>
                    <w:spacing w:line="240" w:lineRule="auto"/>
                    <w:ind w:firstLine="0" w:firstLineChars="0"/>
                    <w:rPr>
                      <w:rFonts w:hint="default" w:ascii="Times New Roman" w:hAnsi="Times New Roman" w:cs="Times New Roman"/>
                      <w:color w:val="auto"/>
                      <w:sz w:val="21"/>
                      <w:szCs w:val="21"/>
                      <w:highlight w:val="none"/>
                    </w:rPr>
                  </w:pPr>
                </w:p>
              </w:tc>
            </w:tr>
            <w:tr w14:paraId="7D9C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restart"/>
                  <w:shd w:val="clear" w:color="auto" w:fill="auto"/>
                  <w:vAlign w:val="center"/>
                </w:tcPr>
                <w:p w14:paraId="542277D0">
                  <w:pPr>
                    <w:pStyle w:val="21"/>
                    <w:spacing w:line="240" w:lineRule="auto"/>
                    <w:ind w:firstLine="0" w:firstLineChars="0"/>
                    <w:rPr>
                      <w:rFonts w:hint="eastAsia" w:ascii="Times New Roman" w:hAnsi="Times New Roman" w:eastAsia="宋体" w:cs="Times New Roman"/>
                      <w:snapToGrid w:val="0"/>
                      <w:color w:val="auto"/>
                      <w:sz w:val="21"/>
                      <w:szCs w:val="21"/>
                      <w:highlight w:val="none"/>
                      <w:lang w:val="en-US" w:eastAsia="zh-CN" w:bidi="ar-SA"/>
                    </w:rPr>
                  </w:pPr>
                  <w:r>
                    <w:rPr>
                      <w:rFonts w:hint="eastAsia" w:hAnsi="宋体" w:cs="宋体"/>
                      <w:color w:val="auto"/>
                      <w:kern w:val="0"/>
                      <w:sz w:val="21"/>
                      <w:szCs w:val="21"/>
                      <w:highlight w:val="none"/>
                      <w:lang w:eastAsia="zh-CN"/>
                    </w:rPr>
                    <w:t>双拱场段</w:t>
                  </w:r>
                  <w:r>
                    <w:rPr>
                      <w:rFonts w:hint="eastAsia" w:cs="Times New Roman"/>
                      <w:color w:val="auto"/>
                      <w:sz w:val="21"/>
                      <w:szCs w:val="21"/>
                      <w:highlight w:val="none"/>
                      <w:lang w:eastAsia="zh-CN"/>
                    </w:rPr>
                    <w:t>施工道路</w:t>
                  </w:r>
                </w:p>
              </w:tc>
              <w:tc>
                <w:tcPr>
                  <w:tcW w:w="0" w:type="auto"/>
                  <w:shd w:val="clear" w:color="auto" w:fill="auto"/>
                  <w:vAlign w:val="center"/>
                </w:tcPr>
                <w:p w14:paraId="76617AB5">
                  <w:pPr>
                    <w:pStyle w:val="21"/>
                    <w:spacing w:line="240" w:lineRule="auto"/>
                    <w:ind w:firstLine="0" w:firstLineChars="0"/>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双Z0+000南侧</w:t>
                  </w:r>
                </w:p>
              </w:tc>
              <w:tc>
                <w:tcPr>
                  <w:tcW w:w="0" w:type="auto"/>
                  <w:shd w:val="clear" w:color="auto" w:fill="auto"/>
                  <w:vAlign w:val="center"/>
                </w:tcPr>
                <w:p w14:paraId="0688BBA9">
                  <w:pPr>
                    <w:pStyle w:val="21"/>
                    <w:spacing w:line="240" w:lineRule="auto"/>
                    <w:ind w:firstLine="0" w:firstLineChars="0"/>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双Z0+393处</w:t>
                  </w:r>
                </w:p>
              </w:tc>
              <w:tc>
                <w:tcPr>
                  <w:tcW w:w="0" w:type="auto"/>
                  <w:shd w:val="clear" w:color="auto" w:fill="auto"/>
                  <w:vAlign w:val="center"/>
                </w:tcPr>
                <w:p w14:paraId="7EF73682">
                  <w:pPr>
                    <w:pStyle w:val="28"/>
                    <w:ind w:firstLine="0" w:firstLineChars="0"/>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sz w:val="21"/>
                      <w:szCs w:val="21"/>
                      <w:highlight w:val="none"/>
                    </w:rPr>
                    <w:t xml:space="preserve">0.43 </w:t>
                  </w:r>
                  <w:r>
                    <w:rPr>
                      <w:rFonts w:hint="eastAsia"/>
                      <w:color w:val="auto"/>
                      <w:sz w:val="21"/>
                      <w:szCs w:val="21"/>
                      <w:highlight w:val="none"/>
                      <w:lang w:val="en-US" w:eastAsia="zh-CN"/>
                    </w:rPr>
                    <w:t>k</w:t>
                  </w:r>
                  <w:r>
                    <w:rPr>
                      <w:rFonts w:hint="eastAsia" w:cs="Times New Roman"/>
                      <w:color w:val="auto"/>
                      <w:sz w:val="21"/>
                      <w:szCs w:val="21"/>
                      <w:highlight w:val="none"/>
                      <w:lang w:val="en-US" w:eastAsia="zh-CN"/>
                    </w:rPr>
                    <w:t>m</w:t>
                  </w:r>
                </w:p>
              </w:tc>
              <w:tc>
                <w:tcPr>
                  <w:tcW w:w="1143" w:type="dxa"/>
                  <w:shd w:val="clear" w:color="auto" w:fill="auto"/>
                  <w:vAlign w:val="center"/>
                </w:tcPr>
                <w:p w14:paraId="5C88DAEE">
                  <w:pPr>
                    <w:pStyle w:val="21"/>
                    <w:spacing w:line="240" w:lineRule="auto"/>
                    <w:ind w:firstLine="0" w:firstLineChars="0"/>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4.0m</w:t>
                  </w:r>
                </w:p>
              </w:tc>
            </w:tr>
            <w:tr w14:paraId="27D0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continue"/>
                </w:tcPr>
                <w:p w14:paraId="08E7436B">
                  <w:pPr>
                    <w:pStyle w:val="21"/>
                    <w:spacing w:line="240" w:lineRule="auto"/>
                    <w:ind w:firstLine="0" w:firstLineChars="0"/>
                    <w:rPr>
                      <w:rFonts w:hint="eastAsia" w:hAnsi="宋体" w:cs="宋体"/>
                      <w:color w:val="auto"/>
                      <w:kern w:val="0"/>
                      <w:sz w:val="21"/>
                      <w:szCs w:val="21"/>
                      <w:highlight w:val="none"/>
                    </w:rPr>
                  </w:pPr>
                </w:p>
              </w:tc>
              <w:tc>
                <w:tcPr>
                  <w:tcW w:w="0" w:type="auto"/>
                  <w:shd w:val="clear" w:color="auto" w:fill="auto"/>
                  <w:vAlign w:val="center"/>
                </w:tcPr>
                <w:p w14:paraId="6090FDC6">
                  <w:pPr>
                    <w:pStyle w:val="21"/>
                    <w:spacing w:line="240" w:lineRule="auto"/>
                    <w:ind w:firstLine="0" w:firstLineChars="0"/>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双Y0+123处</w:t>
                  </w:r>
                </w:p>
              </w:tc>
              <w:tc>
                <w:tcPr>
                  <w:tcW w:w="0" w:type="auto"/>
                  <w:shd w:val="clear" w:color="auto" w:fill="auto"/>
                  <w:vAlign w:val="center"/>
                </w:tcPr>
                <w:p w14:paraId="278BD6D5">
                  <w:pPr>
                    <w:pStyle w:val="21"/>
                    <w:spacing w:line="240" w:lineRule="auto"/>
                    <w:ind w:firstLine="0" w:firstLineChars="0"/>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双Y0+446南侧</w:t>
                  </w:r>
                </w:p>
              </w:tc>
              <w:tc>
                <w:tcPr>
                  <w:tcW w:w="0" w:type="auto"/>
                  <w:shd w:val="clear" w:color="auto" w:fill="auto"/>
                  <w:vAlign w:val="center"/>
                </w:tcPr>
                <w:p w14:paraId="0E55CF2C">
                  <w:pPr>
                    <w:pStyle w:val="28"/>
                    <w:ind w:firstLine="0" w:firstLineChars="0"/>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sz w:val="21"/>
                      <w:szCs w:val="21"/>
                      <w:highlight w:val="none"/>
                    </w:rPr>
                    <w:t xml:space="preserve">0.31 </w:t>
                  </w:r>
                  <w:r>
                    <w:rPr>
                      <w:rFonts w:hint="eastAsia"/>
                      <w:color w:val="auto"/>
                      <w:sz w:val="21"/>
                      <w:szCs w:val="21"/>
                      <w:highlight w:val="none"/>
                      <w:lang w:val="en-US" w:eastAsia="zh-CN"/>
                    </w:rPr>
                    <w:t>k</w:t>
                  </w:r>
                  <w:r>
                    <w:rPr>
                      <w:rFonts w:hint="eastAsia" w:cs="Times New Roman"/>
                      <w:color w:val="auto"/>
                      <w:sz w:val="21"/>
                      <w:szCs w:val="21"/>
                      <w:highlight w:val="none"/>
                      <w:lang w:val="en-US" w:eastAsia="zh-CN"/>
                    </w:rPr>
                    <w:t>m</w:t>
                  </w:r>
                </w:p>
              </w:tc>
              <w:tc>
                <w:tcPr>
                  <w:tcW w:w="1143" w:type="dxa"/>
                  <w:shd w:val="clear" w:color="auto" w:fill="auto"/>
                  <w:vAlign w:val="center"/>
                </w:tcPr>
                <w:p w14:paraId="1CFEB432">
                  <w:pPr>
                    <w:pStyle w:val="21"/>
                    <w:spacing w:line="240" w:lineRule="auto"/>
                    <w:ind w:firstLine="0" w:firstLineChars="0"/>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4.0m</w:t>
                  </w:r>
                </w:p>
              </w:tc>
            </w:tr>
            <w:tr w14:paraId="04D17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continue"/>
                </w:tcPr>
                <w:p w14:paraId="315BA78C">
                  <w:pPr>
                    <w:pStyle w:val="21"/>
                    <w:spacing w:line="240" w:lineRule="auto"/>
                    <w:ind w:firstLine="0" w:firstLineChars="0"/>
                    <w:rPr>
                      <w:rFonts w:hint="eastAsia" w:hAnsi="宋体" w:cs="宋体"/>
                      <w:color w:val="auto"/>
                      <w:kern w:val="0"/>
                      <w:sz w:val="21"/>
                      <w:szCs w:val="21"/>
                      <w:highlight w:val="none"/>
                    </w:rPr>
                  </w:pPr>
                </w:p>
              </w:tc>
              <w:tc>
                <w:tcPr>
                  <w:tcW w:w="0" w:type="auto"/>
                  <w:shd w:val="clear" w:color="auto" w:fill="auto"/>
                  <w:vAlign w:val="center"/>
                </w:tcPr>
                <w:p w14:paraId="5D25E16E">
                  <w:pPr>
                    <w:pStyle w:val="21"/>
                    <w:spacing w:line="240" w:lineRule="auto"/>
                    <w:ind w:firstLine="0" w:firstLineChars="0"/>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双Y0+712东南侧</w:t>
                  </w:r>
                </w:p>
              </w:tc>
              <w:tc>
                <w:tcPr>
                  <w:tcW w:w="0" w:type="auto"/>
                  <w:shd w:val="clear" w:color="auto" w:fill="auto"/>
                  <w:vAlign w:val="center"/>
                </w:tcPr>
                <w:p w14:paraId="3F340F77">
                  <w:pPr>
                    <w:pStyle w:val="21"/>
                    <w:spacing w:line="240" w:lineRule="auto"/>
                    <w:ind w:firstLine="0" w:firstLineChars="0"/>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双Y1+238南侧</w:t>
                  </w:r>
                </w:p>
              </w:tc>
              <w:tc>
                <w:tcPr>
                  <w:tcW w:w="0" w:type="auto"/>
                  <w:shd w:val="clear" w:color="auto" w:fill="auto"/>
                  <w:vAlign w:val="center"/>
                </w:tcPr>
                <w:p w14:paraId="086A35A4">
                  <w:pPr>
                    <w:pStyle w:val="28"/>
                    <w:ind w:firstLine="0" w:firstLineChars="0"/>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sz w:val="21"/>
                      <w:szCs w:val="21"/>
                      <w:highlight w:val="none"/>
                    </w:rPr>
                    <w:t xml:space="preserve">0.54 </w:t>
                  </w:r>
                  <w:r>
                    <w:rPr>
                      <w:rFonts w:hint="eastAsia"/>
                      <w:color w:val="auto"/>
                      <w:sz w:val="21"/>
                      <w:szCs w:val="21"/>
                      <w:highlight w:val="none"/>
                      <w:lang w:val="en-US" w:eastAsia="zh-CN"/>
                    </w:rPr>
                    <w:t>k</w:t>
                  </w:r>
                  <w:r>
                    <w:rPr>
                      <w:rFonts w:hint="eastAsia" w:cs="Times New Roman"/>
                      <w:color w:val="auto"/>
                      <w:sz w:val="21"/>
                      <w:szCs w:val="21"/>
                      <w:highlight w:val="none"/>
                      <w:lang w:val="en-US" w:eastAsia="zh-CN"/>
                    </w:rPr>
                    <w:t>m</w:t>
                  </w:r>
                </w:p>
              </w:tc>
              <w:tc>
                <w:tcPr>
                  <w:tcW w:w="1143" w:type="dxa"/>
                  <w:shd w:val="clear" w:color="auto" w:fill="auto"/>
                  <w:vAlign w:val="center"/>
                </w:tcPr>
                <w:p w14:paraId="0B1CF75C">
                  <w:pPr>
                    <w:pStyle w:val="21"/>
                    <w:spacing w:line="240" w:lineRule="auto"/>
                    <w:ind w:firstLine="0" w:firstLineChars="0"/>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4.0m</w:t>
                  </w:r>
                </w:p>
              </w:tc>
            </w:tr>
            <w:tr w14:paraId="3AC4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09" w:type="dxa"/>
                  <w:vMerge w:val="continue"/>
                </w:tcPr>
                <w:p w14:paraId="5811D6CB">
                  <w:pPr>
                    <w:pStyle w:val="21"/>
                    <w:spacing w:line="240" w:lineRule="auto"/>
                    <w:ind w:firstLine="0" w:firstLineChars="0"/>
                    <w:rPr>
                      <w:rFonts w:hint="eastAsia" w:hAnsi="宋体" w:cs="宋体"/>
                      <w:color w:val="auto"/>
                      <w:kern w:val="0"/>
                      <w:sz w:val="21"/>
                      <w:szCs w:val="21"/>
                      <w:highlight w:val="none"/>
                    </w:rPr>
                  </w:pPr>
                </w:p>
              </w:tc>
              <w:tc>
                <w:tcPr>
                  <w:tcW w:w="4721" w:type="dxa"/>
                  <w:gridSpan w:val="2"/>
                  <w:shd w:val="clear" w:color="auto" w:fill="auto"/>
                  <w:vAlign w:val="center"/>
                </w:tcPr>
                <w:p w14:paraId="7A821334">
                  <w:pPr>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合计</w:t>
                  </w:r>
                </w:p>
              </w:tc>
              <w:tc>
                <w:tcPr>
                  <w:tcW w:w="0" w:type="auto"/>
                  <w:shd w:val="clear" w:color="auto" w:fill="auto"/>
                  <w:vAlign w:val="center"/>
                </w:tcPr>
                <w:p w14:paraId="40A7A6F5">
                  <w:pPr>
                    <w:pStyle w:val="28"/>
                    <w:ind w:firstLine="0" w:firstLineChars="0"/>
                    <w:rPr>
                      <w:rFonts w:hint="eastAsia" w:ascii="Times New Roman" w:hAnsi="Times New Roman" w:eastAsia="宋体" w:cs="Times New Roman"/>
                      <w:snapToGrid w:val="0"/>
                      <w:color w:val="auto"/>
                      <w:kern w:val="0"/>
                      <w:sz w:val="21"/>
                      <w:szCs w:val="21"/>
                      <w:highlight w:val="none"/>
                      <w:lang w:val="en-US" w:eastAsia="zh-CN" w:bidi="ar-SA"/>
                    </w:rPr>
                  </w:pPr>
                  <w:r>
                    <w:rPr>
                      <w:rFonts w:hint="eastAsia"/>
                      <w:color w:val="auto"/>
                      <w:sz w:val="21"/>
                      <w:szCs w:val="21"/>
                      <w:highlight w:val="none"/>
                    </w:rPr>
                    <w:t xml:space="preserve">1.28 </w:t>
                  </w:r>
                  <w:r>
                    <w:rPr>
                      <w:rFonts w:hint="eastAsia"/>
                      <w:color w:val="auto"/>
                      <w:sz w:val="21"/>
                      <w:szCs w:val="21"/>
                      <w:highlight w:val="none"/>
                      <w:lang w:val="en-US" w:eastAsia="zh-CN"/>
                    </w:rPr>
                    <w:t>k</w:t>
                  </w:r>
                  <w:r>
                    <w:rPr>
                      <w:rFonts w:hint="eastAsia" w:cs="Times New Roman"/>
                      <w:color w:val="auto"/>
                      <w:sz w:val="21"/>
                      <w:szCs w:val="21"/>
                      <w:highlight w:val="none"/>
                      <w:lang w:val="en-US" w:eastAsia="zh-CN"/>
                    </w:rPr>
                    <w:t>m</w:t>
                  </w:r>
                </w:p>
              </w:tc>
              <w:tc>
                <w:tcPr>
                  <w:tcW w:w="1143" w:type="dxa"/>
                </w:tcPr>
                <w:p w14:paraId="299594A5">
                  <w:pPr>
                    <w:pStyle w:val="21"/>
                    <w:spacing w:line="240" w:lineRule="auto"/>
                    <w:ind w:firstLine="0" w:firstLineChars="0"/>
                    <w:rPr>
                      <w:rFonts w:hint="default" w:ascii="Times New Roman" w:hAnsi="Times New Roman" w:cs="Times New Roman"/>
                      <w:color w:val="auto"/>
                      <w:sz w:val="21"/>
                      <w:szCs w:val="21"/>
                      <w:highlight w:val="none"/>
                    </w:rPr>
                  </w:pPr>
                </w:p>
              </w:tc>
            </w:tr>
          </w:tbl>
          <w:p w14:paraId="186DBD2C">
            <w:pPr>
              <w:ind w:firstLine="480"/>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（3）施工场</w:t>
            </w:r>
            <w:r>
              <w:rPr>
                <w:rFonts w:hint="default" w:ascii="Times New Roman" w:hAnsi="Times New Roman" w:cs="Times New Roman"/>
                <w:b/>
                <w:bCs/>
                <w:color w:val="auto"/>
                <w:highlight w:val="none"/>
                <w:lang w:val="en-US" w:eastAsia="zh-CN"/>
              </w:rPr>
              <w:t>地</w:t>
            </w:r>
            <w:r>
              <w:rPr>
                <w:rFonts w:hint="default" w:ascii="Times New Roman" w:hAnsi="Times New Roman" w:cs="Times New Roman"/>
                <w:b/>
                <w:bCs/>
                <w:color w:val="auto"/>
                <w:highlight w:val="none"/>
              </w:rPr>
              <w:t>区</w:t>
            </w:r>
          </w:p>
          <w:p w14:paraId="2B96C2A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①施工营地</w:t>
            </w:r>
          </w:p>
          <w:p w14:paraId="7539BF82">
            <w:pPr>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租用</w:t>
            </w:r>
            <w:r>
              <w:rPr>
                <w:rFonts w:hint="default" w:ascii="Times New Roman" w:hAnsi="Times New Roman" w:cs="Times New Roman"/>
                <w:color w:val="auto"/>
                <w:szCs w:val="24"/>
                <w:highlight w:val="none"/>
                <w:lang w:eastAsia="zh-CN"/>
              </w:rPr>
              <w:t>石河镇</w:t>
            </w:r>
            <w:r>
              <w:rPr>
                <w:rFonts w:hint="default" w:ascii="Times New Roman" w:hAnsi="Times New Roman" w:cs="Times New Roman"/>
                <w:color w:val="auto"/>
                <w:szCs w:val="24"/>
                <w:highlight w:val="none"/>
              </w:rPr>
              <w:t>民房作为施工营地，不单独设置。</w:t>
            </w:r>
          </w:p>
          <w:p w14:paraId="676CDB06">
            <w:pPr>
              <w:keepNext w:val="0"/>
              <w:keepLines w:val="0"/>
              <w:pageBreakBefore w:val="0"/>
              <w:widowControl w:val="0"/>
              <w:kinsoku/>
              <w:wordWrap/>
              <w:overflowPunct/>
              <w:topLinePunct w:val="0"/>
              <w:autoSpaceDE/>
              <w:autoSpaceDN/>
              <w:bidi w:val="0"/>
              <w:adjustRightInd/>
              <w:snapToGrid/>
              <w:ind w:firstLineChars="200"/>
              <w:jc w:val="both"/>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②</w:t>
            </w:r>
            <w:r>
              <w:rPr>
                <w:rFonts w:hint="eastAsia" w:cs="Times New Roman"/>
                <w:color w:val="auto"/>
                <w:sz w:val="24"/>
                <w:szCs w:val="24"/>
                <w:highlight w:val="none"/>
                <w:lang w:eastAsia="zh-CN"/>
              </w:rPr>
              <w:t>施工场地</w:t>
            </w:r>
          </w:p>
          <w:p w14:paraId="1A0508DD">
            <w:pPr>
              <w:keepNext w:val="0"/>
              <w:keepLines w:val="0"/>
              <w:pageBreakBefore w:val="0"/>
              <w:widowControl w:val="0"/>
              <w:kinsoku/>
              <w:wordWrap/>
              <w:overflowPunct/>
              <w:topLinePunct w:val="0"/>
              <w:autoSpaceDE/>
              <w:autoSpaceDN/>
              <w:bidi w:val="0"/>
              <w:adjustRightInd/>
              <w:snapToGrid/>
              <w:ind w:firstLineChars="200"/>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石河镇2个防洪治理工程共用1</w:t>
            </w:r>
            <w:r>
              <w:rPr>
                <w:rFonts w:hint="default" w:ascii="Times New Roman" w:hAnsi="Times New Roman" w:cs="Times New Roman"/>
                <w:color w:val="auto"/>
                <w:sz w:val="24"/>
                <w:szCs w:val="24"/>
                <w:highlight w:val="none"/>
              </w:rPr>
              <w:t>个</w:t>
            </w:r>
            <w:r>
              <w:rPr>
                <w:rFonts w:hint="eastAsia" w:cs="Times New Roman"/>
                <w:color w:val="auto"/>
                <w:sz w:val="24"/>
                <w:szCs w:val="24"/>
                <w:highlight w:val="none"/>
                <w:lang w:eastAsia="zh-CN"/>
              </w:rPr>
              <w:t>施工场地</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施工场地</w:t>
            </w:r>
            <w:r>
              <w:rPr>
                <w:rFonts w:hint="default" w:ascii="Times New Roman" w:hAnsi="Times New Roman" w:cs="Times New Roman"/>
                <w:color w:val="auto"/>
                <w:sz w:val="24"/>
                <w:szCs w:val="24"/>
                <w:highlight w:val="none"/>
                <w:lang w:val="en-US" w:eastAsia="zh-CN"/>
              </w:rPr>
              <w:t>设置在</w:t>
            </w:r>
            <w:r>
              <w:rPr>
                <w:rFonts w:hint="eastAsia" w:cs="Times New Roman"/>
                <w:color w:val="auto"/>
                <w:sz w:val="24"/>
                <w:szCs w:val="24"/>
                <w:highlight w:val="none"/>
                <w:lang w:val="en-US" w:eastAsia="zh-CN"/>
              </w:rPr>
              <w:t>石河镇玉子铺村</w:t>
            </w:r>
            <w:r>
              <w:rPr>
                <w:rFonts w:hint="default" w:ascii="Times New Roman" w:hAnsi="Times New Roman" w:cs="Times New Roman"/>
                <w:color w:val="auto"/>
                <w:sz w:val="24"/>
                <w:szCs w:val="24"/>
                <w:highlight w:val="none"/>
              </w:rPr>
              <w:t>，临时占地面积</w:t>
            </w:r>
            <w:r>
              <w:rPr>
                <w:rFonts w:hint="eastAsia" w:ascii="Times New Roman" w:hAnsi="Times New Roman" w:cs="Times New Roman"/>
                <w:color w:val="auto"/>
                <w:sz w:val="24"/>
                <w:szCs w:val="24"/>
                <w:highlight w:val="none"/>
                <w:lang w:eastAsia="zh-CN"/>
              </w:rPr>
              <w:t>约</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00</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rPr>
              <w:t>2</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布置临时</w:t>
            </w:r>
            <w:r>
              <w:rPr>
                <w:rFonts w:hint="default" w:ascii="Times New Roman" w:hAnsi="Times New Roman" w:cs="Times New Roman"/>
                <w:color w:val="auto"/>
                <w:sz w:val="24"/>
                <w:szCs w:val="24"/>
                <w:highlight w:val="none"/>
              </w:rPr>
              <w:t>堆料场</w:t>
            </w:r>
            <w:r>
              <w:rPr>
                <w:rFonts w:hint="default" w:ascii="Times New Roman" w:hAnsi="Times New Roman" w:cs="Times New Roman"/>
                <w:color w:val="auto"/>
                <w:sz w:val="24"/>
                <w:szCs w:val="24"/>
                <w:highlight w:val="none"/>
                <w:lang w:eastAsia="zh-CN"/>
              </w:rPr>
              <w:t>（</w:t>
            </w:r>
            <w:r>
              <w:rPr>
                <w:rFonts w:hint="eastAsia"/>
                <w:color w:val="auto"/>
                <w:sz w:val="24"/>
                <w:szCs w:val="24"/>
                <w:highlight w:val="none"/>
                <w:lang w:val="en-US" w:eastAsia="zh-CN"/>
              </w:rPr>
              <w:t>场内分别设置</w:t>
            </w:r>
            <w:r>
              <w:rPr>
                <w:rFonts w:hint="default" w:ascii="Times New Roman" w:hAnsi="Times New Roman" w:cs="Times New Roman"/>
                <w:color w:val="auto"/>
                <w:sz w:val="24"/>
                <w:szCs w:val="24"/>
                <w:highlight w:val="none"/>
              </w:rPr>
              <w:t>水泥、砂石</w:t>
            </w:r>
            <w:r>
              <w:rPr>
                <w:rFonts w:hint="eastAsia"/>
                <w:color w:val="auto"/>
                <w:sz w:val="24"/>
                <w:szCs w:val="24"/>
                <w:highlight w:val="none"/>
                <w:lang w:val="en-US" w:eastAsia="zh-CN"/>
              </w:rPr>
              <w:t>、表土等堆场，共</w:t>
            </w:r>
            <w:r>
              <w:rPr>
                <w:rFonts w:hint="eastAsia"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rPr>
              <w:t>00m</w:t>
            </w:r>
            <w:r>
              <w:rPr>
                <w:rFonts w:hint="default" w:ascii="Times New Roman" w:hAnsi="Times New Roman" w:cs="Times New Roman"/>
                <w:b w:val="0"/>
                <w:bCs w:val="0"/>
                <w:color w:val="auto"/>
                <w:sz w:val="24"/>
                <w:szCs w:val="24"/>
                <w:highlight w:val="none"/>
                <w:vertAlign w:val="superscript"/>
              </w:rPr>
              <w:t>2</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拌和站（100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lang w:val="en-US" w:eastAsia="zh-CN"/>
              </w:rPr>
              <w:t>）、钢筋加工场（100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施工机械停放场</w:t>
            </w:r>
            <w:r>
              <w:rPr>
                <w:rFonts w:hint="default" w:ascii="Times New Roman" w:hAnsi="Times New Roman" w:cs="Times New Roman"/>
                <w:color w:val="auto"/>
                <w:sz w:val="24"/>
                <w:szCs w:val="24"/>
                <w:highlight w:val="none"/>
                <w:vertAlign w:val="baseline"/>
                <w:lang w:val="en-US" w:eastAsia="zh-CN"/>
              </w:rPr>
              <w:t>（</w:t>
            </w:r>
            <w:r>
              <w:rPr>
                <w:rFonts w:hint="eastAsia" w:cs="Times New Roman"/>
                <w:color w:val="auto"/>
                <w:sz w:val="24"/>
                <w:szCs w:val="24"/>
                <w:highlight w:val="none"/>
                <w:vertAlign w:val="baseline"/>
                <w:lang w:val="en-US" w:eastAsia="zh-CN"/>
              </w:rPr>
              <w:t>1</w:t>
            </w:r>
            <w:r>
              <w:rPr>
                <w:rFonts w:hint="default" w:ascii="Times New Roman" w:hAnsi="Times New Roman" w:cs="Times New Roman"/>
                <w:color w:val="auto"/>
                <w:sz w:val="24"/>
                <w:szCs w:val="24"/>
                <w:highlight w:val="none"/>
                <w:vertAlign w:val="baseline"/>
                <w:lang w:val="en-US" w:eastAsia="zh-CN"/>
              </w:rPr>
              <w:t>00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石河镇2个防洪治理工程</w:t>
            </w:r>
            <w:r>
              <w:rPr>
                <w:rFonts w:hint="default" w:ascii="Times New Roman" w:hAnsi="Times New Roman" w:cs="Times New Roman"/>
                <w:color w:val="auto"/>
                <w:sz w:val="24"/>
                <w:szCs w:val="24"/>
                <w:highlight w:val="none"/>
              </w:rPr>
              <w:t>所需</w:t>
            </w:r>
            <w:r>
              <w:rPr>
                <w:rFonts w:hint="eastAsia"/>
                <w:color w:val="auto"/>
                <w:sz w:val="24"/>
                <w:szCs w:val="24"/>
                <w:highlight w:val="none"/>
              </w:rPr>
              <w:t>混凝土用粗、细骨料和大块石均</w:t>
            </w:r>
            <w:r>
              <w:rPr>
                <w:rFonts w:hint="default" w:ascii="Times New Roman" w:hAnsi="Times New Roman" w:cs="Times New Roman"/>
                <w:color w:val="auto"/>
                <w:sz w:val="24"/>
                <w:szCs w:val="24"/>
                <w:highlight w:val="none"/>
              </w:rPr>
              <w:t>采用购买方式获得，因而工区内不再设砂石料加工系统。</w:t>
            </w:r>
            <w:r>
              <w:rPr>
                <w:rFonts w:hint="eastAsia" w:cs="Times New Roman"/>
                <w:color w:val="auto"/>
                <w:sz w:val="24"/>
                <w:szCs w:val="24"/>
                <w:highlight w:val="none"/>
                <w:lang w:val="en-US" w:eastAsia="zh-CN"/>
              </w:rPr>
              <w:t>石河镇2个防洪治理工程</w:t>
            </w:r>
            <w:r>
              <w:rPr>
                <w:color w:val="auto"/>
                <w:sz w:val="24"/>
                <w:szCs w:val="24"/>
                <w:highlight w:val="none"/>
              </w:rPr>
              <w:t>砼浇筑模板以组合钢模板为主，因此工程区不设木材加工房，少量的木材加工依托</w:t>
            </w:r>
            <w:r>
              <w:rPr>
                <w:rFonts w:hint="eastAsia"/>
                <w:color w:val="auto"/>
                <w:sz w:val="24"/>
                <w:szCs w:val="24"/>
                <w:highlight w:val="none"/>
                <w:lang w:val="en-US" w:eastAsia="zh-CN"/>
              </w:rPr>
              <w:t>附近场镇</w:t>
            </w:r>
            <w:r>
              <w:rPr>
                <w:color w:val="auto"/>
                <w:sz w:val="24"/>
                <w:szCs w:val="24"/>
                <w:highlight w:val="none"/>
              </w:rPr>
              <w:t>的加工能力</w:t>
            </w:r>
            <w:r>
              <w:rPr>
                <w:rFonts w:hint="eastAsia"/>
                <w:color w:val="auto"/>
                <w:sz w:val="24"/>
                <w:szCs w:val="24"/>
                <w:highlight w:val="none"/>
                <w:lang w:eastAsia="zh-CN"/>
              </w:rPr>
              <w:t>。</w:t>
            </w:r>
            <w:r>
              <w:rPr>
                <w:rFonts w:hint="eastAsia"/>
                <w:color w:val="auto"/>
                <w:sz w:val="24"/>
                <w:szCs w:val="24"/>
                <w:highlight w:val="none"/>
              </w:rPr>
              <w:t>施工机械设备及零配件的大、小维修、机械修配和汽车保养能在大竹县内得以解决，</w:t>
            </w:r>
            <w:r>
              <w:rPr>
                <w:color w:val="auto"/>
                <w:sz w:val="24"/>
                <w:szCs w:val="24"/>
                <w:highlight w:val="none"/>
              </w:rPr>
              <w:t>故只在</w:t>
            </w:r>
            <w:r>
              <w:rPr>
                <w:rFonts w:hint="eastAsia"/>
                <w:color w:val="auto"/>
                <w:sz w:val="24"/>
                <w:szCs w:val="24"/>
                <w:highlight w:val="none"/>
                <w:lang w:eastAsia="zh-CN"/>
              </w:rPr>
              <w:t>施工场地</w:t>
            </w:r>
            <w:r>
              <w:rPr>
                <w:color w:val="auto"/>
                <w:sz w:val="24"/>
                <w:szCs w:val="24"/>
                <w:highlight w:val="none"/>
              </w:rPr>
              <w:t>设</w:t>
            </w:r>
            <w:r>
              <w:rPr>
                <w:rFonts w:hint="eastAsia"/>
                <w:color w:val="auto"/>
                <w:sz w:val="24"/>
                <w:szCs w:val="24"/>
                <w:highlight w:val="none"/>
                <w:lang w:val="en-US" w:eastAsia="zh-CN"/>
              </w:rPr>
              <w:t>1处</w:t>
            </w:r>
            <w:r>
              <w:rPr>
                <w:color w:val="auto"/>
                <w:sz w:val="24"/>
                <w:szCs w:val="24"/>
                <w:highlight w:val="none"/>
              </w:rPr>
              <w:t>机械停放场</w:t>
            </w:r>
            <w:r>
              <w:rPr>
                <w:rFonts w:hint="eastAsia"/>
                <w:color w:val="auto"/>
                <w:sz w:val="24"/>
                <w:szCs w:val="24"/>
                <w:highlight w:val="none"/>
                <w:lang w:eastAsia="zh-CN"/>
              </w:rPr>
              <w:t>。</w:t>
            </w:r>
            <w:r>
              <w:rPr>
                <w:rFonts w:hint="eastAsia"/>
                <w:color w:val="auto"/>
                <w:sz w:val="24"/>
                <w:szCs w:val="24"/>
                <w:highlight w:val="none"/>
                <w:lang w:val="en-US" w:eastAsia="zh-CN"/>
              </w:rPr>
              <w:t>二郎段距离施工场地的平均综合运距</w:t>
            </w:r>
            <w:r>
              <w:rPr>
                <w:rFonts w:hint="eastAsia" w:ascii="Times New Roman" w:hAnsi="Times New Roman" w:eastAsia="宋体" w:cs="Times New Roman"/>
                <w:b w:val="0"/>
                <w:bCs w:val="0"/>
                <w:snapToGrid w:val="0"/>
                <w:color w:val="auto"/>
                <w:sz w:val="24"/>
                <w:szCs w:val="24"/>
                <w:highlight w:val="none"/>
                <w:lang w:val="en-US" w:eastAsia="zh-CN" w:bidi="ar-SA"/>
              </w:rPr>
              <w:t>约</w:t>
            </w:r>
            <w:r>
              <w:rPr>
                <w:rFonts w:hint="eastAsia" w:cs="Times New Roman"/>
                <w:b w:val="0"/>
                <w:bCs w:val="0"/>
                <w:snapToGrid w:val="0"/>
                <w:color w:val="auto"/>
                <w:sz w:val="24"/>
                <w:szCs w:val="24"/>
                <w:highlight w:val="none"/>
                <w:lang w:val="en-US" w:eastAsia="zh-CN" w:bidi="ar-SA"/>
              </w:rPr>
              <w:t>8</w:t>
            </w:r>
            <w:r>
              <w:rPr>
                <w:rFonts w:hint="eastAsia" w:ascii="Times New Roman" w:hAnsi="Times New Roman" w:eastAsia="宋体" w:cs="Times New Roman"/>
                <w:b w:val="0"/>
                <w:bCs w:val="0"/>
                <w:snapToGrid w:val="0"/>
                <w:color w:val="auto"/>
                <w:sz w:val="24"/>
                <w:szCs w:val="24"/>
                <w:highlight w:val="none"/>
                <w:lang w:val="en-US" w:eastAsia="zh-CN" w:bidi="ar-SA"/>
              </w:rPr>
              <w:t>km</w:t>
            </w:r>
            <w:r>
              <w:rPr>
                <w:rFonts w:hint="eastAsia" w:cs="Times New Roman"/>
                <w:b w:val="0"/>
                <w:bCs w:val="0"/>
                <w:snapToGrid w:val="0"/>
                <w:color w:val="auto"/>
                <w:sz w:val="24"/>
                <w:szCs w:val="24"/>
                <w:highlight w:val="none"/>
                <w:lang w:val="en-US" w:eastAsia="zh-CN" w:bidi="ar-SA"/>
              </w:rPr>
              <w:t>，福兴段</w:t>
            </w:r>
            <w:r>
              <w:rPr>
                <w:rFonts w:hint="eastAsia"/>
                <w:color w:val="auto"/>
                <w:sz w:val="24"/>
                <w:szCs w:val="24"/>
                <w:highlight w:val="none"/>
                <w:lang w:val="en-US" w:eastAsia="zh-CN"/>
              </w:rPr>
              <w:t>距离施工场地的平均综合运距</w:t>
            </w:r>
            <w:r>
              <w:rPr>
                <w:rFonts w:hint="eastAsia" w:ascii="Times New Roman" w:hAnsi="Times New Roman" w:eastAsia="宋体" w:cs="Times New Roman"/>
                <w:b w:val="0"/>
                <w:bCs w:val="0"/>
                <w:snapToGrid w:val="0"/>
                <w:color w:val="auto"/>
                <w:sz w:val="24"/>
                <w:szCs w:val="24"/>
                <w:highlight w:val="none"/>
                <w:lang w:val="en-US" w:eastAsia="zh-CN" w:bidi="ar-SA"/>
              </w:rPr>
              <w:t>约</w:t>
            </w:r>
            <w:r>
              <w:rPr>
                <w:rFonts w:hint="eastAsia" w:cs="Times New Roman"/>
                <w:b w:val="0"/>
                <w:bCs w:val="0"/>
                <w:snapToGrid w:val="0"/>
                <w:color w:val="auto"/>
                <w:sz w:val="24"/>
                <w:szCs w:val="24"/>
                <w:highlight w:val="none"/>
                <w:lang w:val="en-US" w:eastAsia="zh-CN" w:bidi="ar-SA"/>
              </w:rPr>
              <w:t>7</w:t>
            </w:r>
            <w:r>
              <w:rPr>
                <w:rFonts w:hint="eastAsia" w:ascii="Times New Roman" w:hAnsi="Times New Roman" w:eastAsia="宋体" w:cs="Times New Roman"/>
                <w:b w:val="0"/>
                <w:bCs w:val="0"/>
                <w:snapToGrid w:val="0"/>
                <w:color w:val="auto"/>
                <w:sz w:val="24"/>
                <w:szCs w:val="24"/>
                <w:highlight w:val="none"/>
                <w:lang w:val="en-US" w:eastAsia="zh-CN" w:bidi="ar-SA"/>
              </w:rPr>
              <w:t>km</w:t>
            </w:r>
            <w:r>
              <w:rPr>
                <w:rFonts w:hint="eastAsia" w:cs="Times New Roman"/>
                <w:b w:val="0"/>
                <w:bCs w:val="0"/>
                <w:snapToGrid w:val="0"/>
                <w:color w:val="auto"/>
                <w:sz w:val="24"/>
                <w:szCs w:val="24"/>
                <w:highlight w:val="none"/>
                <w:lang w:val="en-US" w:eastAsia="zh-CN" w:bidi="ar-SA"/>
              </w:rPr>
              <w:t>。</w:t>
            </w:r>
            <w:r>
              <w:rPr>
                <w:rFonts w:hint="eastAsia"/>
                <w:color w:val="auto"/>
                <w:sz w:val="24"/>
                <w:szCs w:val="24"/>
                <w:highlight w:val="none"/>
                <w:lang w:val="en-US" w:eastAsia="zh-CN"/>
              </w:rPr>
              <w:t>石河镇段距离施工场地的平均综合运距约6km，双拱场段距离施工场地的平均综合运距约4km</w:t>
            </w:r>
            <w:r>
              <w:rPr>
                <w:rFonts w:hint="eastAsia" w:cs="Times New Roman"/>
                <w:b w:val="0"/>
                <w:bCs w:val="0"/>
                <w:color w:val="auto"/>
                <w:sz w:val="24"/>
                <w:szCs w:val="24"/>
                <w:highlight w:val="none"/>
                <w:lang w:val="en-US" w:eastAsia="zh-CN"/>
              </w:rPr>
              <w:t>。本项目施工场地</w:t>
            </w:r>
            <w:r>
              <w:rPr>
                <w:rFonts w:hint="default" w:ascii="Times New Roman" w:hAnsi="Times New Roman" w:cs="Times New Roman"/>
                <w:color w:val="auto"/>
                <w:sz w:val="24"/>
                <w:szCs w:val="24"/>
                <w:highlight w:val="none"/>
              </w:rPr>
              <w:t>具体见表</w:t>
            </w:r>
            <w:r>
              <w:rPr>
                <w:rFonts w:hint="eastAsia" w:ascii="Times New Roman" w:hAnsi="Times New Roman" w:cs="Times New Roman"/>
                <w:color w:val="auto"/>
                <w:sz w:val="24"/>
                <w:szCs w:val="24"/>
                <w:highlight w:val="none"/>
                <w:lang w:val="en-US" w:eastAsia="zh-CN"/>
              </w:rPr>
              <w:t>2.5-2</w:t>
            </w:r>
            <w:r>
              <w:rPr>
                <w:rFonts w:hint="default" w:ascii="Times New Roman" w:hAnsi="Times New Roman" w:cs="Times New Roman"/>
                <w:color w:val="auto"/>
                <w:sz w:val="24"/>
                <w:szCs w:val="24"/>
                <w:highlight w:val="none"/>
              </w:rPr>
              <w:t>。</w:t>
            </w:r>
          </w:p>
          <w:p w14:paraId="0EDF31A2">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表2.</w:t>
            </w:r>
            <w:r>
              <w:rPr>
                <w:rFonts w:hint="eastAsia" w:ascii="Times New Roman" w:hAnsi="Times New Roman" w:cs="Times New Roman"/>
                <w:b/>
                <w:bCs/>
                <w:color w:val="auto"/>
                <w:highlight w:val="none"/>
                <w:lang w:val="en-US" w:eastAsia="zh-CN"/>
              </w:rPr>
              <w:t>5-2</w:t>
            </w:r>
            <w:r>
              <w:rPr>
                <w:rFonts w:hint="default" w:ascii="Times New Roman" w:hAnsi="Times New Roman" w:cs="Times New Roman"/>
                <w:b/>
                <w:bCs/>
                <w:color w:val="auto"/>
                <w:highlight w:val="none"/>
              </w:rPr>
              <w:t xml:space="preserve"> </w:t>
            </w:r>
            <w:r>
              <w:rPr>
                <w:rFonts w:hint="eastAsia" w:cs="Times New Roman"/>
                <w:b/>
                <w:bCs/>
                <w:color w:val="auto"/>
                <w:highlight w:val="none"/>
                <w:lang w:val="en-US" w:eastAsia="zh-CN"/>
              </w:rPr>
              <w:t>本项目</w:t>
            </w:r>
            <w:r>
              <w:rPr>
                <w:rFonts w:hint="eastAsia" w:cs="Times New Roman"/>
                <w:b/>
                <w:bCs/>
                <w:color w:val="auto"/>
                <w:highlight w:val="none"/>
                <w:lang w:eastAsia="zh-CN"/>
              </w:rPr>
              <w:t>施工场地</w:t>
            </w:r>
            <w:r>
              <w:rPr>
                <w:rFonts w:hint="default" w:ascii="Times New Roman" w:hAnsi="Times New Roman" w:cs="Times New Roman"/>
                <w:b/>
                <w:bCs/>
                <w:color w:val="auto"/>
                <w:highlight w:val="none"/>
              </w:rPr>
              <w:t>生产设施建筑及占地面积一览表</w:t>
            </w:r>
          </w:p>
          <w:tbl>
            <w:tblPr>
              <w:tblStyle w:val="11"/>
              <w:tblW w:w="9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377"/>
              <w:gridCol w:w="859"/>
              <w:gridCol w:w="1596"/>
              <w:gridCol w:w="1063"/>
              <w:gridCol w:w="1187"/>
              <w:gridCol w:w="2376"/>
            </w:tblGrid>
            <w:tr w14:paraId="3B2B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19" w:type="dxa"/>
                  <w:noWrap w:val="0"/>
                  <w:vAlign w:val="center"/>
                </w:tcPr>
                <w:p w14:paraId="469BE27D">
                  <w:pPr>
                    <w:pStyle w:val="21"/>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377" w:type="dxa"/>
                  <w:noWrap w:val="0"/>
                  <w:vAlign w:val="center"/>
                </w:tcPr>
                <w:p w14:paraId="4C4BA4EF">
                  <w:pPr>
                    <w:pStyle w:val="21"/>
                    <w:spacing w:line="240" w:lineRule="auto"/>
                    <w:ind w:firstLine="0" w:firstLineChars="0"/>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施工场地</w:t>
                  </w:r>
                </w:p>
              </w:tc>
              <w:tc>
                <w:tcPr>
                  <w:tcW w:w="2455" w:type="dxa"/>
                  <w:gridSpan w:val="2"/>
                  <w:noWrap w:val="0"/>
                  <w:vAlign w:val="center"/>
                </w:tcPr>
                <w:p w14:paraId="4EA5DA45">
                  <w:pPr>
                    <w:pStyle w:val="21"/>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1063" w:type="dxa"/>
                  <w:noWrap w:val="0"/>
                  <w:vAlign w:val="center"/>
                </w:tcPr>
                <w:p w14:paraId="32AD4731">
                  <w:pPr>
                    <w:pStyle w:val="21"/>
                    <w:spacing w:line="240" w:lineRule="auto"/>
                    <w:ind w:firstLine="0" w:firstLineChars="0"/>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cs="Times New Roman"/>
                      <w:b/>
                      <w:bCs/>
                      <w:color w:val="auto"/>
                      <w:sz w:val="21"/>
                      <w:szCs w:val="21"/>
                      <w:highlight w:val="none"/>
                    </w:rPr>
                    <w:t>数量（个）</w:t>
                  </w:r>
                </w:p>
              </w:tc>
              <w:tc>
                <w:tcPr>
                  <w:tcW w:w="1187" w:type="dxa"/>
                  <w:noWrap w:val="0"/>
                  <w:vAlign w:val="center"/>
                </w:tcPr>
                <w:p w14:paraId="6A9A638E">
                  <w:pPr>
                    <w:pStyle w:val="21"/>
                    <w:spacing w:line="240" w:lineRule="auto"/>
                    <w:ind w:firstLine="0" w:firstLineChars="0"/>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占地</w:t>
                  </w:r>
                  <w:r>
                    <w:rPr>
                      <w:rFonts w:hint="default" w:ascii="Times New Roman" w:hAnsi="Times New Roman" w:cs="Times New Roman"/>
                      <w:b/>
                      <w:bCs/>
                      <w:color w:val="auto"/>
                      <w:sz w:val="21"/>
                      <w:szCs w:val="21"/>
                      <w:highlight w:val="none"/>
                    </w:rPr>
                    <w:t>面积（m</w:t>
                  </w:r>
                  <w:r>
                    <w:rPr>
                      <w:rFonts w:hint="default" w:ascii="Times New Roman" w:hAnsi="Times New Roman" w:cs="Times New Roman"/>
                      <w:b/>
                      <w:bCs/>
                      <w:color w:val="auto"/>
                      <w:sz w:val="21"/>
                      <w:szCs w:val="21"/>
                      <w:highlight w:val="none"/>
                      <w:vertAlign w:val="superscript"/>
                    </w:rPr>
                    <w:t>2</w:t>
                  </w:r>
                  <w:r>
                    <w:rPr>
                      <w:rFonts w:hint="default" w:ascii="Times New Roman" w:hAnsi="Times New Roman" w:cs="Times New Roman"/>
                      <w:b/>
                      <w:bCs/>
                      <w:color w:val="auto"/>
                      <w:sz w:val="21"/>
                      <w:szCs w:val="21"/>
                      <w:highlight w:val="none"/>
                    </w:rPr>
                    <w:t>）</w:t>
                  </w:r>
                </w:p>
              </w:tc>
              <w:tc>
                <w:tcPr>
                  <w:tcW w:w="2376" w:type="dxa"/>
                  <w:noWrap w:val="0"/>
                  <w:vAlign w:val="center"/>
                </w:tcPr>
                <w:p w14:paraId="21263679">
                  <w:pPr>
                    <w:pStyle w:val="21"/>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备注</w:t>
                  </w:r>
                </w:p>
              </w:tc>
            </w:tr>
            <w:tr w14:paraId="4B5E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19" w:type="dxa"/>
                  <w:noWrap w:val="0"/>
                  <w:vAlign w:val="center"/>
                </w:tcPr>
                <w:p w14:paraId="73FF514A">
                  <w:pPr>
                    <w:pStyle w:val="21"/>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377" w:type="dxa"/>
                  <w:vMerge w:val="restart"/>
                  <w:noWrap w:val="0"/>
                  <w:vAlign w:val="center"/>
                </w:tcPr>
                <w:p w14:paraId="2926B33B">
                  <w:pPr>
                    <w:pStyle w:val="21"/>
                    <w:spacing w:line="240" w:lineRule="auto"/>
                    <w:ind w:firstLine="0" w:firstLineChars="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1#施工场地</w:t>
                  </w:r>
                </w:p>
              </w:tc>
              <w:tc>
                <w:tcPr>
                  <w:tcW w:w="2455" w:type="dxa"/>
                  <w:gridSpan w:val="2"/>
                  <w:noWrap w:val="0"/>
                  <w:vAlign w:val="center"/>
                </w:tcPr>
                <w:p w14:paraId="12954F3C">
                  <w:pPr>
                    <w:pStyle w:val="21"/>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拌和站</w:t>
                  </w:r>
                </w:p>
              </w:tc>
              <w:tc>
                <w:tcPr>
                  <w:tcW w:w="1063" w:type="dxa"/>
                  <w:noWrap w:val="0"/>
                  <w:vAlign w:val="center"/>
                </w:tcPr>
                <w:p w14:paraId="54204E7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187" w:type="dxa"/>
                  <w:noWrap w:val="0"/>
                  <w:vAlign w:val="center"/>
                </w:tcPr>
                <w:p w14:paraId="05AA51B1">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2376" w:type="dxa"/>
                  <w:noWrap w:val="0"/>
                  <w:vAlign w:val="center"/>
                </w:tcPr>
                <w:p w14:paraId="06E705CB">
                  <w:pPr>
                    <w:pStyle w:val="21"/>
                    <w:spacing w:line="240" w:lineRule="auto"/>
                    <w:ind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混凝土</w:t>
                  </w:r>
                  <w:r>
                    <w:rPr>
                      <w:rFonts w:hint="default" w:ascii="Times New Roman" w:hAnsi="Times New Roman" w:cs="Times New Roman"/>
                      <w:color w:val="auto"/>
                      <w:sz w:val="21"/>
                      <w:szCs w:val="21"/>
                      <w:highlight w:val="none"/>
                      <w:lang w:eastAsia="zh-CN"/>
                    </w:rPr>
                    <w:t>拌和</w:t>
                  </w:r>
                </w:p>
              </w:tc>
            </w:tr>
            <w:tr w14:paraId="7754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19" w:type="dxa"/>
                  <w:noWrap w:val="0"/>
                  <w:vAlign w:val="center"/>
                </w:tcPr>
                <w:p w14:paraId="2CF92C1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377" w:type="dxa"/>
                  <w:vMerge w:val="continue"/>
                  <w:noWrap w:val="0"/>
                  <w:vAlign w:val="center"/>
                </w:tcPr>
                <w:p w14:paraId="5A914A77">
                  <w:pPr>
                    <w:spacing w:line="240" w:lineRule="auto"/>
                    <w:ind w:firstLine="0" w:firstLineChars="0"/>
                    <w:jc w:val="center"/>
                    <w:rPr>
                      <w:rFonts w:hint="default" w:ascii="Times New Roman" w:hAnsi="Times New Roman" w:cs="Times New Roman"/>
                      <w:color w:val="auto"/>
                      <w:sz w:val="21"/>
                      <w:szCs w:val="21"/>
                      <w:highlight w:val="none"/>
                    </w:rPr>
                  </w:pPr>
                </w:p>
              </w:tc>
              <w:tc>
                <w:tcPr>
                  <w:tcW w:w="2455" w:type="dxa"/>
                  <w:gridSpan w:val="2"/>
                  <w:noWrap w:val="0"/>
                  <w:vAlign w:val="center"/>
                </w:tcPr>
                <w:p w14:paraId="4B9CCB6E">
                  <w:pPr>
                    <w:pStyle w:val="21"/>
                    <w:spacing w:line="240" w:lineRule="auto"/>
                    <w:ind w:firstLine="0" w:firstLineChars="0"/>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钢筋加工场</w:t>
                  </w:r>
                </w:p>
              </w:tc>
              <w:tc>
                <w:tcPr>
                  <w:tcW w:w="1063" w:type="dxa"/>
                  <w:noWrap w:val="0"/>
                  <w:vAlign w:val="center"/>
                </w:tcPr>
                <w:p w14:paraId="32519B24">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1</w:t>
                  </w:r>
                </w:p>
              </w:tc>
              <w:tc>
                <w:tcPr>
                  <w:tcW w:w="1187" w:type="dxa"/>
                  <w:noWrap w:val="0"/>
                  <w:vAlign w:val="center"/>
                </w:tcPr>
                <w:p w14:paraId="7520C6E3">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2376" w:type="dxa"/>
                  <w:noWrap w:val="0"/>
                  <w:vAlign w:val="center"/>
                </w:tcPr>
                <w:p w14:paraId="3A3E0171">
                  <w:pPr>
                    <w:pStyle w:val="21"/>
                    <w:spacing w:line="240" w:lineRule="auto"/>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对钢筋进行加工</w:t>
                  </w:r>
                </w:p>
              </w:tc>
            </w:tr>
            <w:tr w14:paraId="3520A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19" w:type="dxa"/>
                  <w:vMerge w:val="restart"/>
                  <w:noWrap w:val="0"/>
                  <w:vAlign w:val="center"/>
                </w:tcPr>
                <w:p w14:paraId="1BC00AB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377" w:type="dxa"/>
                  <w:vMerge w:val="continue"/>
                  <w:noWrap w:val="0"/>
                  <w:vAlign w:val="center"/>
                </w:tcPr>
                <w:p w14:paraId="4325961E">
                  <w:pPr>
                    <w:spacing w:line="240" w:lineRule="auto"/>
                    <w:ind w:firstLine="0" w:firstLineChars="0"/>
                    <w:jc w:val="center"/>
                    <w:rPr>
                      <w:rFonts w:hint="default" w:ascii="Times New Roman" w:hAnsi="Times New Roman" w:cs="Times New Roman"/>
                      <w:color w:val="auto"/>
                      <w:sz w:val="21"/>
                      <w:szCs w:val="21"/>
                      <w:highlight w:val="none"/>
                    </w:rPr>
                  </w:pPr>
                </w:p>
              </w:tc>
              <w:tc>
                <w:tcPr>
                  <w:tcW w:w="859" w:type="dxa"/>
                  <w:vMerge w:val="restart"/>
                  <w:shd w:val="clear" w:color="auto" w:fill="auto"/>
                  <w:noWrap w:val="0"/>
                  <w:vAlign w:val="center"/>
                </w:tcPr>
                <w:p w14:paraId="773AF3D9">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临时堆料场</w:t>
                  </w:r>
                </w:p>
              </w:tc>
              <w:tc>
                <w:tcPr>
                  <w:tcW w:w="1596" w:type="dxa"/>
                  <w:shd w:val="clear" w:color="auto" w:fill="auto"/>
                  <w:noWrap w:val="0"/>
                  <w:vAlign w:val="center"/>
                </w:tcPr>
                <w:p w14:paraId="3866AF8C">
                  <w:pPr>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水泥堆放</w:t>
                  </w:r>
                  <w:r>
                    <w:rPr>
                      <w:rFonts w:hint="default" w:ascii="Times New Roman" w:hAnsi="Times New Roman" w:cs="Times New Roman"/>
                      <w:color w:val="auto"/>
                      <w:sz w:val="21"/>
                      <w:szCs w:val="21"/>
                      <w:highlight w:val="none"/>
                    </w:rPr>
                    <w:t>场</w:t>
                  </w:r>
                </w:p>
              </w:tc>
              <w:tc>
                <w:tcPr>
                  <w:tcW w:w="1063" w:type="dxa"/>
                  <w:shd w:val="clear" w:color="auto" w:fill="auto"/>
                  <w:noWrap w:val="0"/>
                  <w:vAlign w:val="center"/>
                </w:tcPr>
                <w:p w14:paraId="530CD644">
                  <w:pPr>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1187" w:type="dxa"/>
                  <w:shd w:val="clear" w:color="auto" w:fill="auto"/>
                  <w:noWrap w:val="0"/>
                  <w:vAlign w:val="center"/>
                </w:tcPr>
                <w:p w14:paraId="007BE433">
                  <w:pPr>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80</w:t>
                  </w:r>
                </w:p>
              </w:tc>
              <w:tc>
                <w:tcPr>
                  <w:tcW w:w="2376" w:type="dxa"/>
                  <w:vMerge w:val="restart"/>
                  <w:noWrap w:val="0"/>
                  <w:vAlign w:val="center"/>
                </w:tcPr>
                <w:p w14:paraId="0A372637">
                  <w:pPr>
                    <w:pStyle w:val="21"/>
                    <w:spacing w:line="240" w:lineRule="auto"/>
                    <w:ind w:firstLine="0" w:firstLineChars="0"/>
                    <w:rPr>
                      <w:rFonts w:hint="default" w:ascii="Times New Roman" w:hAnsi="Times New Roman" w:cs="Times New Roman"/>
                      <w:color w:val="auto"/>
                      <w:sz w:val="21"/>
                      <w:szCs w:val="21"/>
                      <w:highlight w:val="none"/>
                    </w:rPr>
                  </w:pPr>
                  <w:r>
                    <w:rPr>
                      <w:color w:val="auto"/>
                      <w:sz w:val="21"/>
                      <w:szCs w:val="21"/>
                      <w:highlight w:val="none"/>
                    </w:rPr>
                    <w:t>水泥</w:t>
                  </w:r>
                  <w:r>
                    <w:rPr>
                      <w:rFonts w:hint="eastAsia"/>
                      <w:color w:val="auto"/>
                      <w:sz w:val="21"/>
                      <w:szCs w:val="21"/>
                      <w:highlight w:val="none"/>
                      <w:lang w:eastAsia="zh-CN"/>
                    </w:rPr>
                    <w:t>、</w:t>
                  </w:r>
                  <w:r>
                    <w:rPr>
                      <w:rFonts w:hint="eastAsia"/>
                      <w:color w:val="auto"/>
                      <w:sz w:val="21"/>
                      <w:szCs w:val="21"/>
                      <w:highlight w:val="none"/>
                      <w:lang w:val="en-US" w:eastAsia="zh-CN"/>
                    </w:rPr>
                    <w:t>砂石、表土</w:t>
                  </w:r>
                  <w:r>
                    <w:rPr>
                      <w:color w:val="auto"/>
                      <w:sz w:val="21"/>
                      <w:szCs w:val="21"/>
                      <w:highlight w:val="none"/>
                    </w:rPr>
                    <w:t>、临时性周转材料、临时性生产工具</w:t>
                  </w:r>
                  <w:r>
                    <w:rPr>
                      <w:rFonts w:hint="default" w:ascii="Times New Roman" w:hAnsi="Times New Roman" w:cs="Times New Roman"/>
                      <w:color w:val="auto"/>
                      <w:sz w:val="21"/>
                      <w:szCs w:val="21"/>
                      <w:highlight w:val="none"/>
                    </w:rPr>
                    <w:t>储存</w:t>
                  </w:r>
                </w:p>
              </w:tc>
            </w:tr>
            <w:tr w14:paraId="768F0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19" w:type="dxa"/>
                  <w:vMerge w:val="continue"/>
                  <w:noWrap w:val="0"/>
                  <w:vAlign w:val="center"/>
                </w:tcPr>
                <w:p w14:paraId="6ADB1824">
                  <w:pPr>
                    <w:spacing w:line="240" w:lineRule="auto"/>
                    <w:ind w:firstLine="0" w:firstLineChars="0"/>
                    <w:jc w:val="center"/>
                    <w:rPr>
                      <w:color w:val="auto"/>
                      <w:highlight w:val="none"/>
                    </w:rPr>
                  </w:pPr>
                </w:p>
              </w:tc>
              <w:tc>
                <w:tcPr>
                  <w:tcW w:w="1377" w:type="dxa"/>
                  <w:vMerge w:val="continue"/>
                  <w:noWrap w:val="0"/>
                  <w:vAlign w:val="center"/>
                </w:tcPr>
                <w:p w14:paraId="23448BA4">
                  <w:pPr>
                    <w:spacing w:line="240" w:lineRule="auto"/>
                    <w:ind w:firstLine="0" w:firstLineChars="0"/>
                    <w:jc w:val="center"/>
                    <w:rPr>
                      <w:color w:val="auto"/>
                      <w:highlight w:val="none"/>
                    </w:rPr>
                  </w:pPr>
                </w:p>
              </w:tc>
              <w:tc>
                <w:tcPr>
                  <w:tcW w:w="859" w:type="dxa"/>
                  <w:vMerge w:val="continue"/>
                  <w:shd w:val="clear" w:color="auto" w:fill="auto"/>
                  <w:noWrap w:val="0"/>
                  <w:vAlign w:val="center"/>
                </w:tcPr>
                <w:p w14:paraId="0499070A">
                  <w:pPr>
                    <w:spacing w:line="240" w:lineRule="auto"/>
                    <w:ind w:firstLine="0" w:firstLineChars="0"/>
                    <w:jc w:val="center"/>
                    <w:rPr>
                      <w:color w:val="auto"/>
                      <w:highlight w:val="none"/>
                    </w:rPr>
                  </w:pPr>
                </w:p>
              </w:tc>
              <w:tc>
                <w:tcPr>
                  <w:tcW w:w="1596" w:type="dxa"/>
                  <w:shd w:val="clear" w:color="auto" w:fill="auto"/>
                  <w:noWrap w:val="0"/>
                  <w:vAlign w:val="center"/>
                </w:tcPr>
                <w:p w14:paraId="2DC259EC">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砂石堆放场</w:t>
                  </w:r>
                </w:p>
              </w:tc>
              <w:tc>
                <w:tcPr>
                  <w:tcW w:w="1063" w:type="dxa"/>
                  <w:shd w:val="clear" w:color="auto" w:fill="auto"/>
                  <w:noWrap w:val="0"/>
                  <w:vAlign w:val="center"/>
                </w:tcPr>
                <w:p w14:paraId="61F13C73">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187" w:type="dxa"/>
                  <w:shd w:val="clear" w:color="auto" w:fill="auto"/>
                  <w:noWrap w:val="0"/>
                  <w:vAlign w:val="center"/>
                </w:tcPr>
                <w:p w14:paraId="2E5D472E">
                  <w:pPr>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80</w:t>
                  </w:r>
                </w:p>
              </w:tc>
              <w:tc>
                <w:tcPr>
                  <w:tcW w:w="2376" w:type="dxa"/>
                  <w:vMerge w:val="continue"/>
                  <w:noWrap w:val="0"/>
                  <w:vAlign w:val="center"/>
                </w:tcPr>
                <w:p w14:paraId="32846F57">
                  <w:pPr>
                    <w:spacing w:line="240" w:lineRule="auto"/>
                    <w:ind w:firstLine="0" w:firstLineChars="0"/>
                    <w:jc w:val="center"/>
                    <w:rPr>
                      <w:rFonts w:hint="default" w:ascii="Times New Roman" w:hAnsi="Times New Roman" w:cs="Times New Roman"/>
                      <w:color w:val="auto"/>
                      <w:sz w:val="21"/>
                      <w:szCs w:val="21"/>
                      <w:highlight w:val="none"/>
                    </w:rPr>
                  </w:pPr>
                </w:p>
              </w:tc>
            </w:tr>
            <w:tr w14:paraId="0440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9" w:type="dxa"/>
                  <w:vMerge w:val="continue"/>
                  <w:noWrap w:val="0"/>
                  <w:vAlign w:val="center"/>
                </w:tcPr>
                <w:p w14:paraId="74069D7B">
                  <w:pPr>
                    <w:spacing w:line="240" w:lineRule="auto"/>
                    <w:ind w:firstLine="0" w:firstLineChars="0"/>
                    <w:jc w:val="center"/>
                    <w:rPr>
                      <w:rFonts w:hint="default" w:ascii="Times New Roman" w:hAnsi="Times New Roman" w:cs="Times New Roman"/>
                      <w:color w:val="auto"/>
                      <w:sz w:val="21"/>
                      <w:szCs w:val="21"/>
                      <w:highlight w:val="none"/>
                    </w:rPr>
                  </w:pPr>
                </w:p>
              </w:tc>
              <w:tc>
                <w:tcPr>
                  <w:tcW w:w="1377" w:type="dxa"/>
                  <w:vMerge w:val="continue"/>
                  <w:noWrap w:val="0"/>
                  <w:vAlign w:val="center"/>
                </w:tcPr>
                <w:p w14:paraId="4CBBF5B7">
                  <w:pPr>
                    <w:spacing w:line="240" w:lineRule="auto"/>
                    <w:ind w:firstLine="0" w:firstLineChars="0"/>
                    <w:jc w:val="center"/>
                    <w:rPr>
                      <w:rFonts w:hint="default" w:ascii="Times New Roman" w:hAnsi="Times New Roman" w:cs="Times New Roman"/>
                      <w:color w:val="auto"/>
                      <w:sz w:val="21"/>
                      <w:szCs w:val="21"/>
                      <w:highlight w:val="none"/>
                    </w:rPr>
                  </w:pPr>
                </w:p>
              </w:tc>
              <w:tc>
                <w:tcPr>
                  <w:tcW w:w="859" w:type="dxa"/>
                  <w:vMerge w:val="continue"/>
                  <w:shd w:val="clear" w:color="auto" w:fill="auto"/>
                  <w:noWrap w:val="0"/>
                  <w:vAlign w:val="center"/>
                </w:tcPr>
                <w:p w14:paraId="051A8A0F">
                  <w:pPr>
                    <w:spacing w:line="240" w:lineRule="auto"/>
                    <w:ind w:firstLine="0" w:firstLineChars="0"/>
                    <w:jc w:val="center"/>
                    <w:rPr>
                      <w:rFonts w:hint="default" w:ascii="Times New Roman" w:hAnsi="Times New Roman" w:cs="Times New Roman"/>
                      <w:color w:val="auto"/>
                      <w:sz w:val="21"/>
                      <w:szCs w:val="21"/>
                      <w:highlight w:val="none"/>
                    </w:rPr>
                  </w:pPr>
                </w:p>
              </w:tc>
              <w:tc>
                <w:tcPr>
                  <w:tcW w:w="1596" w:type="dxa"/>
                  <w:shd w:val="clear" w:color="auto" w:fill="auto"/>
                  <w:noWrap w:val="0"/>
                  <w:vAlign w:val="center"/>
                </w:tcPr>
                <w:p w14:paraId="446124C0">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表土堆放场</w:t>
                  </w:r>
                </w:p>
              </w:tc>
              <w:tc>
                <w:tcPr>
                  <w:tcW w:w="1063" w:type="dxa"/>
                  <w:shd w:val="clear" w:color="auto" w:fill="auto"/>
                  <w:noWrap w:val="0"/>
                  <w:vAlign w:val="center"/>
                </w:tcPr>
                <w:p w14:paraId="023A2B9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187" w:type="dxa"/>
                  <w:shd w:val="clear" w:color="auto" w:fill="auto"/>
                  <w:noWrap w:val="0"/>
                  <w:vAlign w:val="center"/>
                </w:tcPr>
                <w:p w14:paraId="0A44AD0A">
                  <w:pPr>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80</w:t>
                  </w:r>
                </w:p>
              </w:tc>
              <w:tc>
                <w:tcPr>
                  <w:tcW w:w="2376" w:type="dxa"/>
                  <w:vMerge w:val="continue"/>
                  <w:noWrap w:val="0"/>
                  <w:vAlign w:val="center"/>
                </w:tcPr>
                <w:p w14:paraId="45491343">
                  <w:pPr>
                    <w:spacing w:line="240" w:lineRule="auto"/>
                    <w:ind w:firstLine="0" w:firstLineChars="0"/>
                    <w:jc w:val="center"/>
                    <w:rPr>
                      <w:rFonts w:hint="default" w:ascii="Times New Roman" w:hAnsi="Times New Roman" w:cs="Times New Roman"/>
                      <w:color w:val="auto"/>
                      <w:sz w:val="21"/>
                      <w:szCs w:val="21"/>
                      <w:highlight w:val="none"/>
                    </w:rPr>
                  </w:pPr>
                </w:p>
              </w:tc>
            </w:tr>
            <w:tr w14:paraId="5CDC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9" w:type="dxa"/>
                  <w:vMerge w:val="continue"/>
                  <w:noWrap w:val="0"/>
                  <w:vAlign w:val="center"/>
                </w:tcPr>
                <w:p w14:paraId="4E975A8D">
                  <w:pPr>
                    <w:spacing w:line="240" w:lineRule="auto"/>
                    <w:ind w:firstLine="0" w:firstLineChars="0"/>
                    <w:jc w:val="center"/>
                    <w:rPr>
                      <w:color w:val="auto"/>
                      <w:highlight w:val="none"/>
                    </w:rPr>
                  </w:pPr>
                </w:p>
              </w:tc>
              <w:tc>
                <w:tcPr>
                  <w:tcW w:w="1377" w:type="dxa"/>
                  <w:vMerge w:val="continue"/>
                  <w:noWrap w:val="0"/>
                  <w:vAlign w:val="center"/>
                </w:tcPr>
                <w:p w14:paraId="131C6E6A">
                  <w:pPr>
                    <w:spacing w:line="240" w:lineRule="auto"/>
                    <w:ind w:firstLine="0" w:firstLineChars="0"/>
                    <w:jc w:val="center"/>
                    <w:rPr>
                      <w:color w:val="auto"/>
                      <w:highlight w:val="none"/>
                    </w:rPr>
                  </w:pPr>
                </w:p>
              </w:tc>
              <w:tc>
                <w:tcPr>
                  <w:tcW w:w="859" w:type="dxa"/>
                  <w:vMerge w:val="continue"/>
                  <w:shd w:val="clear" w:color="auto" w:fill="auto"/>
                  <w:noWrap w:val="0"/>
                  <w:vAlign w:val="center"/>
                </w:tcPr>
                <w:p w14:paraId="5334C892">
                  <w:pPr>
                    <w:spacing w:line="240" w:lineRule="auto"/>
                    <w:ind w:firstLine="0" w:firstLineChars="0"/>
                    <w:jc w:val="center"/>
                    <w:rPr>
                      <w:color w:val="auto"/>
                      <w:highlight w:val="none"/>
                    </w:rPr>
                  </w:pPr>
                </w:p>
              </w:tc>
              <w:tc>
                <w:tcPr>
                  <w:tcW w:w="1596" w:type="dxa"/>
                  <w:shd w:val="clear" w:color="auto" w:fill="auto"/>
                  <w:noWrap w:val="0"/>
                  <w:vAlign w:val="center"/>
                </w:tcPr>
                <w:p w14:paraId="7F9027D4">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临时材料、工具储存场</w:t>
                  </w:r>
                </w:p>
              </w:tc>
              <w:tc>
                <w:tcPr>
                  <w:tcW w:w="1063" w:type="dxa"/>
                  <w:shd w:val="clear" w:color="auto" w:fill="auto"/>
                  <w:noWrap w:val="0"/>
                  <w:vAlign w:val="center"/>
                </w:tcPr>
                <w:p w14:paraId="0B631CB0">
                  <w:pPr>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1187" w:type="dxa"/>
                  <w:shd w:val="clear" w:color="auto" w:fill="auto"/>
                  <w:noWrap w:val="0"/>
                  <w:vAlign w:val="center"/>
                </w:tcPr>
                <w:p w14:paraId="53A04609">
                  <w:pPr>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60</w:t>
                  </w:r>
                </w:p>
              </w:tc>
              <w:tc>
                <w:tcPr>
                  <w:tcW w:w="2376" w:type="dxa"/>
                  <w:vMerge w:val="continue"/>
                  <w:noWrap w:val="0"/>
                  <w:vAlign w:val="center"/>
                </w:tcPr>
                <w:p w14:paraId="10E231D4">
                  <w:pPr>
                    <w:spacing w:line="240" w:lineRule="auto"/>
                    <w:ind w:firstLine="0" w:firstLineChars="0"/>
                    <w:jc w:val="center"/>
                    <w:rPr>
                      <w:rFonts w:hint="default" w:ascii="Times New Roman" w:hAnsi="Times New Roman" w:cs="Times New Roman"/>
                      <w:color w:val="auto"/>
                      <w:sz w:val="21"/>
                      <w:szCs w:val="21"/>
                      <w:highlight w:val="none"/>
                    </w:rPr>
                  </w:pPr>
                </w:p>
              </w:tc>
            </w:tr>
            <w:tr w14:paraId="34F4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jc w:val="center"/>
              </w:trPr>
              <w:tc>
                <w:tcPr>
                  <w:tcW w:w="719" w:type="dxa"/>
                  <w:noWrap w:val="0"/>
                  <w:vAlign w:val="center"/>
                </w:tcPr>
                <w:p w14:paraId="48FB177A">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377" w:type="dxa"/>
                  <w:vMerge w:val="continue"/>
                  <w:noWrap w:val="0"/>
                  <w:vAlign w:val="center"/>
                </w:tcPr>
                <w:p w14:paraId="1BA0EF2F">
                  <w:pPr>
                    <w:spacing w:line="240" w:lineRule="auto"/>
                    <w:ind w:firstLine="0" w:firstLineChars="0"/>
                    <w:jc w:val="center"/>
                    <w:rPr>
                      <w:rFonts w:hint="eastAsia" w:cs="Times New Roman"/>
                      <w:color w:val="auto"/>
                      <w:sz w:val="21"/>
                      <w:szCs w:val="21"/>
                      <w:highlight w:val="none"/>
                      <w:lang w:val="en-US" w:eastAsia="zh-CN"/>
                    </w:rPr>
                  </w:pPr>
                </w:p>
              </w:tc>
              <w:tc>
                <w:tcPr>
                  <w:tcW w:w="2455" w:type="dxa"/>
                  <w:gridSpan w:val="2"/>
                  <w:noWrap w:val="0"/>
                  <w:vAlign w:val="center"/>
                </w:tcPr>
                <w:p w14:paraId="0EFFFCBF">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施工机械停放场</w:t>
                  </w:r>
                </w:p>
              </w:tc>
              <w:tc>
                <w:tcPr>
                  <w:tcW w:w="1063" w:type="dxa"/>
                  <w:noWrap w:val="0"/>
                  <w:vAlign w:val="center"/>
                </w:tcPr>
                <w:p w14:paraId="76F090B9">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187" w:type="dxa"/>
                  <w:noWrap w:val="0"/>
                  <w:vAlign w:val="center"/>
                </w:tcPr>
                <w:p w14:paraId="1BCD8E1F">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2376" w:type="dxa"/>
                  <w:noWrap w:val="0"/>
                  <w:vAlign w:val="center"/>
                </w:tcPr>
                <w:p w14:paraId="790921EA">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w:t>
                  </w:r>
                  <w:r>
                    <w:rPr>
                      <w:rFonts w:hint="eastAsia" w:cs="Times New Roman"/>
                      <w:color w:val="auto"/>
                      <w:sz w:val="21"/>
                      <w:szCs w:val="21"/>
                      <w:highlight w:val="none"/>
                      <w:lang w:eastAsia="zh-CN"/>
                    </w:rPr>
                    <w:t>施工场地</w:t>
                  </w:r>
                  <w:r>
                    <w:rPr>
                      <w:rFonts w:hint="default" w:ascii="Times New Roman" w:hAnsi="Times New Roman" w:cs="Times New Roman"/>
                      <w:color w:val="auto"/>
                      <w:sz w:val="21"/>
                      <w:szCs w:val="21"/>
                      <w:highlight w:val="none"/>
                    </w:rPr>
                    <w:t>内不设机械修配和汽修站；只集中设置机械停放场</w:t>
                  </w:r>
                </w:p>
              </w:tc>
            </w:tr>
          </w:tbl>
          <w:p w14:paraId="5C9FC701">
            <w:pPr>
              <w:keepNext w:val="0"/>
              <w:keepLines w:val="0"/>
              <w:pageBreakBefore w:val="0"/>
              <w:widowControl w:val="0"/>
              <w:kinsoku/>
              <w:wordWrap/>
              <w:overflowPunct/>
              <w:topLinePunct w:val="0"/>
              <w:autoSpaceDE/>
              <w:autoSpaceDN/>
              <w:bidi w:val="0"/>
              <w:adjustRightInd/>
              <w:snapToGrid/>
              <w:ind w:leftChars="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w:t>
            </w:r>
            <w:r>
              <w:rPr>
                <w:rFonts w:hint="default" w:ascii="Times New Roman" w:hAnsi="Times New Roman" w:cs="Times New Roman"/>
                <w:color w:val="auto"/>
                <w:sz w:val="24"/>
                <w:szCs w:val="24"/>
                <w:highlight w:val="none"/>
                <w:lang w:val="en-US" w:eastAsia="zh-CN"/>
              </w:rPr>
              <w:t>疏浚淤泥干化场</w:t>
            </w:r>
          </w:p>
          <w:p w14:paraId="78BAB385">
            <w:pPr>
              <w:keepNext w:val="0"/>
              <w:keepLines w:val="0"/>
              <w:pageBreakBefore w:val="0"/>
              <w:widowControl w:val="0"/>
              <w:kinsoku/>
              <w:wordWrap/>
              <w:overflowPunct/>
              <w:topLinePunct w:val="0"/>
              <w:autoSpaceDE/>
              <w:autoSpaceDN/>
              <w:bidi w:val="0"/>
              <w:adjustRightInd/>
              <w:snapToGrid/>
              <w:ind w:leftChars="0" w:firstLineChars="200"/>
              <w:jc w:val="both"/>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石河镇二郎段、福兴段和石河镇段均不设置</w:t>
            </w:r>
            <w:r>
              <w:rPr>
                <w:rFonts w:hint="default" w:ascii="Times New Roman" w:hAnsi="Times New Roman" w:cs="Times New Roman"/>
                <w:color w:val="auto"/>
                <w:sz w:val="24"/>
                <w:szCs w:val="24"/>
                <w:highlight w:val="none"/>
                <w:lang w:val="en-US" w:eastAsia="zh-CN"/>
              </w:rPr>
              <w:t>疏浚淤泥干化场，</w:t>
            </w:r>
            <w:r>
              <w:rPr>
                <w:rFonts w:hint="eastAsia" w:cs="Times New Roman"/>
                <w:color w:val="auto"/>
                <w:sz w:val="24"/>
                <w:szCs w:val="24"/>
                <w:highlight w:val="none"/>
                <w:lang w:val="en-US" w:eastAsia="zh-CN"/>
              </w:rPr>
              <w:t>疏浚淤泥沿河道岸坡临时堆存，自然干化</w:t>
            </w:r>
            <w:r>
              <w:rPr>
                <w:rFonts w:hint="default" w:ascii="Times New Roman" w:hAnsi="Times New Roman" w:cs="Times New Roman"/>
                <w:color w:val="auto"/>
                <w:sz w:val="24"/>
                <w:szCs w:val="24"/>
                <w:highlight w:val="none"/>
              </w:rPr>
              <w:t>。</w:t>
            </w:r>
          </w:p>
          <w:p w14:paraId="450F61E1">
            <w:pPr>
              <w:keepNext w:val="0"/>
              <w:keepLines w:val="0"/>
              <w:pageBreakBefore w:val="0"/>
              <w:widowControl w:val="0"/>
              <w:kinsoku/>
              <w:wordWrap/>
              <w:overflowPunct/>
              <w:topLinePunct w:val="0"/>
              <w:autoSpaceDE/>
              <w:autoSpaceDN/>
              <w:bidi w:val="0"/>
              <w:adjustRightInd/>
              <w:snapToGrid/>
              <w:ind w:leftChars="0" w:firstLineChars="200"/>
              <w:jc w:val="both"/>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石河镇双拱场段</w:t>
            </w:r>
            <w:r>
              <w:rPr>
                <w:rFonts w:hint="default" w:ascii="Times New Roman" w:hAnsi="Times New Roman" w:cs="Times New Roman"/>
                <w:color w:val="auto"/>
                <w:sz w:val="24"/>
                <w:szCs w:val="24"/>
                <w:highlight w:val="none"/>
                <w:lang w:val="en-US" w:eastAsia="zh-CN"/>
              </w:rPr>
              <w:t>设</w:t>
            </w:r>
            <w:r>
              <w:rPr>
                <w:rFonts w:hint="eastAsia"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处疏浚淤泥干化场，位于</w:t>
            </w:r>
            <w:r>
              <w:rPr>
                <w:rFonts w:hint="eastAsia" w:cs="Times New Roman"/>
                <w:color w:val="auto"/>
                <w:sz w:val="24"/>
                <w:szCs w:val="24"/>
                <w:highlight w:val="none"/>
                <w:lang w:val="en-US" w:eastAsia="zh-CN"/>
              </w:rPr>
              <w:t>双0+200左岸</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临时占地</w:t>
            </w:r>
            <w:r>
              <w:rPr>
                <w:rFonts w:hint="default" w:ascii="Times New Roman" w:hAnsi="Times New Roman" w:cs="Times New Roman"/>
                <w:color w:val="auto"/>
                <w:sz w:val="24"/>
                <w:szCs w:val="24"/>
                <w:highlight w:val="none"/>
                <w:lang w:val="en-US" w:eastAsia="zh-CN"/>
              </w:rPr>
              <w:t>面积为600m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。用于疏浚淤泥的晾干和堆存。</w:t>
            </w:r>
          </w:p>
          <w:p w14:paraId="16A69E64">
            <w:pPr>
              <w:keepNext w:val="0"/>
              <w:keepLines w:val="0"/>
              <w:pageBreakBefore w:val="0"/>
              <w:widowControl w:val="0"/>
              <w:kinsoku/>
              <w:wordWrap/>
              <w:overflowPunct/>
              <w:topLinePunct w:val="0"/>
              <w:autoSpaceDE/>
              <w:autoSpaceDN/>
              <w:bidi w:val="0"/>
              <w:adjustRightInd/>
              <w:snapToGrid/>
              <w:ind w:leftChars="0" w:firstLineChars="200"/>
              <w:jc w:val="both"/>
              <w:textAlignment w:val="auto"/>
              <w:rPr>
                <w:rFonts w:hint="eastAsia" w:cs="Times New Roman"/>
                <w:color w:val="auto"/>
                <w:sz w:val="24"/>
                <w:szCs w:val="24"/>
                <w:highlight w:val="none"/>
                <w:lang w:eastAsia="zh-CN"/>
              </w:rPr>
            </w:pPr>
            <w:r>
              <w:rPr>
                <w:rFonts w:hint="eastAsia" w:cs="Times New Roman"/>
                <w:color w:val="auto"/>
                <w:sz w:val="24"/>
                <w:szCs w:val="24"/>
                <w:highlight w:val="none"/>
                <w:lang w:val="en-US" w:eastAsia="zh-CN"/>
              </w:rPr>
              <w:t>可直接利用的部分由周边居民用于农田做肥料，</w:t>
            </w:r>
            <w:r>
              <w:rPr>
                <w:rFonts w:hint="eastAsia"/>
                <w:color w:val="auto"/>
                <w:sz w:val="24"/>
                <w:szCs w:val="24"/>
                <w:highlight w:val="none"/>
                <w:lang w:val="en-US" w:eastAsia="zh-CN"/>
              </w:rPr>
              <w:t>含砂石量多的疏浚砂石用于沿线低洼地区回填</w:t>
            </w:r>
            <w:r>
              <w:rPr>
                <w:rFonts w:hint="eastAsia" w:cs="Times New Roman"/>
                <w:color w:val="auto"/>
                <w:sz w:val="24"/>
                <w:szCs w:val="24"/>
                <w:highlight w:val="none"/>
                <w:lang w:val="en-US" w:eastAsia="zh-CN"/>
              </w:rPr>
              <w:t>；经晾干后的不可直接利用清淤淤泥运往市政规划的弃渣场</w:t>
            </w:r>
            <w:r>
              <w:rPr>
                <w:rFonts w:hint="eastAsia" w:cs="Times New Roman"/>
                <w:color w:val="auto"/>
                <w:sz w:val="24"/>
                <w:szCs w:val="24"/>
                <w:highlight w:val="none"/>
                <w:lang w:eastAsia="zh-CN"/>
              </w:rPr>
              <w:t>。</w:t>
            </w:r>
          </w:p>
          <w:p w14:paraId="1CD760F9">
            <w:pPr>
              <w:keepNext w:val="0"/>
              <w:keepLines w:val="0"/>
              <w:widowControl/>
              <w:suppressLineNumbers w:val="0"/>
              <w:ind w:firstLine="480"/>
              <w:jc w:val="left"/>
              <w:rPr>
                <w:color w:val="auto"/>
                <w:highlight w:val="none"/>
              </w:rPr>
            </w:pPr>
            <w:r>
              <w:rPr>
                <w:rFonts w:hint="eastAsia" w:ascii="宋体" w:hAnsi="宋体" w:eastAsia="宋体" w:cs="宋体"/>
                <w:snapToGrid w:val="0"/>
                <w:color w:val="auto"/>
                <w:kern w:val="0"/>
                <w:sz w:val="24"/>
                <w:szCs w:val="24"/>
                <w:highlight w:val="none"/>
                <w:lang w:val="en-US" w:eastAsia="zh-CN" w:bidi="ar"/>
              </w:rPr>
              <w:t xml:space="preserve">干化场周边设置围挡，顶部需设置雨棚，防止雨水进入。淤泥干化场使用前应先进行防渗处理，底部采用 </w:t>
            </w:r>
            <w:r>
              <w:rPr>
                <w:rFonts w:hint="default" w:ascii="Times New Roman" w:hAnsi="Times New Roman" w:eastAsia="宋体" w:cs="Times New Roman"/>
                <w:snapToGrid w:val="0"/>
                <w:color w:val="auto"/>
                <w:kern w:val="0"/>
                <w:sz w:val="24"/>
                <w:szCs w:val="24"/>
                <w:highlight w:val="none"/>
                <w:lang w:val="en-US" w:eastAsia="zh-CN" w:bidi="ar"/>
              </w:rPr>
              <w:t xml:space="preserve">40cm </w:t>
            </w:r>
            <w:r>
              <w:rPr>
                <w:rFonts w:hint="eastAsia" w:ascii="宋体" w:hAnsi="宋体" w:eastAsia="宋体" w:cs="宋体"/>
                <w:snapToGrid w:val="0"/>
                <w:color w:val="auto"/>
                <w:kern w:val="0"/>
                <w:sz w:val="24"/>
                <w:szCs w:val="24"/>
                <w:highlight w:val="none"/>
                <w:lang w:val="en-US" w:eastAsia="zh-CN" w:bidi="ar"/>
              </w:rPr>
              <w:t>粘土作防渗层，防止余水及渗滤液下渗。同时对于局部散发恶臭异味区域采用蓬布覆盖同时通过喷洒除臭剂除臭。</w:t>
            </w:r>
          </w:p>
          <w:p w14:paraId="7BF131FE">
            <w:pPr>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④料场</w:t>
            </w:r>
          </w:p>
          <w:p w14:paraId="37B162B0">
            <w:pPr>
              <w:ind w:firstLine="480"/>
              <w:jc w:val="left"/>
              <w:rPr>
                <w:color w:val="auto"/>
                <w:highlight w:val="none"/>
              </w:rPr>
            </w:pPr>
            <w:r>
              <w:rPr>
                <w:rFonts w:hint="default" w:ascii="Times New Roman" w:hAnsi="Times New Roman" w:cs="Times New Roman"/>
                <w:color w:val="auto"/>
                <w:szCs w:val="24"/>
                <w:highlight w:val="none"/>
              </w:rPr>
              <w:t>施工区</w:t>
            </w:r>
            <w:r>
              <w:rPr>
                <w:color w:val="auto"/>
                <w:highlight w:val="none"/>
              </w:rPr>
              <w:t>工程所需外来材料（水泥、钢材、木材等）均在</w:t>
            </w:r>
            <w:r>
              <w:rPr>
                <w:rFonts w:hint="eastAsia"/>
                <w:color w:val="auto"/>
                <w:highlight w:val="none"/>
              </w:rPr>
              <w:t>大竹</w:t>
            </w:r>
            <w:r>
              <w:rPr>
                <w:color w:val="auto"/>
                <w:highlight w:val="none"/>
              </w:rPr>
              <w:t>县城区购买，</w:t>
            </w:r>
            <w:r>
              <w:rPr>
                <w:rFonts w:hint="eastAsia"/>
                <w:color w:val="auto"/>
                <w:highlight w:val="none"/>
                <w:lang w:val="en-US" w:eastAsia="zh-CN"/>
              </w:rPr>
              <w:t>二郎、福兴段</w:t>
            </w:r>
            <w:r>
              <w:rPr>
                <w:rFonts w:hint="eastAsia"/>
                <w:color w:val="auto"/>
                <w:highlight w:val="none"/>
                <w:lang w:eastAsia="zh-CN"/>
              </w:rPr>
              <w:t>平均综合运距</w:t>
            </w:r>
            <w:r>
              <w:rPr>
                <w:color w:val="auto"/>
                <w:highlight w:val="none"/>
              </w:rPr>
              <w:t>约</w:t>
            </w:r>
            <w:r>
              <w:rPr>
                <w:rFonts w:hint="eastAsia"/>
                <w:color w:val="auto"/>
                <w:highlight w:val="none"/>
              </w:rPr>
              <w:t>40</w:t>
            </w:r>
            <w:r>
              <w:rPr>
                <w:color w:val="auto"/>
                <w:highlight w:val="none"/>
              </w:rPr>
              <w:t>km</w:t>
            </w:r>
            <w:r>
              <w:rPr>
                <w:rFonts w:hint="eastAsia"/>
                <w:color w:val="auto"/>
                <w:highlight w:val="none"/>
                <w:lang w:eastAsia="zh-CN"/>
              </w:rPr>
              <w:t>，</w:t>
            </w:r>
            <w:r>
              <w:rPr>
                <w:rFonts w:hint="eastAsia"/>
                <w:color w:val="auto"/>
                <w:highlight w:val="none"/>
              </w:rPr>
              <w:t>石河镇段</w:t>
            </w:r>
            <w:r>
              <w:rPr>
                <w:rFonts w:hint="eastAsia"/>
                <w:color w:val="auto"/>
                <w:highlight w:val="none"/>
                <w:lang w:eastAsia="zh-CN"/>
              </w:rPr>
              <w:t>平均综合运距</w:t>
            </w:r>
            <w:r>
              <w:rPr>
                <w:color w:val="auto"/>
                <w:highlight w:val="none"/>
              </w:rPr>
              <w:t>约</w:t>
            </w:r>
            <w:r>
              <w:rPr>
                <w:rFonts w:hint="eastAsia"/>
                <w:color w:val="auto"/>
                <w:highlight w:val="none"/>
              </w:rPr>
              <w:t>25</w:t>
            </w:r>
            <w:r>
              <w:rPr>
                <w:color w:val="auto"/>
                <w:highlight w:val="none"/>
              </w:rPr>
              <w:t>km</w:t>
            </w:r>
            <w:r>
              <w:rPr>
                <w:rFonts w:hint="eastAsia"/>
                <w:color w:val="auto"/>
                <w:highlight w:val="none"/>
              </w:rPr>
              <w:t>，双拱场段</w:t>
            </w:r>
            <w:r>
              <w:rPr>
                <w:rFonts w:hint="eastAsia"/>
                <w:color w:val="auto"/>
                <w:highlight w:val="none"/>
                <w:lang w:eastAsia="zh-CN"/>
              </w:rPr>
              <w:t>平均综合运距</w:t>
            </w:r>
            <w:r>
              <w:rPr>
                <w:color w:val="auto"/>
                <w:highlight w:val="none"/>
              </w:rPr>
              <w:t>约</w:t>
            </w:r>
            <w:r>
              <w:rPr>
                <w:rFonts w:hint="eastAsia"/>
                <w:color w:val="auto"/>
                <w:highlight w:val="none"/>
              </w:rPr>
              <w:t>30</w:t>
            </w:r>
            <w:r>
              <w:rPr>
                <w:color w:val="auto"/>
                <w:highlight w:val="none"/>
              </w:rPr>
              <w:t>km。</w:t>
            </w:r>
          </w:p>
          <w:p w14:paraId="79A8A5F0">
            <w:pPr>
              <w:ind w:firstLine="480"/>
              <w:jc w:val="left"/>
              <w:rPr>
                <w:rFonts w:hint="eastAsia"/>
                <w:color w:val="auto"/>
                <w:highlight w:val="none"/>
              </w:rPr>
            </w:pPr>
            <w:r>
              <w:rPr>
                <w:rFonts w:hint="eastAsia" w:cs="Times New Roman"/>
                <w:color w:val="auto"/>
                <w:szCs w:val="24"/>
                <w:highlight w:val="none"/>
                <w:lang w:val="en-US" w:eastAsia="zh-CN"/>
              </w:rPr>
              <w:t>石河镇2个防洪治理工程</w:t>
            </w:r>
            <w:r>
              <w:rPr>
                <w:rFonts w:hint="default" w:ascii="Times New Roman" w:hAnsi="Times New Roman" w:cs="Times New Roman"/>
                <w:color w:val="auto"/>
                <w:szCs w:val="24"/>
                <w:highlight w:val="none"/>
              </w:rPr>
              <w:t>所需</w:t>
            </w:r>
            <w:r>
              <w:rPr>
                <w:rFonts w:hint="eastAsia"/>
                <w:color w:val="auto"/>
                <w:highlight w:val="none"/>
              </w:rPr>
              <w:t>混凝土用粗、细骨料考虑</w:t>
            </w:r>
            <w:r>
              <w:rPr>
                <w:color w:val="auto"/>
                <w:highlight w:val="none"/>
              </w:rPr>
              <w:t>在</w:t>
            </w:r>
            <w:r>
              <w:rPr>
                <w:rFonts w:hint="eastAsia"/>
                <w:color w:val="auto"/>
                <w:highlight w:val="none"/>
              </w:rPr>
              <w:t>渠县卷硐镇的九盆料场进行购买</w:t>
            </w:r>
            <w:r>
              <w:rPr>
                <w:rFonts w:hint="eastAsia"/>
                <w:color w:val="auto"/>
                <w:highlight w:val="none"/>
                <w:lang w:eastAsia="zh-CN"/>
              </w:rPr>
              <w:t>，</w:t>
            </w:r>
            <w:r>
              <w:rPr>
                <w:color w:val="auto"/>
                <w:highlight w:val="none"/>
              </w:rPr>
              <w:t>交通条件较好，</w:t>
            </w:r>
            <w:r>
              <w:rPr>
                <w:rFonts w:hint="eastAsia"/>
                <w:color w:val="auto"/>
                <w:highlight w:val="none"/>
                <w:lang w:val="en-US" w:eastAsia="zh-CN"/>
              </w:rPr>
              <w:t>石河镇段、双拱场段的</w:t>
            </w:r>
            <w:r>
              <w:rPr>
                <w:color w:val="auto"/>
                <w:highlight w:val="none"/>
              </w:rPr>
              <w:t>运距约</w:t>
            </w:r>
            <w:r>
              <w:rPr>
                <w:rFonts w:hint="eastAsia"/>
                <w:color w:val="auto"/>
                <w:highlight w:val="none"/>
                <w:lang w:val="en-US" w:eastAsia="zh-CN"/>
              </w:rPr>
              <w:t>42</w:t>
            </w:r>
            <w:r>
              <w:rPr>
                <w:color w:val="auto"/>
                <w:highlight w:val="none"/>
              </w:rPr>
              <w:t>km</w:t>
            </w:r>
            <w:r>
              <w:rPr>
                <w:rFonts w:hint="eastAsia"/>
                <w:color w:val="auto"/>
                <w:highlight w:val="none"/>
                <w:lang w:eastAsia="zh-CN"/>
              </w:rPr>
              <w:t>，</w:t>
            </w:r>
            <w:r>
              <w:rPr>
                <w:rFonts w:hint="eastAsia"/>
                <w:color w:val="auto"/>
                <w:highlight w:val="none"/>
                <w:lang w:val="en-US" w:eastAsia="zh-CN"/>
              </w:rPr>
              <w:t>二郎、福兴段的</w:t>
            </w:r>
            <w:r>
              <w:rPr>
                <w:color w:val="auto"/>
                <w:highlight w:val="none"/>
              </w:rPr>
              <w:t>运距约</w:t>
            </w:r>
            <w:r>
              <w:rPr>
                <w:rFonts w:hint="eastAsia"/>
                <w:color w:val="auto"/>
                <w:highlight w:val="none"/>
              </w:rPr>
              <w:t>57</w:t>
            </w:r>
            <w:r>
              <w:rPr>
                <w:color w:val="auto"/>
                <w:highlight w:val="none"/>
              </w:rPr>
              <w:t>km</w:t>
            </w:r>
            <w:r>
              <w:rPr>
                <w:rFonts w:hint="default" w:ascii="Times New Roman" w:hAnsi="Times New Roman" w:cs="Times New Roman"/>
                <w:color w:val="auto"/>
                <w:szCs w:val="24"/>
                <w:highlight w:val="none"/>
              </w:rPr>
              <w:t>。</w:t>
            </w:r>
            <w:r>
              <w:rPr>
                <w:rFonts w:hint="eastAsia"/>
                <w:color w:val="auto"/>
                <w:highlight w:val="none"/>
              </w:rPr>
              <w:t>料场的储量、质量能满足规范要求及本工程需要。</w:t>
            </w:r>
          </w:p>
          <w:p w14:paraId="17A89179">
            <w:pPr>
              <w:keepNext w:val="0"/>
              <w:keepLines w:val="0"/>
              <w:pageBreakBefore w:val="0"/>
              <w:widowControl/>
              <w:kinsoku/>
              <w:wordWrap/>
              <w:overflowPunct/>
              <w:topLinePunct w:val="0"/>
              <w:autoSpaceDE/>
              <w:autoSpaceDN/>
              <w:bidi w:val="0"/>
              <w:adjustRightInd/>
              <w:snapToGrid/>
              <w:spacing w:before="0" w:after="0" w:line="360" w:lineRule="auto"/>
              <w:ind w:firstLine="480"/>
              <w:textAlignment w:val="auto"/>
              <w:outlineLvl w:val="9"/>
              <w:rPr>
                <w:rFonts w:hint="default" w:ascii="Times New Roman" w:hAnsi="Times New Roman" w:eastAsia="宋体" w:cs="Times New Roman"/>
                <w:b w:val="0"/>
                <w:bCs w:val="0"/>
                <w:snapToGrid w:val="0"/>
                <w:color w:val="auto"/>
                <w:sz w:val="24"/>
                <w:szCs w:val="24"/>
                <w:highlight w:val="none"/>
                <w:lang w:val="en-US" w:eastAsia="zh-CN" w:bidi="ar-SA"/>
              </w:rPr>
            </w:pPr>
            <w:r>
              <w:rPr>
                <w:rFonts w:hint="eastAsia" w:ascii="Times New Roman" w:hAnsi="Times New Roman" w:eastAsia="宋体" w:cs="Times New Roman"/>
                <w:b w:val="0"/>
                <w:bCs w:val="0"/>
                <w:snapToGrid w:val="0"/>
                <w:color w:val="auto"/>
                <w:sz w:val="24"/>
                <w:szCs w:val="24"/>
                <w:highlight w:val="none"/>
                <w:lang w:val="en-US" w:eastAsia="zh-CN" w:bidi="ar-SA"/>
              </w:rPr>
              <w:t>堤脚线开挖出的粉质粘土需经过处理后，作为堤脚和堤背的回填料使用，块石料场中碎石、石渣亦可作为堤基基础填筑料使用。</w:t>
            </w:r>
            <w:r>
              <w:rPr>
                <w:rFonts w:hint="eastAsia" w:cs="Times New Roman"/>
                <w:color w:val="auto"/>
                <w:szCs w:val="24"/>
                <w:highlight w:val="none"/>
                <w:lang w:val="en-US" w:eastAsia="zh-CN"/>
              </w:rPr>
              <w:t>石河镇2个防洪治理工程</w:t>
            </w:r>
            <w:r>
              <w:rPr>
                <w:rFonts w:hint="eastAsia" w:ascii="Times New Roman" w:hAnsi="Times New Roman" w:eastAsia="宋体" w:cs="Times New Roman"/>
                <w:b w:val="0"/>
                <w:bCs w:val="0"/>
                <w:snapToGrid w:val="0"/>
                <w:color w:val="auto"/>
                <w:sz w:val="24"/>
                <w:szCs w:val="24"/>
                <w:highlight w:val="none"/>
                <w:lang w:val="en-US" w:eastAsia="zh-CN" w:bidi="ar-SA"/>
              </w:rPr>
              <w:t>回填料、填筑料采用基础开挖中的合格料，不足部分采用外购。</w:t>
            </w:r>
          </w:p>
          <w:p w14:paraId="33D0EDC2">
            <w:pPr>
              <w:spacing w:line="360" w:lineRule="auto"/>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⑤</w:t>
            </w:r>
            <w:r>
              <w:rPr>
                <w:rFonts w:hint="default" w:ascii="Times New Roman" w:hAnsi="Times New Roman" w:cs="Times New Roman"/>
                <w:color w:val="auto"/>
                <w:szCs w:val="24"/>
                <w:highlight w:val="none"/>
                <w:lang w:val="en-US" w:eastAsia="zh-CN"/>
              </w:rPr>
              <w:t>弃</w:t>
            </w:r>
            <w:r>
              <w:rPr>
                <w:rFonts w:hint="default" w:ascii="Times New Roman" w:hAnsi="Times New Roman" w:cs="Times New Roman"/>
                <w:color w:val="auto"/>
                <w:szCs w:val="24"/>
                <w:highlight w:val="none"/>
              </w:rPr>
              <w:t>渣场</w:t>
            </w:r>
          </w:p>
          <w:p w14:paraId="0B085940">
            <w:pPr>
              <w:ind w:firstLine="480"/>
              <w:jc w:val="left"/>
              <w:rPr>
                <w:rFonts w:hint="default" w:ascii="Times New Roman" w:hAnsi="Times New Roman" w:cs="Times New Roman"/>
                <w:color w:val="auto"/>
                <w:szCs w:val="24"/>
                <w:highlight w:val="none"/>
              </w:rPr>
            </w:pPr>
            <w:r>
              <w:rPr>
                <w:rFonts w:hint="eastAsia" w:cs="Times New Roman"/>
                <w:color w:val="auto"/>
                <w:szCs w:val="24"/>
                <w:highlight w:val="none"/>
                <w:lang w:val="en-US" w:eastAsia="zh-CN"/>
              </w:rPr>
              <w:t>柳城河石河镇2个防洪治理工程不单独设弃渣场，经土石方平衡后产生的弃渣，</w:t>
            </w:r>
            <w:r>
              <w:rPr>
                <w:rFonts w:hint="eastAsia" w:cs="Times New Roman"/>
                <w:color w:val="auto"/>
                <w:sz w:val="24"/>
                <w:szCs w:val="24"/>
                <w:highlight w:val="none"/>
                <w:lang w:val="en-US" w:eastAsia="zh-CN"/>
              </w:rPr>
              <w:t>可直接利用的部分由周边居民用于农田做肥料，沉淀泥渣和</w:t>
            </w:r>
            <w:r>
              <w:rPr>
                <w:rFonts w:hint="eastAsia"/>
                <w:color w:val="auto"/>
                <w:sz w:val="24"/>
                <w:szCs w:val="24"/>
                <w:highlight w:val="none"/>
                <w:lang w:val="en-US" w:eastAsia="zh-CN"/>
              </w:rPr>
              <w:t>含砂石量多的疏浚砂石用于沿线低洼地区回填</w:t>
            </w:r>
            <w:r>
              <w:rPr>
                <w:rFonts w:hint="eastAsia" w:cs="Times New Roman"/>
                <w:color w:val="auto"/>
                <w:sz w:val="24"/>
                <w:szCs w:val="24"/>
                <w:highlight w:val="none"/>
                <w:lang w:val="en-US" w:eastAsia="zh-CN"/>
              </w:rPr>
              <w:t>；经晾干后的不可直接利用清淤淤泥运往市政规划的弃渣场</w:t>
            </w:r>
            <w:r>
              <w:rPr>
                <w:rFonts w:hint="default" w:ascii="Times New Roman" w:hAnsi="Times New Roman" w:eastAsia="宋体" w:cs="Times New Roman"/>
                <w:color w:val="auto"/>
                <w:sz w:val="24"/>
                <w:szCs w:val="24"/>
                <w:highlight w:val="none"/>
                <w:lang w:val="en-US" w:eastAsia="zh-CN"/>
              </w:rPr>
              <w:t>。</w:t>
            </w:r>
          </w:p>
          <w:p w14:paraId="3337248D">
            <w:pPr>
              <w:ind w:left="480" w:leftChars="200" w:firstLine="480" w:firstLineChars="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⑥其他</w:t>
            </w:r>
          </w:p>
          <w:p w14:paraId="0F1F622A">
            <w:pPr>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施工区</w:t>
            </w:r>
            <w:r>
              <w:rPr>
                <w:color w:val="auto"/>
                <w:highlight w:val="none"/>
              </w:rPr>
              <w:t>工程所需汽油、柴油等均在</w:t>
            </w:r>
            <w:r>
              <w:rPr>
                <w:rFonts w:hint="eastAsia"/>
                <w:color w:val="auto"/>
                <w:highlight w:val="none"/>
              </w:rPr>
              <w:t>大竹</w:t>
            </w:r>
            <w:r>
              <w:rPr>
                <w:color w:val="auto"/>
                <w:highlight w:val="none"/>
              </w:rPr>
              <w:t>县城区购买，</w:t>
            </w:r>
            <w:r>
              <w:rPr>
                <w:rFonts w:hint="eastAsia"/>
                <w:color w:val="auto"/>
                <w:highlight w:val="none"/>
              </w:rPr>
              <w:t>石河镇段</w:t>
            </w:r>
            <w:r>
              <w:rPr>
                <w:rFonts w:hint="eastAsia"/>
                <w:color w:val="auto"/>
                <w:highlight w:val="none"/>
                <w:lang w:eastAsia="zh-CN"/>
              </w:rPr>
              <w:t>平均综合运距</w:t>
            </w:r>
            <w:r>
              <w:rPr>
                <w:color w:val="auto"/>
                <w:highlight w:val="none"/>
              </w:rPr>
              <w:t>约</w:t>
            </w:r>
            <w:r>
              <w:rPr>
                <w:rFonts w:hint="eastAsia"/>
                <w:color w:val="auto"/>
                <w:highlight w:val="none"/>
              </w:rPr>
              <w:t>25</w:t>
            </w:r>
            <w:r>
              <w:rPr>
                <w:color w:val="auto"/>
                <w:highlight w:val="none"/>
              </w:rPr>
              <w:t>km</w:t>
            </w:r>
            <w:r>
              <w:rPr>
                <w:rFonts w:hint="eastAsia"/>
                <w:color w:val="auto"/>
                <w:highlight w:val="none"/>
              </w:rPr>
              <w:t>，双拱场段</w:t>
            </w:r>
            <w:r>
              <w:rPr>
                <w:rFonts w:hint="eastAsia"/>
                <w:color w:val="auto"/>
                <w:highlight w:val="none"/>
                <w:lang w:eastAsia="zh-CN"/>
              </w:rPr>
              <w:t>平均综合运距</w:t>
            </w:r>
            <w:r>
              <w:rPr>
                <w:color w:val="auto"/>
                <w:highlight w:val="none"/>
              </w:rPr>
              <w:t>约</w:t>
            </w:r>
            <w:r>
              <w:rPr>
                <w:rFonts w:hint="eastAsia"/>
                <w:color w:val="auto"/>
                <w:highlight w:val="none"/>
              </w:rPr>
              <w:t>30</w:t>
            </w:r>
            <w:r>
              <w:rPr>
                <w:color w:val="auto"/>
                <w:highlight w:val="none"/>
              </w:rPr>
              <w:t>km</w:t>
            </w:r>
            <w:r>
              <w:rPr>
                <w:rFonts w:hint="eastAsia"/>
                <w:color w:val="auto"/>
                <w:highlight w:val="none"/>
                <w:lang w:eastAsia="zh-CN"/>
              </w:rPr>
              <w:t>，</w:t>
            </w:r>
            <w:r>
              <w:rPr>
                <w:rFonts w:hint="eastAsia"/>
                <w:color w:val="auto"/>
                <w:highlight w:val="none"/>
                <w:lang w:val="en-US" w:eastAsia="zh-CN"/>
              </w:rPr>
              <w:t>二郎、福兴段</w:t>
            </w:r>
            <w:r>
              <w:rPr>
                <w:rFonts w:hint="eastAsia"/>
                <w:color w:val="auto"/>
                <w:highlight w:val="none"/>
                <w:lang w:eastAsia="zh-CN"/>
              </w:rPr>
              <w:t>平均综合运距</w:t>
            </w:r>
            <w:r>
              <w:rPr>
                <w:color w:val="auto"/>
                <w:highlight w:val="none"/>
              </w:rPr>
              <w:t>约</w:t>
            </w:r>
            <w:r>
              <w:rPr>
                <w:rFonts w:hint="eastAsia"/>
                <w:color w:val="auto"/>
                <w:highlight w:val="none"/>
              </w:rPr>
              <w:t>40</w:t>
            </w:r>
            <w:r>
              <w:rPr>
                <w:color w:val="auto"/>
                <w:highlight w:val="none"/>
              </w:rPr>
              <w:t>km。</w:t>
            </w:r>
            <w:r>
              <w:rPr>
                <w:rFonts w:hint="default" w:ascii="Times New Roman" w:hAnsi="Times New Roman" w:cs="Times New Roman"/>
                <w:color w:val="auto"/>
                <w:highlight w:val="none"/>
              </w:rPr>
              <w:t>本项目施工区内不设置柴油储存罐等设施，同时要求运输人员在油料运输必须采用密闭性能优越的储油罐，以防运输过程中发生风险事故。</w:t>
            </w:r>
          </w:p>
          <w:p w14:paraId="5D8382D2">
            <w:pPr>
              <w:ind w:left="480" w:leftChars="200" w:firstLine="480" w:firstLineChars="0"/>
              <w:jc w:val="both"/>
              <w:rPr>
                <w:rFonts w:hint="default" w:ascii="Times New Roman" w:hAnsi="Times New Roman" w:cs="Times New Roman"/>
                <w:color w:val="auto"/>
                <w:szCs w:val="24"/>
                <w:highlight w:val="none"/>
              </w:rPr>
            </w:pPr>
            <w:r>
              <w:rPr>
                <w:rFonts w:hint="default" w:ascii="Times New Roman" w:hAnsi="Times New Roman" w:cs="Times New Roman"/>
                <w:color w:val="auto"/>
                <w:sz w:val="24"/>
                <w:szCs w:val="24"/>
                <w:highlight w:val="none"/>
                <w:lang w:val="en-US" w:eastAsia="zh-CN"/>
              </w:rPr>
              <w:t>⑦</w:t>
            </w:r>
            <w:r>
              <w:rPr>
                <w:rFonts w:hint="default" w:ascii="Times New Roman" w:hAnsi="Times New Roman" w:cs="Times New Roman"/>
                <w:color w:val="auto"/>
                <w:szCs w:val="24"/>
                <w:highlight w:val="none"/>
              </w:rPr>
              <w:t>劳动定员</w:t>
            </w:r>
          </w:p>
          <w:p w14:paraId="542AA796">
            <w:pPr>
              <w:keepNext w:val="0"/>
              <w:keepLines w:val="0"/>
              <w:pageBreakBefore w:val="0"/>
              <w:widowControl w:val="0"/>
              <w:kinsoku/>
              <w:wordWrap/>
              <w:overflowPunct/>
              <w:topLinePunct w:val="0"/>
              <w:autoSpaceDE/>
              <w:autoSpaceDN/>
              <w:bidi w:val="0"/>
              <w:adjustRightInd/>
              <w:snapToGrid/>
              <w:spacing w:line="360" w:lineRule="auto"/>
              <w:ind w:left="0" w:leftChars="0" w:firstLineChars="200"/>
              <w:jc w:val="both"/>
              <w:textAlignment w:val="auto"/>
              <w:rPr>
                <w:rFonts w:hint="default" w:ascii="Times New Roman" w:hAnsi="Times New Roman" w:cs="Times New Roman"/>
                <w:color w:val="auto"/>
                <w:szCs w:val="24"/>
                <w:highlight w:val="none"/>
              </w:rPr>
            </w:pPr>
            <w:r>
              <w:rPr>
                <w:rFonts w:hint="eastAsia" w:cs="Times New Roman"/>
                <w:color w:val="auto"/>
                <w:szCs w:val="24"/>
                <w:highlight w:val="none"/>
                <w:lang w:val="en-US" w:eastAsia="zh-CN"/>
              </w:rPr>
              <w:t>石河镇二郎、福兴段</w:t>
            </w:r>
            <w:r>
              <w:rPr>
                <w:rFonts w:hint="default" w:ascii="Times New Roman" w:hAnsi="Times New Roman" w:cs="Times New Roman"/>
                <w:color w:val="auto"/>
                <w:szCs w:val="24"/>
                <w:highlight w:val="none"/>
              </w:rPr>
              <w:t>高峰期施工劳动力人数为</w:t>
            </w:r>
            <w:r>
              <w:rPr>
                <w:rFonts w:hint="eastAsia" w:cs="Times New Roman"/>
                <w:color w:val="auto"/>
                <w:szCs w:val="24"/>
                <w:highlight w:val="none"/>
                <w:lang w:val="en-US" w:eastAsia="zh-CN"/>
              </w:rPr>
              <w:t>259</w:t>
            </w:r>
            <w:r>
              <w:rPr>
                <w:rFonts w:hint="default" w:ascii="Times New Roman" w:hAnsi="Times New Roman" w:cs="Times New Roman"/>
                <w:color w:val="auto"/>
                <w:szCs w:val="24"/>
                <w:highlight w:val="none"/>
              </w:rPr>
              <w:t>人/d，平均劳动力人数为</w:t>
            </w:r>
            <w:r>
              <w:rPr>
                <w:rFonts w:hint="eastAsia" w:cs="Times New Roman"/>
                <w:color w:val="auto"/>
                <w:szCs w:val="24"/>
                <w:highlight w:val="none"/>
                <w:lang w:val="en-US" w:eastAsia="zh-CN"/>
              </w:rPr>
              <w:t>223</w:t>
            </w:r>
            <w:r>
              <w:rPr>
                <w:rFonts w:hint="default" w:ascii="Times New Roman" w:hAnsi="Times New Roman" w:cs="Times New Roman"/>
                <w:color w:val="auto"/>
                <w:szCs w:val="24"/>
                <w:highlight w:val="none"/>
              </w:rPr>
              <w:t>人/d。</w:t>
            </w:r>
            <w:r>
              <w:rPr>
                <w:rFonts w:hint="eastAsia" w:cs="Times New Roman"/>
                <w:color w:val="auto"/>
                <w:szCs w:val="24"/>
                <w:highlight w:val="none"/>
                <w:lang w:val="en-US" w:eastAsia="zh-CN"/>
              </w:rPr>
              <w:t>石河镇石河镇段、双拱场段</w:t>
            </w:r>
            <w:r>
              <w:rPr>
                <w:rFonts w:hint="default" w:ascii="Times New Roman" w:hAnsi="Times New Roman" w:cs="Times New Roman"/>
                <w:color w:val="auto"/>
                <w:szCs w:val="24"/>
                <w:highlight w:val="none"/>
              </w:rPr>
              <w:t>高峰期施工劳动力人数为2</w:t>
            </w:r>
            <w:r>
              <w:rPr>
                <w:rFonts w:hint="eastAsia" w:cs="Times New Roman"/>
                <w:color w:val="auto"/>
                <w:szCs w:val="24"/>
                <w:highlight w:val="none"/>
                <w:lang w:val="en-US" w:eastAsia="zh-CN"/>
              </w:rPr>
              <w:t>5</w:t>
            </w:r>
            <w:r>
              <w:rPr>
                <w:rFonts w:hint="default" w:ascii="Times New Roman" w:hAnsi="Times New Roman" w:cs="Times New Roman"/>
                <w:color w:val="auto"/>
                <w:szCs w:val="24"/>
                <w:highlight w:val="none"/>
              </w:rPr>
              <w:t>0人/d，平均劳动力人数为</w:t>
            </w:r>
            <w:r>
              <w:rPr>
                <w:rFonts w:hint="eastAsia" w:cs="Times New Roman"/>
                <w:color w:val="auto"/>
                <w:szCs w:val="24"/>
                <w:highlight w:val="none"/>
                <w:lang w:val="en-US" w:eastAsia="zh-CN"/>
              </w:rPr>
              <w:t>20</w:t>
            </w:r>
            <w:r>
              <w:rPr>
                <w:rFonts w:hint="default" w:ascii="Times New Roman" w:hAnsi="Times New Roman" w:cs="Times New Roman"/>
                <w:color w:val="auto"/>
                <w:szCs w:val="24"/>
                <w:highlight w:val="none"/>
              </w:rPr>
              <w:t>0人/d。</w:t>
            </w:r>
          </w:p>
          <w:p w14:paraId="6A925467">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b/>
                <w:bCs/>
                <w:color w:val="auto"/>
                <w:szCs w:val="24"/>
                <w:highlight w:val="none"/>
                <w:lang w:val="en-US" w:eastAsia="zh-CN"/>
              </w:rPr>
            </w:pPr>
            <w:r>
              <w:rPr>
                <w:rFonts w:hint="eastAsia" w:cs="Times New Roman"/>
                <w:b/>
                <w:bCs/>
                <w:color w:val="auto"/>
                <w:szCs w:val="24"/>
                <w:highlight w:val="none"/>
                <w:lang w:val="en-US" w:eastAsia="zh-CN"/>
              </w:rPr>
              <w:t>2.5.2 清河镇段及杨家镇段</w:t>
            </w:r>
          </w:p>
          <w:p w14:paraId="7C477E4F">
            <w:pPr>
              <w:adjustRightInd/>
              <w:snapToGrid/>
              <w:spacing w:line="360" w:lineRule="auto"/>
              <w:ind w:left="0" w:leftChars="0" w:firstLine="482" w:firstLineChars="200"/>
              <w:rPr>
                <w:b/>
                <w:bCs/>
                <w:color w:val="auto"/>
                <w:sz w:val="24"/>
                <w:highlight w:val="none"/>
              </w:rPr>
            </w:pPr>
            <w:r>
              <w:rPr>
                <w:rFonts w:hint="eastAsia"/>
                <w:b/>
                <w:bCs/>
                <w:color w:val="auto"/>
                <w:sz w:val="24"/>
                <w:highlight w:val="none"/>
                <w:lang w:val="en-US" w:eastAsia="zh-CN"/>
              </w:rPr>
              <w:t>2.5.2.1</w:t>
            </w:r>
            <w:r>
              <w:rPr>
                <w:rFonts w:hint="eastAsia"/>
                <w:b/>
                <w:bCs/>
                <w:color w:val="auto"/>
                <w:sz w:val="24"/>
                <w:highlight w:val="none"/>
              </w:rPr>
              <w:t>施工导流</w:t>
            </w:r>
          </w:p>
          <w:p w14:paraId="3B7E9052">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olor w:val="auto"/>
                <w:sz w:val="24"/>
                <w:highlight w:val="none"/>
                <w:lang w:val="en-US" w:eastAsia="zh-CN"/>
              </w:rPr>
            </w:pPr>
            <w:r>
              <w:rPr>
                <w:rFonts w:hint="default" w:ascii="Times New Roman" w:hAnsi="Times New Roman" w:cs="Calibri"/>
                <w:color w:val="auto"/>
                <w:sz w:val="24"/>
                <w:highlight w:val="none"/>
                <w:lang w:val="en-US" w:eastAsia="zh-CN"/>
              </w:rPr>
              <w:t>①</w:t>
            </w:r>
            <w:r>
              <w:rPr>
                <w:rFonts w:hint="eastAsia" w:ascii="Times New Roman" w:hAnsi="Times New Roman" w:cs="Calibri"/>
                <w:color w:val="auto"/>
                <w:sz w:val="24"/>
                <w:highlight w:val="none"/>
                <w:lang w:val="en-US" w:eastAsia="zh-CN"/>
              </w:rPr>
              <w:t xml:space="preserve"> </w:t>
            </w:r>
            <w:r>
              <w:rPr>
                <w:rFonts w:hint="eastAsia" w:ascii="Times New Roman" w:hAnsi="Times New Roman"/>
                <w:color w:val="auto"/>
                <w:sz w:val="24"/>
                <w:highlight w:val="none"/>
                <w:lang w:val="en-US" w:eastAsia="zh-CN"/>
              </w:rPr>
              <w:t>清河镇防洪工程</w:t>
            </w:r>
          </w:p>
          <w:p w14:paraId="76DAE11C">
            <w:pPr>
              <w:adjustRightInd/>
              <w:snapToGrid/>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项目东柳河干流导流流量为27.6m</w:t>
            </w:r>
            <w:r>
              <w:rPr>
                <w:rFonts w:hint="eastAsia"/>
                <w:color w:val="auto"/>
                <w:sz w:val="24"/>
                <w:highlight w:val="none"/>
                <w:vertAlign w:val="superscript"/>
                <w:lang w:val="en-US" w:eastAsia="zh-CN"/>
              </w:rPr>
              <w:t>3</w:t>
            </w:r>
            <w:r>
              <w:rPr>
                <w:rFonts w:hint="eastAsia"/>
                <w:color w:val="auto"/>
                <w:sz w:val="24"/>
                <w:highlight w:val="none"/>
                <w:lang w:val="en-US" w:eastAsia="zh-CN"/>
              </w:rPr>
              <w:t>/s，田家沟支流导流流量为0.3m</w:t>
            </w:r>
            <w:r>
              <w:rPr>
                <w:rFonts w:hint="eastAsia"/>
                <w:color w:val="auto"/>
                <w:sz w:val="24"/>
                <w:highlight w:val="none"/>
                <w:vertAlign w:val="superscript"/>
                <w:lang w:val="en-US" w:eastAsia="zh-CN"/>
              </w:rPr>
              <w:t>3</w:t>
            </w:r>
            <w:r>
              <w:rPr>
                <w:rFonts w:hint="eastAsia"/>
                <w:color w:val="auto"/>
                <w:sz w:val="24"/>
                <w:highlight w:val="none"/>
                <w:lang w:val="en-US" w:eastAsia="zh-CN"/>
              </w:rPr>
              <w:t>/s。主河道施工导流采用开挖下游石滩降低水位即可；田家沟支流采用围堰截流、管道导流方式；待主河道两侧施工完成砼镇脚后，对下游石滩进行恢复，利用河道进行导流。二阶段施工主要为上部护坡及堤顶等项目。导流时段为4-5月，利用下部河道已成型断面导流。</w:t>
            </w:r>
          </w:p>
          <w:p w14:paraId="0486EC14">
            <w:pPr>
              <w:adjustRightInd/>
              <w:snapToGrid/>
              <w:spacing w:line="360" w:lineRule="auto"/>
              <w:ind w:firstLine="480" w:firstLineChars="200"/>
              <w:rPr>
                <w:rFonts w:hint="default" w:ascii="Times New Roman" w:hAnsi="Times New Roman"/>
                <w:color w:val="auto"/>
                <w:sz w:val="24"/>
                <w:highlight w:val="none"/>
                <w:lang w:val="en-US" w:eastAsia="zh-CN"/>
              </w:rPr>
            </w:pPr>
            <w:r>
              <w:rPr>
                <w:rFonts w:hint="default" w:ascii="Times New Roman" w:hAnsi="Times New Roman" w:cs="Calibri"/>
                <w:color w:val="auto"/>
                <w:sz w:val="24"/>
                <w:highlight w:val="none"/>
                <w:lang w:val="en-US" w:eastAsia="zh-CN"/>
              </w:rPr>
              <w:t>②</w:t>
            </w:r>
            <w:r>
              <w:rPr>
                <w:rFonts w:hint="eastAsia" w:ascii="Times New Roman" w:hAnsi="Times New Roman" w:cs="Calibri"/>
                <w:color w:val="auto"/>
                <w:sz w:val="24"/>
                <w:highlight w:val="none"/>
                <w:lang w:val="en-US" w:eastAsia="zh-CN"/>
              </w:rPr>
              <w:t xml:space="preserve"> </w:t>
            </w:r>
            <w:r>
              <w:rPr>
                <w:rFonts w:hint="eastAsia" w:ascii="Times New Roman" w:hAnsi="Times New Roman"/>
                <w:color w:val="auto"/>
                <w:sz w:val="24"/>
                <w:highlight w:val="none"/>
                <w:lang w:val="en-US" w:eastAsia="zh-CN"/>
              </w:rPr>
              <w:t>杨家镇防洪工程</w:t>
            </w:r>
          </w:p>
          <w:p w14:paraId="70D530AB">
            <w:pPr>
              <w:adjustRightInd/>
              <w:snapToGrid/>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项目东柳河干流导流流量为23.6m</w:t>
            </w:r>
            <w:r>
              <w:rPr>
                <w:rFonts w:hint="eastAsia"/>
                <w:color w:val="auto"/>
                <w:sz w:val="24"/>
                <w:highlight w:val="none"/>
                <w:vertAlign w:val="superscript"/>
                <w:lang w:val="en-US" w:eastAsia="zh-CN"/>
              </w:rPr>
              <w:t>3</w:t>
            </w:r>
            <w:r>
              <w:rPr>
                <w:rFonts w:hint="eastAsia"/>
                <w:color w:val="auto"/>
                <w:sz w:val="24"/>
                <w:highlight w:val="none"/>
                <w:lang w:val="en-US" w:eastAsia="zh-CN"/>
              </w:rPr>
              <w:t>/s，清溪沟支流导流流量为1.3m</w:t>
            </w:r>
            <w:r>
              <w:rPr>
                <w:rFonts w:hint="eastAsia"/>
                <w:color w:val="auto"/>
                <w:sz w:val="24"/>
                <w:highlight w:val="none"/>
                <w:vertAlign w:val="superscript"/>
                <w:lang w:val="en-US" w:eastAsia="zh-CN"/>
              </w:rPr>
              <w:t>3</w:t>
            </w:r>
            <w:r>
              <w:rPr>
                <w:rFonts w:hint="eastAsia"/>
                <w:color w:val="auto"/>
                <w:sz w:val="24"/>
                <w:highlight w:val="none"/>
                <w:lang w:val="en-US" w:eastAsia="zh-CN"/>
              </w:rPr>
              <w:t>/s，蚂蟥沟支流导流流量为0.6m</w:t>
            </w:r>
            <w:r>
              <w:rPr>
                <w:rFonts w:hint="eastAsia"/>
                <w:color w:val="auto"/>
                <w:sz w:val="24"/>
                <w:highlight w:val="none"/>
                <w:vertAlign w:val="superscript"/>
                <w:lang w:val="en-US" w:eastAsia="zh-CN"/>
              </w:rPr>
              <w:t>3</w:t>
            </w:r>
            <w:r>
              <w:rPr>
                <w:rFonts w:hint="eastAsia"/>
                <w:color w:val="auto"/>
                <w:sz w:val="24"/>
                <w:highlight w:val="none"/>
                <w:lang w:val="en-US" w:eastAsia="zh-CN"/>
              </w:rPr>
              <w:t>/s。一阶段施工控制高程高于12月～次年3月在5年一遇枯期洪水位相对高程。</w:t>
            </w:r>
            <w:r>
              <w:rPr>
                <w:rFonts w:hint="eastAsia"/>
                <w:color w:val="auto"/>
                <w:sz w:val="24"/>
                <w:highlight w:val="none"/>
              </w:rPr>
              <w:t>主河道施工导流采用单边围堰导流</w:t>
            </w:r>
            <w:r>
              <w:rPr>
                <w:rFonts w:hint="eastAsia"/>
                <w:color w:val="auto"/>
                <w:sz w:val="24"/>
                <w:highlight w:val="none"/>
                <w:lang w:val="en-US" w:eastAsia="zh-CN"/>
              </w:rPr>
              <w:t>；各支流采用围堰截流、管道导流方式；待主河道两侧施工完成砼</w:t>
            </w:r>
            <w:r>
              <w:rPr>
                <w:rFonts w:hint="eastAsia"/>
                <w:color w:val="auto"/>
                <w:sz w:val="24"/>
                <w:highlight w:val="none"/>
              </w:rPr>
              <w:t>挡墙后</w:t>
            </w:r>
            <w:r>
              <w:rPr>
                <w:rFonts w:hint="eastAsia"/>
                <w:color w:val="auto"/>
                <w:sz w:val="24"/>
                <w:highlight w:val="none"/>
                <w:lang w:val="en-US" w:eastAsia="zh-CN"/>
              </w:rPr>
              <w:t>，</w:t>
            </w:r>
            <w:r>
              <w:rPr>
                <w:rFonts w:hint="eastAsia"/>
                <w:color w:val="auto"/>
                <w:sz w:val="24"/>
                <w:highlight w:val="none"/>
              </w:rPr>
              <w:t>对纵向围堰进行拆除，利用河道进行导流</w:t>
            </w:r>
            <w:r>
              <w:rPr>
                <w:rFonts w:hint="eastAsia"/>
                <w:color w:val="auto"/>
                <w:sz w:val="24"/>
                <w:highlight w:val="none"/>
                <w:lang w:eastAsia="zh-CN"/>
              </w:rPr>
              <w:t>。</w:t>
            </w:r>
            <w:r>
              <w:rPr>
                <w:rFonts w:hint="eastAsia"/>
                <w:color w:val="auto"/>
                <w:sz w:val="24"/>
                <w:highlight w:val="none"/>
                <w:lang w:val="en-US" w:eastAsia="zh-CN"/>
              </w:rPr>
              <w:t>二阶段施工主要为上部护坡及堤顶等项目。导流时段为4-5月，利用下部河道已成型断面导流。</w:t>
            </w:r>
          </w:p>
          <w:p w14:paraId="0D37AE15">
            <w:pPr>
              <w:adjustRightInd/>
              <w:snapToGrid/>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·导流构筑物及施工</w:t>
            </w:r>
          </w:p>
          <w:p w14:paraId="0B2F7B58">
            <w:pPr>
              <w:adjustRightInd/>
              <w:snapToGrid/>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根据建设单位提供的资料，东柳河干流采用围堰导流，围堰高度1.48m。田家沟支流、清溪沟支流、蚂蟥沟支流利用围堰挡水加涵管导流。在基坑开挖时，利用开挖弃土填筑围堰。上游围堰迎水面坡比为1:1.5，背坡坡比为1:1，迎水面设防渗土工膜及50cm厚渣料编织袋进行防护。</w:t>
            </w:r>
          </w:p>
          <w:p w14:paraId="73D61E20">
            <w:pPr>
              <w:adjustRightInd/>
              <w:snapToGrid/>
              <w:spacing w:line="360" w:lineRule="auto"/>
              <w:ind w:firstLine="482" w:firstLineChars="200"/>
              <w:rPr>
                <w:rFonts w:hint="eastAsia"/>
                <w:b/>
                <w:bCs/>
                <w:color w:val="auto"/>
                <w:sz w:val="24"/>
                <w:highlight w:val="none"/>
                <w:lang w:val="en-US" w:eastAsia="zh-CN"/>
              </w:rPr>
            </w:pPr>
            <w:r>
              <w:rPr>
                <w:rFonts w:hint="eastAsia"/>
                <w:b/>
                <w:bCs/>
                <w:color w:val="auto"/>
                <w:sz w:val="24"/>
                <w:highlight w:val="none"/>
                <w:lang w:val="en-US" w:eastAsia="zh-CN"/>
              </w:rPr>
              <w:t>·基坑排水</w:t>
            </w:r>
          </w:p>
          <w:p w14:paraId="3C94924F">
            <w:pPr>
              <w:adjustRightInd/>
              <w:snapToGrid/>
              <w:spacing w:line="360" w:lineRule="auto"/>
              <w:ind w:firstLine="480" w:firstLineChars="200"/>
              <w:rPr>
                <w:rFonts w:hint="default"/>
                <w:b w:val="0"/>
                <w:bCs w:val="0"/>
                <w:color w:val="auto"/>
                <w:sz w:val="24"/>
                <w:highlight w:val="none"/>
                <w:lang w:val="en-US" w:eastAsia="zh-CN"/>
              </w:rPr>
            </w:pPr>
            <w:r>
              <w:rPr>
                <w:rFonts w:hint="eastAsia"/>
                <w:b w:val="0"/>
                <w:bCs w:val="0"/>
                <w:color w:val="auto"/>
                <w:sz w:val="24"/>
                <w:highlight w:val="none"/>
                <w:lang w:val="en-US" w:eastAsia="zh-CN"/>
              </w:rPr>
              <w:t>根据建设单位提供的资料，</w:t>
            </w:r>
            <w:r>
              <w:rPr>
                <w:rFonts w:hint="default"/>
                <w:b w:val="0"/>
                <w:bCs w:val="0"/>
                <w:color w:val="auto"/>
                <w:sz w:val="24"/>
                <w:highlight w:val="none"/>
                <w:lang w:val="en-US" w:eastAsia="zh-CN"/>
              </w:rPr>
              <w:t>基坑采用明沟排水系统</w:t>
            </w:r>
            <w:r>
              <w:rPr>
                <w:rFonts w:hint="eastAsia"/>
                <w:b w:val="0"/>
                <w:bCs w:val="0"/>
                <w:color w:val="auto"/>
                <w:sz w:val="24"/>
                <w:highlight w:val="none"/>
                <w:lang w:val="en-US" w:eastAsia="zh-CN"/>
              </w:rPr>
              <w:t>。项目</w:t>
            </w:r>
            <w:r>
              <w:rPr>
                <w:rFonts w:hint="default"/>
                <w:b w:val="0"/>
                <w:bCs w:val="0"/>
                <w:color w:val="auto"/>
                <w:sz w:val="24"/>
                <w:highlight w:val="none"/>
                <w:lang w:val="en-US" w:eastAsia="zh-CN"/>
              </w:rPr>
              <w:t>采用水泵分段抽排水。</w:t>
            </w:r>
            <w:r>
              <w:rPr>
                <w:rFonts w:hint="eastAsia"/>
                <w:b w:val="0"/>
                <w:bCs w:val="0"/>
                <w:color w:val="auto"/>
                <w:sz w:val="24"/>
                <w:highlight w:val="none"/>
                <w:lang w:val="en-US" w:eastAsia="zh-CN"/>
              </w:rPr>
              <w:t>项目</w:t>
            </w:r>
            <w:r>
              <w:rPr>
                <w:rFonts w:hint="default"/>
                <w:b w:val="0"/>
                <w:bCs w:val="0"/>
                <w:color w:val="auto"/>
                <w:sz w:val="24"/>
                <w:highlight w:val="none"/>
                <w:lang w:val="en-US" w:eastAsia="zh-CN"/>
              </w:rPr>
              <w:t>在基坑内设排水沟、集水坑</w:t>
            </w:r>
            <w:r>
              <w:rPr>
                <w:rFonts w:hint="eastAsia"/>
                <w:b w:val="0"/>
                <w:bCs w:val="0"/>
                <w:color w:val="auto"/>
                <w:sz w:val="24"/>
                <w:highlight w:val="none"/>
                <w:lang w:val="en-US" w:eastAsia="zh-CN"/>
              </w:rPr>
              <w:t>及沉淀池</w:t>
            </w:r>
            <w:r>
              <w:rPr>
                <w:rFonts w:hint="default"/>
                <w:b w:val="0"/>
                <w:bCs w:val="0"/>
                <w:color w:val="auto"/>
                <w:sz w:val="24"/>
                <w:highlight w:val="none"/>
                <w:lang w:val="en-US" w:eastAsia="zh-CN"/>
              </w:rPr>
              <w:t>，</w:t>
            </w:r>
            <w:r>
              <w:rPr>
                <w:rFonts w:hint="eastAsia"/>
                <w:b w:val="0"/>
                <w:bCs w:val="0"/>
                <w:color w:val="auto"/>
                <w:sz w:val="24"/>
                <w:highlight w:val="none"/>
                <w:lang w:val="en-US" w:eastAsia="zh-CN"/>
              </w:rPr>
              <w:t>基坑水经沉淀处理后，排入地表水体。</w:t>
            </w:r>
          </w:p>
          <w:p w14:paraId="1B4C781A">
            <w:pPr>
              <w:adjustRightInd/>
              <w:snapToGrid/>
              <w:spacing w:line="360" w:lineRule="auto"/>
              <w:ind w:left="0" w:leftChars="0" w:firstLine="482" w:firstLineChars="200"/>
              <w:rPr>
                <w:b/>
                <w:bCs w:val="0"/>
                <w:color w:val="auto"/>
                <w:sz w:val="24"/>
                <w:highlight w:val="none"/>
              </w:rPr>
            </w:pPr>
            <w:r>
              <w:rPr>
                <w:rFonts w:hint="eastAsia"/>
                <w:b/>
                <w:bCs w:val="0"/>
                <w:color w:val="auto"/>
                <w:sz w:val="24"/>
                <w:highlight w:val="none"/>
                <w:lang w:val="en-US" w:eastAsia="zh-CN"/>
              </w:rPr>
              <w:t>2.5.2.2</w:t>
            </w:r>
            <w:r>
              <w:rPr>
                <w:rFonts w:hint="eastAsia"/>
                <w:b/>
                <w:bCs w:val="0"/>
                <w:color w:val="auto"/>
                <w:sz w:val="24"/>
                <w:highlight w:val="none"/>
              </w:rPr>
              <w:t>施工交通</w:t>
            </w:r>
          </w:p>
          <w:p w14:paraId="6247C8BF">
            <w:pPr>
              <w:adjustRightInd/>
              <w:snapToGrid/>
              <w:spacing w:line="360" w:lineRule="auto"/>
              <w:ind w:firstLine="480" w:firstLineChars="200"/>
              <w:rPr>
                <w:color w:val="auto"/>
                <w:sz w:val="24"/>
                <w:highlight w:val="none"/>
              </w:rPr>
            </w:pPr>
            <w:r>
              <w:rPr>
                <w:rFonts w:hint="eastAsia" w:ascii="宋体" w:hAnsi="宋体" w:cs="宋体"/>
                <w:color w:val="auto"/>
                <w:sz w:val="24"/>
                <w:highlight w:val="none"/>
              </w:rPr>
              <w:t>①</w:t>
            </w:r>
            <w:r>
              <w:rPr>
                <w:rFonts w:hint="eastAsia"/>
                <w:color w:val="auto"/>
                <w:sz w:val="24"/>
                <w:highlight w:val="none"/>
              </w:rPr>
              <w:t>场外交通</w:t>
            </w:r>
          </w:p>
          <w:p w14:paraId="0E9BB058">
            <w:pPr>
              <w:adjustRightInd/>
              <w:snapToGrid/>
              <w:spacing w:line="360" w:lineRule="auto"/>
              <w:ind w:firstLine="480" w:firstLineChars="200"/>
              <w:rPr>
                <w:color w:val="auto"/>
                <w:sz w:val="24"/>
                <w:highlight w:val="none"/>
              </w:rPr>
            </w:pPr>
            <w:r>
              <w:rPr>
                <w:rFonts w:hint="eastAsia"/>
                <w:color w:val="auto"/>
                <w:sz w:val="24"/>
                <w:highlight w:val="none"/>
                <w:lang w:val="en-US" w:eastAsia="zh-CN"/>
              </w:rPr>
              <w:t>项目所在区域</w:t>
            </w:r>
            <w:r>
              <w:rPr>
                <w:rFonts w:hint="eastAsia"/>
                <w:color w:val="auto"/>
                <w:sz w:val="24"/>
                <w:highlight w:val="none"/>
              </w:rPr>
              <w:t>场外交通较</w:t>
            </w:r>
            <w:r>
              <w:rPr>
                <w:rFonts w:hint="eastAsia"/>
                <w:color w:val="auto"/>
                <w:sz w:val="24"/>
                <w:highlight w:val="none"/>
                <w:lang w:val="en-US" w:eastAsia="zh-CN"/>
              </w:rPr>
              <w:t>便捷。物料运输依托现有道路。</w:t>
            </w:r>
          </w:p>
          <w:p w14:paraId="0A68D580">
            <w:pPr>
              <w:adjustRightInd/>
              <w:snapToGrid/>
              <w:spacing w:line="360" w:lineRule="auto"/>
              <w:ind w:firstLine="480" w:firstLineChars="200"/>
              <w:rPr>
                <w:color w:val="auto"/>
                <w:sz w:val="24"/>
                <w:highlight w:val="none"/>
              </w:rPr>
            </w:pPr>
            <w:r>
              <w:rPr>
                <w:rFonts w:hint="eastAsia" w:ascii="宋体" w:hAnsi="宋体" w:cs="宋体"/>
                <w:color w:val="auto"/>
                <w:sz w:val="24"/>
                <w:highlight w:val="none"/>
              </w:rPr>
              <w:t>②</w:t>
            </w:r>
            <w:r>
              <w:rPr>
                <w:rFonts w:hint="eastAsia"/>
                <w:color w:val="auto"/>
                <w:sz w:val="24"/>
                <w:highlight w:val="none"/>
              </w:rPr>
              <w:t>场内交通</w:t>
            </w:r>
          </w:p>
          <w:p w14:paraId="577AD656">
            <w:pPr>
              <w:adjustRightInd/>
              <w:snapToGrid/>
              <w:spacing w:line="360" w:lineRule="auto"/>
              <w:ind w:firstLine="480" w:firstLineChars="200"/>
              <w:rPr>
                <w:color w:val="auto"/>
                <w:sz w:val="24"/>
                <w:highlight w:val="none"/>
              </w:rPr>
            </w:pPr>
            <w:r>
              <w:rPr>
                <w:rFonts w:hint="eastAsia"/>
                <w:color w:val="auto"/>
                <w:sz w:val="24"/>
                <w:highlight w:val="none"/>
                <w:lang w:val="en-US" w:eastAsia="zh-CN"/>
              </w:rPr>
              <w:t>场内交通依托现有道路，并新建部分临时道路。根据建设单位提供的资料，项目新建临时道路2.75km（清河镇防洪工程1.0km、杨家镇防洪工程1.75km）</w:t>
            </w:r>
            <w:r>
              <w:rPr>
                <w:rFonts w:hint="eastAsia"/>
                <w:color w:val="auto"/>
                <w:sz w:val="24"/>
                <w:highlight w:val="none"/>
              </w:rPr>
              <w:t>，均采用泥结石碎石路面，路面宽度4.0m，路基宽4.6m。</w:t>
            </w:r>
          </w:p>
          <w:p w14:paraId="68016D91">
            <w:pPr>
              <w:adjustRightInd/>
              <w:snapToGrid/>
              <w:spacing w:line="360" w:lineRule="auto"/>
              <w:ind w:left="0" w:leftChars="0" w:firstLine="482" w:firstLineChars="200"/>
              <w:rPr>
                <w:rFonts w:hint="default" w:eastAsia="宋体"/>
                <w:b/>
                <w:bCs w:val="0"/>
                <w:color w:val="auto"/>
                <w:sz w:val="24"/>
                <w:highlight w:val="none"/>
                <w:lang w:val="en-US" w:eastAsia="zh-CN"/>
              </w:rPr>
            </w:pPr>
            <w:r>
              <w:rPr>
                <w:rFonts w:hint="eastAsia"/>
                <w:b/>
                <w:bCs w:val="0"/>
                <w:color w:val="auto"/>
                <w:sz w:val="24"/>
                <w:highlight w:val="none"/>
                <w:lang w:val="en-US" w:eastAsia="zh-CN"/>
              </w:rPr>
              <w:t>2.5.2.3</w:t>
            </w:r>
            <w:r>
              <w:rPr>
                <w:rFonts w:hint="eastAsia"/>
                <w:b/>
                <w:bCs w:val="0"/>
                <w:color w:val="auto"/>
                <w:sz w:val="24"/>
                <w:highlight w:val="none"/>
              </w:rPr>
              <w:t>施工</w:t>
            </w:r>
            <w:r>
              <w:rPr>
                <w:rFonts w:hint="eastAsia"/>
                <w:b/>
                <w:bCs w:val="0"/>
                <w:color w:val="auto"/>
                <w:sz w:val="24"/>
                <w:highlight w:val="none"/>
                <w:lang w:val="en-US" w:eastAsia="zh-CN"/>
              </w:rPr>
              <w:t>平面布置</w:t>
            </w:r>
          </w:p>
          <w:p w14:paraId="4BEC664D">
            <w:pPr>
              <w:adjustRightInd/>
              <w:snapToGrid/>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根据调查，项目分别在清河镇和杨家镇布置有施工场地及施工便道等。</w:t>
            </w:r>
          </w:p>
          <w:p w14:paraId="74C78760">
            <w:pPr>
              <w:adjustRightInd/>
              <w:snapToGrid/>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·施工营地</w:t>
            </w:r>
          </w:p>
          <w:p w14:paraId="21B220AF">
            <w:pPr>
              <w:adjustRightInd/>
              <w:snapToGrid/>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根据调查，项目未设置施工营地。施工人员办公及生活均租用周边农户房屋。施工人员生活依托周边村镇现有设施。</w:t>
            </w:r>
          </w:p>
          <w:p w14:paraId="75B9B242">
            <w:pPr>
              <w:adjustRightInd/>
              <w:snapToGrid/>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·施工场地</w:t>
            </w:r>
          </w:p>
          <w:p w14:paraId="0E30EF17">
            <w:pPr>
              <w:adjustRightInd/>
              <w:snapToGrid/>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根据调查，项项目分别在清河镇和杨家镇布置有施工场地。</w:t>
            </w:r>
          </w:p>
          <w:p w14:paraId="7DFEE18D">
            <w:pPr>
              <w:adjustRightInd/>
              <w:snapToGrid/>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清河镇段施工场地设置在闲置的兵峰驾校清河培训基地内，布置有堆料场、搅拌、钢筋加工、仓库等，不设置车辆维修、储油罐等。车辆维修及加油均依托周边现有设施和杨家镇分别布置了施工场。</w:t>
            </w:r>
          </w:p>
          <w:p w14:paraId="12A13B14">
            <w:pPr>
              <w:adjustRightInd/>
              <w:snapToGrid/>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杨家镇段施工场地布置在杨家镇小转盘北侧至垃圾收集点之间的区域内，布置有堆料场、搅拌、钢筋加工、仓库等，不设置车辆维修、储油罐等。车辆维修及加油均依托周边现有设施。</w:t>
            </w:r>
          </w:p>
          <w:p w14:paraId="077D27EF">
            <w:pPr>
              <w:adjustRightInd/>
              <w:snapToGrid/>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·临时堆土场</w:t>
            </w:r>
          </w:p>
          <w:p w14:paraId="744C7A53">
            <w:pPr>
              <w:adjustRightInd/>
              <w:snapToGrid/>
              <w:spacing w:line="360" w:lineRule="auto"/>
              <w:ind w:firstLine="480" w:firstLineChars="200"/>
              <w:rPr>
                <w:rFonts w:hint="default"/>
                <w:color w:val="auto"/>
                <w:sz w:val="24"/>
                <w:szCs w:val="24"/>
                <w:highlight w:val="none"/>
                <w:lang w:val="en-US" w:eastAsia="zh-CN"/>
              </w:rPr>
            </w:pPr>
            <w:r>
              <w:rPr>
                <w:rFonts w:hint="eastAsia"/>
                <w:color w:val="auto"/>
                <w:sz w:val="24"/>
                <w:highlight w:val="none"/>
                <w:lang w:val="en-US" w:eastAsia="zh-CN"/>
              </w:rPr>
              <w:t>项目未设置临时堆</w:t>
            </w:r>
            <w:r>
              <w:rPr>
                <w:rFonts w:hint="eastAsia"/>
                <w:color w:val="auto"/>
                <w:sz w:val="24"/>
                <w:szCs w:val="24"/>
                <w:highlight w:val="none"/>
                <w:lang w:val="en-US" w:eastAsia="zh-CN"/>
              </w:rPr>
              <w:t>土场。</w:t>
            </w:r>
            <w:r>
              <w:rPr>
                <w:rFonts w:hint="eastAsia" w:ascii="Times New Roman" w:hAnsi="Times New Roman" w:eastAsia="宋体" w:cs="Times New Roman"/>
                <w:color w:val="auto"/>
                <w:sz w:val="24"/>
                <w:szCs w:val="24"/>
                <w:highlight w:val="none"/>
                <w:lang w:val="en-US" w:eastAsia="zh-CN"/>
              </w:rPr>
              <w:t>采取“即挖即填”。</w:t>
            </w:r>
            <w:r>
              <w:rPr>
                <w:rFonts w:hint="eastAsia" w:ascii="Times New Roman" w:hAnsi="Times New Roman" w:eastAsia="宋体"/>
                <w:color w:val="auto"/>
                <w:sz w:val="24"/>
                <w:szCs w:val="24"/>
                <w:highlight w:val="none"/>
                <w:lang w:val="en-US" w:eastAsia="zh-CN"/>
              </w:rPr>
              <w:t>施工期采用分段施工，开挖表土及土石方临时堆放于施工附近的岸坡，用于回填。</w:t>
            </w:r>
          </w:p>
          <w:p w14:paraId="56076649">
            <w:pPr>
              <w:adjustRightInd/>
              <w:snapToGrid/>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olor w:val="auto"/>
                <w:szCs w:val="21"/>
                <w:highlight w:val="none"/>
                <w:lang w:val="en-US" w:eastAsia="zh-CN"/>
              </w:rPr>
              <w:t>·</w:t>
            </w:r>
            <w:r>
              <w:rPr>
                <w:rFonts w:hint="eastAsia" w:ascii="Times New Roman" w:hAnsi="Times New Roman" w:eastAsia="宋体" w:cs="Times New Roman"/>
                <w:color w:val="auto"/>
                <w:sz w:val="24"/>
                <w:highlight w:val="none"/>
                <w:lang w:val="en-US" w:eastAsia="zh-CN"/>
              </w:rPr>
              <w:t>施工便道</w:t>
            </w:r>
          </w:p>
          <w:p w14:paraId="53C7BA27">
            <w:pPr>
              <w:adjustRightInd/>
              <w:snapToGrid/>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根据调查，项目</w:t>
            </w:r>
            <w:r>
              <w:rPr>
                <w:rFonts w:hint="default" w:ascii="Times New Roman" w:hAnsi="Times New Roman" w:eastAsia="宋体" w:cs="Times New Roman"/>
                <w:color w:val="auto"/>
                <w:sz w:val="24"/>
                <w:highlight w:val="none"/>
                <w:lang w:val="en-US" w:eastAsia="zh-CN"/>
              </w:rPr>
              <w:t>新建</w:t>
            </w:r>
            <w:r>
              <w:rPr>
                <w:rFonts w:hint="eastAsia" w:ascii="Times New Roman" w:hAnsi="Times New Roman" w:eastAsia="宋体" w:cs="Times New Roman"/>
                <w:color w:val="auto"/>
                <w:sz w:val="24"/>
                <w:highlight w:val="none"/>
                <w:lang w:val="en-US" w:eastAsia="zh-CN"/>
              </w:rPr>
              <w:t>施工便道2.75</w:t>
            </w:r>
            <w:r>
              <w:rPr>
                <w:rFonts w:hint="default" w:ascii="Times New Roman" w:hAnsi="Times New Roman" w:eastAsia="宋体" w:cs="Times New Roman"/>
                <w:color w:val="auto"/>
                <w:sz w:val="24"/>
                <w:highlight w:val="none"/>
                <w:lang w:val="en-US" w:eastAsia="zh-CN"/>
              </w:rPr>
              <w:t>km</w:t>
            </w:r>
            <w:r>
              <w:rPr>
                <w:rFonts w:hint="eastAsia" w:ascii="Times New Roman" w:hAnsi="Times New Roman" w:eastAsia="宋体" w:cs="Times New Roman"/>
                <w:color w:val="auto"/>
                <w:sz w:val="24"/>
                <w:highlight w:val="none"/>
                <w:lang w:val="en-US" w:eastAsia="zh-CN"/>
              </w:rPr>
              <w:t>（</w:t>
            </w:r>
            <w:r>
              <w:rPr>
                <w:rFonts w:hint="eastAsia"/>
                <w:color w:val="auto"/>
                <w:sz w:val="24"/>
                <w:highlight w:val="none"/>
                <w:lang w:val="en-US" w:eastAsia="zh-CN"/>
              </w:rPr>
              <w:t>清河镇1.0km、杨家镇1.75km</w:t>
            </w:r>
            <w:r>
              <w:rPr>
                <w:rFonts w:hint="eastAsia" w:ascii="Times New Roman" w:hAnsi="Times New Roman" w:eastAsia="宋体" w:cs="Times New Roman"/>
                <w:color w:val="auto"/>
                <w:sz w:val="24"/>
                <w:highlight w:val="none"/>
                <w:lang w:val="en-US" w:eastAsia="zh-CN"/>
              </w:rPr>
              <w:t>）。施工便道均</w:t>
            </w:r>
            <w:r>
              <w:rPr>
                <w:rFonts w:hint="default" w:ascii="Times New Roman" w:hAnsi="Times New Roman" w:eastAsia="宋体" w:cs="Times New Roman"/>
                <w:color w:val="auto"/>
                <w:sz w:val="24"/>
                <w:highlight w:val="none"/>
                <w:lang w:val="en-US" w:eastAsia="zh-CN"/>
              </w:rPr>
              <w:t>采用泥结石路面（厚30cm），路面宽度4.0m，路基宽4.6m。</w:t>
            </w:r>
          </w:p>
          <w:p w14:paraId="765D3478">
            <w:pPr>
              <w:adjustRightInd/>
              <w:snapToGrid/>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·疏浚淤泥干化场</w:t>
            </w:r>
          </w:p>
          <w:p w14:paraId="3232E7C8">
            <w:pPr>
              <w:adjustRightInd/>
              <w:snapToGrid/>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lang w:val="en-US" w:eastAsia="zh-CN"/>
              </w:rPr>
              <w:t>根据调查，项目施工期未设置淤泥干化场。清淤产生的砂石等直接回填，淤泥直接用于护坡回填土利用。</w:t>
            </w:r>
          </w:p>
          <w:p w14:paraId="0440D92D">
            <w:pPr>
              <w:adjustRightInd/>
              <w:snapToGrid/>
              <w:spacing w:line="360" w:lineRule="auto"/>
              <w:ind w:firstLine="480" w:firstLineChars="200"/>
              <w:rPr>
                <w:rFonts w:hint="eastAsia"/>
                <w:color w:val="auto"/>
                <w:sz w:val="24"/>
                <w:highlight w:val="none"/>
                <w:lang w:bidi="ar"/>
              </w:rPr>
            </w:pPr>
            <w:r>
              <w:rPr>
                <w:rFonts w:hint="eastAsia"/>
                <w:color w:val="auto"/>
                <w:sz w:val="24"/>
                <w:highlight w:val="none"/>
                <w:lang w:val="en-US" w:eastAsia="zh-CN" w:bidi="ar"/>
              </w:rPr>
              <w:t>·</w:t>
            </w:r>
            <w:r>
              <w:rPr>
                <w:rFonts w:hint="eastAsia"/>
                <w:color w:val="auto"/>
                <w:sz w:val="24"/>
                <w:highlight w:val="none"/>
                <w:lang w:bidi="ar"/>
              </w:rPr>
              <w:t>料场</w:t>
            </w:r>
          </w:p>
          <w:p w14:paraId="6382791B">
            <w:pPr>
              <w:adjustRightInd/>
              <w:snapToGrid/>
              <w:spacing w:line="360" w:lineRule="auto"/>
              <w:ind w:firstLine="480"/>
              <w:rPr>
                <w:rFonts w:hint="eastAsia"/>
                <w:color w:val="auto"/>
                <w:sz w:val="24"/>
                <w:highlight w:val="none"/>
                <w:lang w:bidi="ar"/>
              </w:rPr>
            </w:pPr>
            <w:r>
              <w:rPr>
                <w:color w:val="auto"/>
                <w:sz w:val="24"/>
                <w:highlight w:val="none"/>
              </w:rPr>
              <w:t>本项目</w:t>
            </w:r>
            <w:r>
              <w:rPr>
                <w:rFonts w:hint="eastAsia"/>
                <w:color w:val="auto"/>
                <w:sz w:val="24"/>
                <w:highlight w:val="none"/>
                <w:lang w:val="en-US" w:eastAsia="zh-CN"/>
              </w:rPr>
              <w:t>未设置料场。项目所需石料均在周边购买</w:t>
            </w:r>
            <w:r>
              <w:rPr>
                <w:rFonts w:hint="eastAsia"/>
                <w:color w:val="auto"/>
                <w:sz w:val="24"/>
                <w:highlight w:val="none"/>
              </w:rPr>
              <w:t>。</w:t>
            </w:r>
          </w:p>
          <w:p w14:paraId="7453BFCF">
            <w:pPr>
              <w:adjustRightInd/>
              <w:snapToGrid/>
              <w:spacing w:line="360" w:lineRule="auto"/>
              <w:ind w:firstLine="480" w:firstLineChars="200"/>
              <w:rPr>
                <w:color w:val="auto"/>
                <w:sz w:val="24"/>
                <w:highlight w:val="none"/>
                <w:lang w:bidi="ar"/>
              </w:rPr>
            </w:pPr>
            <w:r>
              <w:rPr>
                <w:rFonts w:hint="eastAsia"/>
                <w:color w:val="auto"/>
                <w:sz w:val="24"/>
                <w:highlight w:val="none"/>
                <w:lang w:val="en-US" w:eastAsia="zh-CN" w:bidi="ar"/>
              </w:rPr>
              <w:t>·</w:t>
            </w:r>
            <w:r>
              <w:rPr>
                <w:rFonts w:hint="eastAsia"/>
                <w:color w:val="auto"/>
                <w:sz w:val="24"/>
                <w:highlight w:val="none"/>
                <w:lang w:bidi="ar"/>
              </w:rPr>
              <w:t>弃渣场</w:t>
            </w:r>
          </w:p>
          <w:p w14:paraId="6319D8DB">
            <w:pPr>
              <w:adjustRightInd/>
              <w:snapToGrid/>
              <w:spacing w:line="360" w:lineRule="auto"/>
              <w:ind w:firstLine="480" w:firstLineChars="200"/>
              <w:rPr>
                <w:color w:val="auto"/>
                <w:sz w:val="24"/>
                <w:highlight w:val="none"/>
                <w:lang w:bidi="ar"/>
              </w:rPr>
            </w:pPr>
            <w:r>
              <w:rPr>
                <w:rFonts w:hint="eastAsia"/>
                <w:color w:val="auto"/>
                <w:sz w:val="24"/>
                <w:highlight w:val="none"/>
                <w:lang w:val="en-US" w:eastAsia="zh-CN" w:bidi="ar"/>
              </w:rPr>
              <w:t>根据调查，清河镇段及杨家镇段未</w:t>
            </w:r>
            <w:r>
              <w:rPr>
                <w:rFonts w:hint="eastAsia"/>
                <w:color w:val="auto"/>
                <w:sz w:val="24"/>
                <w:highlight w:val="none"/>
                <w:lang w:bidi="ar"/>
              </w:rPr>
              <w:t>设弃渣场，经土石方平衡后产生的弃渣</w:t>
            </w:r>
            <w:r>
              <w:rPr>
                <w:rFonts w:hint="eastAsia"/>
                <w:color w:val="auto"/>
                <w:sz w:val="24"/>
                <w:highlight w:val="none"/>
                <w:lang w:val="en-US" w:eastAsia="zh-CN" w:bidi="ar"/>
              </w:rPr>
              <w:t>回填</w:t>
            </w:r>
            <w:r>
              <w:rPr>
                <w:rFonts w:hint="eastAsia"/>
                <w:color w:val="auto"/>
                <w:sz w:val="24"/>
                <w:highlight w:val="none"/>
                <w:lang w:bidi="ar"/>
              </w:rPr>
              <w:t>。</w:t>
            </w:r>
          </w:p>
          <w:p w14:paraId="06137F72">
            <w:pPr>
              <w:adjustRightInd/>
              <w:snapToGrid/>
              <w:spacing w:line="360" w:lineRule="auto"/>
              <w:ind w:left="0" w:leftChars="0" w:firstLine="482" w:firstLineChars="200"/>
              <w:rPr>
                <w:b/>
                <w:bCs/>
                <w:color w:val="auto"/>
                <w:sz w:val="24"/>
                <w:highlight w:val="none"/>
              </w:rPr>
            </w:pPr>
            <w:r>
              <w:rPr>
                <w:rFonts w:hint="eastAsia"/>
                <w:b/>
                <w:bCs/>
                <w:color w:val="auto"/>
                <w:sz w:val="24"/>
                <w:highlight w:val="none"/>
                <w:lang w:val="en-US" w:eastAsia="zh-CN"/>
              </w:rPr>
              <w:t>2.5.2.4</w:t>
            </w:r>
            <w:r>
              <w:rPr>
                <w:rFonts w:hint="eastAsia"/>
                <w:b/>
                <w:bCs/>
                <w:color w:val="auto"/>
                <w:sz w:val="24"/>
                <w:highlight w:val="none"/>
              </w:rPr>
              <w:t>劳动定员</w:t>
            </w:r>
          </w:p>
          <w:p w14:paraId="716E48AE">
            <w:pPr>
              <w:keepNext w:val="0"/>
              <w:keepLines w:val="0"/>
              <w:pageBreakBefore w:val="0"/>
              <w:widowControl w:val="0"/>
              <w:kinsoku/>
              <w:wordWrap/>
              <w:overflowPunct/>
              <w:topLinePunct w:val="0"/>
              <w:autoSpaceDE/>
              <w:autoSpaceDN/>
              <w:bidi w:val="0"/>
              <w:adjustRightInd/>
              <w:snapToGrid/>
              <w:spacing w:line="360" w:lineRule="auto"/>
              <w:ind w:left="0" w:leftChars="0" w:firstLineChars="200"/>
              <w:jc w:val="both"/>
              <w:textAlignment w:val="auto"/>
              <w:rPr>
                <w:rFonts w:hint="eastAsia" w:ascii="Times New Roman" w:hAnsi="Times New Roman"/>
                <w:b w:val="0"/>
                <w:bCs w:val="0"/>
                <w:color w:val="auto"/>
                <w:sz w:val="24"/>
                <w:highlight w:val="none"/>
                <w:lang w:val="en-US" w:eastAsia="zh-CN" w:bidi="ar"/>
              </w:rPr>
            </w:pPr>
            <w:r>
              <w:rPr>
                <w:rFonts w:hint="eastAsia" w:ascii="Times New Roman" w:hAnsi="Times New Roman"/>
                <w:b w:val="0"/>
                <w:bCs w:val="0"/>
                <w:color w:val="auto"/>
                <w:sz w:val="24"/>
                <w:highlight w:val="none"/>
                <w:lang w:bidi="ar"/>
              </w:rPr>
              <w:t>项目</w:t>
            </w:r>
            <w:r>
              <w:rPr>
                <w:rFonts w:hint="eastAsia" w:cs="Times New Roman"/>
                <w:b w:val="0"/>
                <w:bCs w:val="0"/>
                <w:color w:val="auto"/>
                <w:szCs w:val="24"/>
                <w:highlight w:val="none"/>
                <w:lang w:val="en-US" w:eastAsia="zh-CN"/>
              </w:rPr>
              <w:t>清河镇段及杨家镇段</w:t>
            </w:r>
            <w:r>
              <w:rPr>
                <w:rFonts w:hint="eastAsia" w:ascii="Times New Roman" w:hAnsi="Times New Roman"/>
                <w:b w:val="0"/>
                <w:bCs w:val="0"/>
                <w:color w:val="auto"/>
                <w:sz w:val="24"/>
                <w:highlight w:val="none"/>
                <w:lang w:bidi="ar"/>
              </w:rPr>
              <w:t>施工高峰期施工人数</w:t>
            </w:r>
            <w:r>
              <w:rPr>
                <w:rFonts w:hint="eastAsia" w:ascii="Times New Roman" w:hAnsi="Times New Roman"/>
                <w:b w:val="0"/>
                <w:bCs w:val="0"/>
                <w:color w:val="auto"/>
                <w:sz w:val="24"/>
                <w:highlight w:val="none"/>
                <w:lang w:val="en-US" w:eastAsia="zh-CN" w:bidi="ar"/>
              </w:rPr>
              <w:t>约40</w:t>
            </w:r>
            <w:r>
              <w:rPr>
                <w:rFonts w:hint="eastAsia" w:ascii="Times New Roman" w:hAnsi="Times New Roman"/>
                <w:b w:val="0"/>
                <w:bCs w:val="0"/>
                <w:color w:val="auto"/>
                <w:sz w:val="24"/>
                <w:highlight w:val="none"/>
                <w:lang w:bidi="ar"/>
              </w:rPr>
              <w:t>人/d。</w:t>
            </w:r>
            <w:r>
              <w:rPr>
                <w:rFonts w:hint="eastAsia" w:ascii="Times New Roman" w:hAnsi="Times New Roman"/>
                <w:b w:val="0"/>
                <w:bCs w:val="0"/>
                <w:color w:val="auto"/>
                <w:sz w:val="24"/>
                <w:highlight w:val="none"/>
                <w:lang w:val="en-US" w:eastAsia="zh-CN" w:bidi="ar"/>
              </w:rPr>
              <w:t>施工人员大部分来自项目周边</w:t>
            </w:r>
            <w:r>
              <w:rPr>
                <w:rFonts w:hint="eastAsia"/>
                <w:b w:val="0"/>
                <w:bCs w:val="0"/>
                <w:color w:val="auto"/>
                <w:sz w:val="24"/>
                <w:highlight w:val="none"/>
                <w:lang w:val="en-US" w:eastAsia="zh-CN" w:bidi="ar"/>
              </w:rPr>
              <w:t>居民</w:t>
            </w:r>
            <w:r>
              <w:rPr>
                <w:rFonts w:hint="eastAsia" w:ascii="Times New Roman" w:hAnsi="Times New Roman"/>
                <w:b w:val="0"/>
                <w:bCs w:val="0"/>
                <w:color w:val="auto"/>
                <w:sz w:val="24"/>
                <w:highlight w:val="none"/>
                <w:lang w:val="en-US" w:eastAsia="zh-CN" w:bidi="ar"/>
              </w:rPr>
              <w:t>。</w:t>
            </w:r>
          </w:p>
          <w:p w14:paraId="70D3CC24">
            <w:pPr>
              <w:keepNext w:val="0"/>
              <w:keepLines w:val="0"/>
              <w:pageBreakBefore w:val="0"/>
              <w:widowControl/>
              <w:numPr>
                <w:ilvl w:val="-1"/>
                <w:numId w:val="0"/>
              </w:numPr>
              <w:kinsoku/>
              <w:wordWrap/>
              <w:overflowPunct/>
              <w:topLinePunct w:val="0"/>
              <w:autoSpaceDE/>
              <w:autoSpaceDN/>
              <w:bidi w:val="0"/>
              <w:adjustRightInd/>
              <w:snapToGrid/>
              <w:spacing w:line="240" w:lineRule="auto"/>
              <w:ind w:firstLine="480"/>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2.6项目与各水库饮用水水源保护区的位置关系</w:t>
            </w:r>
          </w:p>
          <w:p w14:paraId="7C47EA89">
            <w:pPr>
              <w:ind w:firstLine="480"/>
              <w:rPr>
                <w:rFonts w:hint="eastAsia"/>
                <w:b/>
                <w:bCs/>
                <w:color w:val="auto"/>
                <w:sz w:val="24"/>
                <w:szCs w:val="24"/>
                <w:highlight w:val="none"/>
                <w:lang w:val="en-US" w:eastAsia="zh-CN"/>
              </w:rPr>
            </w:pPr>
            <w:r>
              <w:rPr>
                <w:rFonts w:hint="eastAsia"/>
                <w:color w:val="auto"/>
                <w:sz w:val="24"/>
                <w:highlight w:val="none"/>
                <w:lang w:val="en-US" w:eastAsia="zh-CN"/>
              </w:rPr>
              <w:t>据调查，</w:t>
            </w:r>
            <w:r>
              <w:rPr>
                <w:rFonts w:hint="eastAsia" w:ascii="Times New Roman" w:hAnsi="Times New Roman" w:eastAsia="宋体" w:cs="Times New Roman"/>
                <w:b w:val="0"/>
                <w:bCs w:val="0"/>
                <w:color w:val="auto"/>
                <w:sz w:val="24"/>
                <w:szCs w:val="24"/>
                <w:highlight w:val="none"/>
                <w:lang w:val="en-US" w:eastAsia="zh-CN"/>
              </w:rPr>
              <w:t>铁峰水库高程约911m，冒水眼水库高程约930m；</w:t>
            </w:r>
            <w:r>
              <w:rPr>
                <w:rFonts w:hint="eastAsia"/>
                <w:color w:val="auto"/>
                <w:sz w:val="24"/>
                <w:highlight w:val="none"/>
                <w:lang w:val="en-US" w:eastAsia="zh-CN"/>
              </w:rPr>
              <w:t>本项目清河镇段、杨家镇段高程约305m，与</w:t>
            </w:r>
            <w:r>
              <w:rPr>
                <w:rFonts w:hint="eastAsia" w:ascii="Times New Roman" w:hAnsi="Times New Roman" w:eastAsia="宋体" w:cs="Times New Roman"/>
                <w:b w:val="0"/>
                <w:bCs w:val="0"/>
                <w:color w:val="auto"/>
                <w:sz w:val="24"/>
                <w:szCs w:val="24"/>
                <w:highlight w:val="none"/>
                <w:lang w:val="en-US" w:eastAsia="zh-CN"/>
              </w:rPr>
              <w:t>铁峰水库、冒水眼水库最近直线距离约6km</w:t>
            </w:r>
            <w:r>
              <w:rPr>
                <w:rFonts w:hint="eastAsia"/>
                <w:color w:val="auto"/>
                <w:sz w:val="24"/>
                <w:highlight w:val="none"/>
                <w:lang w:val="en-US" w:eastAsia="zh-CN"/>
              </w:rPr>
              <w:t>。同时，响滩子水库、乌木滩水库、刘家坝水库</w:t>
            </w:r>
            <w:r>
              <w:rPr>
                <w:rFonts w:hint="eastAsia" w:ascii="Times New Roman" w:hAnsi="Times New Roman" w:eastAsia="宋体" w:cs="Times New Roman"/>
                <w:b w:val="0"/>
                <w:bCs w:val="0"/>
                <w:color w:val="auto"/>
                <w:sz w:val="24"/>
                <w:szCs w:val="24"/>
                <w:highlight w:val="none"/>
                <w:lang w:val="en-US" w:eastAsia="zh-CN"/>
              </w:rPr>
              <w:t>饮用水水源保护区均位于本项目上游，最近直线距离约4.6km。根据水库饮用水源保护区矢量数据，本项目均不在铁峰水库、冒水眼水库、</w:t>
            </w:r>
            <w:r>
              <w:rPr>
                <w:rFonts w:hint="eastAsia"/>
                <w:color w:val="auto"/>
                <w:sz w:val="24"/>
                <w:highlight w:val="none"/>
                <w:lang w:val="en-US" w:eastAsia="zh-CN"/>
              </w:rPr>
              <w:t>响滩子水库、乌木滩水库、刘家坝水库</w:t>
            </w:r>
            <w:r>
              <w:rPr>
                <w:rFonts w:hint="eastAsia" w:ascii="Times New Roman" w:hAnsi="Times New Roman" w:eastAsia="宋体" w:cs="Times New Roman"/>
                <w:b w:val="0"/>
                <w:bCs w:val="0"/>
                <w:color w:val="auto"/>
                <w:sz w:val="24"/>
                <w:szCs w:val="24"/>
                <w:highlight w:val="none"/>
                <w:lang w:val="en-US" w:eastAsia="zh-CN"/>
              </w:rPr>
              <w:t>饮用水水源保护区范围内，施工过程不会对其饮用水源造成影响。项目与各饮用水源保护区位置关系图详见下方</w:t>
            </w:r>
            <w:r>
              <w:rPr>
                <w:rFonts w:hint="eastAsia"/>
                <w:b/>
                <w:bCs/>
                <w:color w:val="auto"/>
                <w:sz w:val="24"/>
                <w:szCs w:val="24"/>
                <w:highlight w:val="none"/>
                <w:lang w:val="en-US" w:eastAsia="zh-CN"/>
              </w:rPr>
              <w:t>图2.6-1。</w:t>
            </w:r>
          </w:p>
          <w:p w14:paraId="71A437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auto"/>
                <w:highlight w:val="none"/>
              </w:rPr>
            </w:pPr>
            <w:r>
              <w:rPr>
                <w:color w:val="auto"/>
                <w:highlight w:val="none"/>
              </w:rPr>
              <w:drawing>
                <wp:inline distT="0" distB="0" distL="114300" distR="114300">
                  <wp:extent cx="5501640" cy="5742305"/>
                  <wp:effectExtent l="0" t="0" r="3810" b="1079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3"/>
                          <a:stretch>
                            <a:fillRect/>
                          </a:stretch>
                        </pic:blipFill>
                        <pic:spPr>
                          <a:xfrm>
                            <a:off x="0" y="0"/>
                            <a:ext cx="5501640" cy="5742305"/>
                          </a:xfrm>
                          <a:prstGeom prst="rect">
                            <a:avLst/>
                          </a:prstGeom>
                          <a:noFill/>
                          <a:ln>
                            <a:noFill/>
                          </a:ln>
                        </pic:spPr>
                      </pic:pic>
                    </a:graphicData>
                  </a:graphic>
                </wp:inline>
              </w:drawing>
            </w:r>
            <w:r>
              <w:rPr>
                <w:color w:val="auto"/>
                <w:sz w:val="24"/>
                <w:highlight w:val="none"/>
              </w:rPr>
              <mc:AlternateContent>
                <mc:Choice Requires="wpg">
                  <w:drawing>
                    <wp:anchor distT="0" distB="0" distL="114300" distR="114300" simplePos="0" relativeHeight="251660288" behindDoc="0" locked="0" layoutInCell="1" allowOverlap="1">
                      <wp:simplePos x="0" y="0"/>
                      <wp:positionH relativeFrom="column">
                        <wp:posOffset>134620</wp:posOffset>
                      </wp:positionH>
                      <wp:positionV relativeFrom="paragraph">
                        <wp:posOffset>658495</wp:posOffset>
                      </wp:positionV>
                      <wp:extent cx="4714240" cy="5171440"/>
                      <wp:effectExtent l="4445" t="0" r="24765" b="10160"/>
                      <wp:wrapNone/>
                      <wp:docPr id="9" name="组合 9"/>
                      <wp:cNvGraphicFramePr/>
                      <a:graphic xmlns:a="http://schemas.openxmlformats.org/drawingml/2006/main">
                        <a:graphicData uri="http://schemas.microsoft.com/office/word/2010/wordprocessingGroup">
                          <wpg:wgp>
                            <wpg:cNvGrpSpPr/>
                            <wpg:grpSpPr>
                              <a:xfrm>
                                <a:off x="0" y="0"/>
                                <a:ext cx="4714240" cy="5171440"/>
                                <a:chOff x="7748" y="1325107"/>
                                <a:chExt cx="7424" cy="8144"/>
                              </a:xfrm>
                            </wpg:grpSpPr>
                            <wps:wsp>
                              <wps:cNvPr id="4" name="矩形 4"/>
                              <wps:cNvSpPr/>
                              <wps:spPr>
                                <a:xfrm>
                                  <a:off x="9756" y="1325172"/>
                                  <a:ext cx="5416" cy="3467"/>
                                </a:xfrm>
                                <a:prstGeom prst="rect">
                                  <a:avLst/>
                                </a:prstGeom>
                                <a:noFill/>
                                <a:ln w="25400">
                                  <a:solidFill>
                                    <a:srgbClr val="C12BD3"/>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 name="文本框 5"/>
                              <wps:cNvSpPr txBox="1"/>
                              <wps:spPr>
                                <a:xfrm>
                                  <a:off x="9815" y="1325107"/>
                                  <a:ext cx="1440" cy="1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70CB7">
                                    <w:pPr>
                                      <w:ind w:firstLine="0" w:firstLineChars="0"/>
                                      <w:rPr>
                                        <w:rFonts w:hint="eastAsia" w:eastAsia="宋体"/>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7748" y="1332143"/>
                                  <a:ext cx="3529" cy="110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60FA707">
                                    <w:pPr>
                                      <w:spacing w:line="240" w:lineRule="auto"/>
                                      <w:ind w:firstLine="0" w:firstLineChars="0"/>
                                      <w:jc w:val="center"/>
                                      <w:rPr>
                                        <w:rFonts w:hint="eastAsia"/>
                                        <w:sz w:val="21"/>
                                        <w:szCs w:val="21"/>
                                        <w:lang w:val="en-US" w:eastAsia="zh-CN"/>
                                      </w:rPr>
                                    </w:pPr>
                                    <w:r>
                                      <w:rPr>
                                        <w:rFonts w:hint="eastAsia"/>
                                        <w:sz w:val="21"/>
                                        <w:szCs w:val="21"/>
                                        <w:lang w:val="en-US" w:eastAsia="zh-CN"/>
                                      </w:rPr>
                                      <w:t>图例</w:t>
                                    </w:r>
                                  </w:p>
                                  <w:p w14:paraId="213AC48F">
                                    <w:pPr>
                                      <w:spacing w:line="240" w:lineRule="auto"/>
                                      <w:jc w:val="right"/>
                                      <w:rPr>
                                        <w:rFonts w:hint="default"/>
                                        <w:sz w:val="21"/>
                                        <w:szCs w:val="21"/>
                                        <w:lang w:val="en-US" w:eastAsia="zh-CN"/>
                                      </w:rPr>
                                    </w:pPr>
                                    <w:r>
                                      <w:rPr>
                                        <w:rFonts w:hint="eastAsia"/>
                                        <w:sz w:val="21"/>
                                        <w:szCs w:val="21"/>
                                        <w:lang w:val="en-US" w:eastAsia="zh-CN"/>
                                      </w:rPr>
                                      <w:t>本项目所在位置</w:t>
                                    </w:r>
                                  </w:p>
                                  <w:p w14:paraId="6F63F3BC">
                                    <w:pPr>
                                      <w:spacing w:line="240" w:lineRule="auto"/>
                                      <w:jc w:val="right"/>
                                      <w:rPr>
                                        <w:rFonts w:hint="default"/>
                                        <w:sz w:val="21"/>
                                        <w:szCs w:val="21"/>
                                        <w:lang w:val="en-US" w:eastAsia="zh-CN"/>
                                      </w:rPr>
                                    </w:pPr>
                                    <w:r>
                                      <w:rPr>
                                        <w:rFonts w:hint="eastAsia"/>
                                        <w:sz w:val="21"/>
                                        <w:szCs w:val="21"/>
                                        <w:lang w:val="en-US" w:eastAsia="zh-CN"/>
                                      </w:rPr>
                                      <w:t>水库饮用水源保护区范围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矩形 7"/>
                              <wps:cNvSpPr/>
                              <wps:spPr>
                                <a:xfrm>
                                  <a:off x="7811" y="1332617"/>
                                  <a:ext cx="737" cy="182"/>
                                </a:xfrm>
                                <a:prstGeom prst="rect">
                                  <a:avLst/>
                                </a:prstGeom>
                                <a:noFill/>
                                <a:ln w="25400">
                                  <a:solidFill>
                                    <a:srgbClr val="C12BD3"/>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 name="矩形 8"/>
                              <wps:cNvSpPr/>
                              <wps:spPr>
                                <a:xfrm>
                                  <a:off x="7807" y="1332963"/>
                                  <a:ext cx="737" cy="182"/>
                                </a:xfrm>
                                <a:prstGeom prst="rect">
                                  <a:avLst/>
                                </a:prstGeom>
                                <a:solidFill>
                                  <a:schemeClr val="accent1"/>
                                </a:solidFill>
                                <a:ln w="127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6pt;margin-top:51.85pt;height:407.2pt;width:371.2pt;z-index:251660288;mso-width-relative:page;mso-height-relative:page;" coordorigin="7748,1325107" coordsize="7424,8144" o:gfxdata="UEsDBAoAAAAAAIdO4kAAAAAAAAAAAAAAAAAEAAAAZHJzL1BLAwQUAAAACACHTuJAYYilIdoAAAAK&#10;AQAADwAAAGRycy9kb3ducmV2LnhtbE2PwU7DMAyG70i8Q2QkbixJK7qtazqhCThNSGxIiFvWeG21&#10;JqmarN3eHnNiR9uffn9/sb7Yjo04hNY7BXImgKGrvGldreBr//a0ABaidkZ33qGCKwZYl/d3hc6N&#10;n9wnjrtYMwpxIdcKmhj7nPNQNWh1mPkeHd2OfrA60jjU3Ax6onDb8USIjFvdOvrQ6B43DVan3dkq&#10;eJ/09JLK13F7Om6uP/vnj++tRKUeH6RYAYt4if8w/OmTOpTkdPBnZwLrFCQyIZL2Ip0DI2CepRmw&#10;g4KlXEjgZcFvK5S/UEsDBBQAAAAIAIdO4kDsgw7LFgQAAHMRAAAOAAAAZHJzL2Uyb0RvYy54bWzt&#10;WM1u4zYQvhfoOxC8N5ZkybKNKIvEroMCQTdAWuyZpilZqCSyJB07PS/aHnvqaYFFeyvQN1js42z2&#10;NXb4I//FAbLdYIEt4oNMaqgh55uPn4Y6fraqK3TNpCp5k+HwKMCINZTPyqbI8I8/TL7pY6Q0aWak&#10;4g3L8A1T+NnJ118dL8WQRXzOqxmTCJw0argUGZ5rLYadjqJzVhN1xAVrwJhzWRMNXVl0ZpIswXtd&#10;daIg6HWWXM6E5JQpBXfHzoi9R/kQhzzPS8rGnC5q1mjnVbKKaAhJzUuh8IldbZ4zqp/nuWIaVRmG&#10;SLW9wiTQnppr5+SYDAtJxLykfgnkIUvYi6kmZQOTrl2NiSZoIcs7ruqSSq54ro8orzsuEIsIRBEG&#10;e9icS74QNpZiuCzEGnRI1B7q/9kt/f76UqJyluEBRg2pIeHv37x898fvaGCwWYpiCEPOpbgSl9Lf&#10;KFzPhLvKZW3+IRC0sqjerFFlK40o3IzTMI5iAJyCLQmhBx2LO51DcsxzaRoD68AcdqMkDNLW/K13&#10;kYID93wfnjbWTjt3xyxxvaKlAFKqDVLq05C6mhPBbAKUgcEjBUvxSL3+593bv5FdkJkZhqxhUkMF&#10;iB3AaJAmvU2saeRibcFK4hCsBqlu3LM4rCMlQyGVPme8RqaRYQnstqQj1xdKO1DaIWbihk/KqrJI&#10;Vw1aZjhK4sDkgcC2zWG7QLMWkHrVFBiRqgA9oFpal4pX5cw8bhwpWUxHlUTXBHbRKIzOxl2fg51h&#10;Zu4xUXM3zppccHWpQTKqss5wPzA//3TVQCINcA4q05ry2Q3ALLnbqUrQSQluL4jSl0TC1oT1g3jp&#10;53DJKw5Bcd/CaM7lL4fum/HAA7BitIStDgH/vCCSYVR91wBDBpaRSNtOnKQRzCG3LdNtS7OoRxxw&#10;CEEmBbVNM15XbTOXvH4BGndqZgUTaSjM7aD1nZF2EgQqSdnpqR0GeiCIvmiuBDXOXQJPF5rnpc3t&#10;Bh0PGvDcbNDPQPikJfztn7/dvvr39q9fUWJSaCb3nEd6dcZhJ4ft/fvY3w/B2/5Ob9nvEmHY34rE&#10;I7K/100CD6vfF+D8AAX1arrywf2P2Qib3xHzC+MiqKMT3w0Xey3nPpKLW2+dbhTGVtPIsOViN4ng&#10;lWi5GAZ9r1jt+66V2QcqsdXCg2o6sT/vfWeYk+w1aXdsZvq1IE8rQn+66+GJ3KC6Xxi505bc711l&#10;YQuALZX1snSPtqb9EF5KVlu7US/0VVTL57QL3i2d+7bmeERlfaornuoKeyS79yRzuJCGmn+nkLYq&#10;+xF0h4NCS/dBb0++H4/uO8q7UwrH/TQend2VXlNWmHo7jNJPr7cnk62KeWctT/W2LZw/a71tj5tw&#10;FrcnUP/dwBz2t/u2Pt98Kzn5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kGAABbQ29udGVudF9UeXBlc10ueG1sUEsBAhQACgAAAAAAh07iQAAA&#10;AAAAAAAAAAAAAAYAAAAAAAAAAAAQAAAAawUAAF9yZWxzL1BLAQIUABQAAAAIAIdO4kCKFGY80QAA&#10;AJQBAAALAAAAAAAAAAEAIAAAAI8FAABfcmVscy8ucmVsc1BLAQIUAAoAAAAAAIdO4kAAAAAAAAAA&#10;AAAAAAAEAAAAAAAAAAAAEAAAAAAAAABkcnMvUEsBAhQAFAAAAAgAh07iQGGIpSHaAAAACgEAAA8A&#10;AAAAAAAAAQAgAAAAIgAAAGRycy9kb3ducmV2LnhtbFBLAQIUABQAAAAIAIdO4kDsgw7LFgQAAHMR&#10;AAAOAAAAAAAAAAEAIAAAACkBAABkcnMvZTJvRG9jLnhtbFBLBQYAAAAABgAGAFkBAACxBwAAAAA=&#10;">
                      <o:lock v:ext="edit" aspectratio="f"/>
                      <v:rect id="_x0000_s1026" o:spid="_x0000_s1026" o:spt="1" style="position:absolute;left:9756;top:1325172;height:3467;width:5416;v-text-anchor:middle;" filled="f" stroked="t" coordsize="21600,21600" o:gfxdata="UEsDBAoAAAAAAIdO4kAAAAAAAAAAAAAAAAAEAAAAZHJzL1BLAwQUAAAACACHTuJAsANLM7wAAADa&#10;AAAADwAAAGRycy9kb3ducmV2LnhtbEWPQWvCQBSE7wX/w/IEb3UTbYukrjkEgrmJ1ktvz+xrNph9&#10;G7Krxv76bkHwOMzMN8w6H20nrjT41rGCdJ6AIK6dbrlRcPwqX1cgfEDW2DkmBXfykG8mL2vMtLvx&#10;nq6H0IgIYZ+hAhNCn0npa0MW/dz1xNH7cYPFEOXQSD3gLcJtJxdJ8iEtthwXDPZUGKrPh4tVcNr1&#10;7+NxecFdWfxWvtqO33trlJpN0+QTRKAxPMOPdqUVvMH/lXgD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DSzO8AAAA&#10;2gAAAA8AAAAAAAAAAQAgAAAAIgAAAGRycy9kb3ducmV2LnhtbFBLAQIUABQAAAAIAIdO4kAzLwWe&#10;OwAAADkAAAAQAAAAAAAAAAEAIAAAAAsBAABkcnMvc2hhcGV4bWwueG1sUEsFBgAAAAAGAAYAWwEA&#10;ALUDAAAAAA==&#10;">
                        <v:fill on="f" focussize="0,0"/>
                        <v:stroke weight="2pt" color="#C12BD3 [2404]" miterlimit="8" joinstyle="miter"/>
                        <v:imagedata o:title=""/>
                        <o:lock v:ext="edit" aspectratio="f"/>
                      </v:rect>
                      <v:shape id="_x0000_s1026" o:spid="_x0000_s1026" o:spt="202" type="#_x0000_t202" style="position:absolute;left:9815;top:1325107;height:1440;width:1440;" filled="f" stroked="f" coordsize="21600,21600" o:gfxdata="UEsDBAoAAAAAAIdO4kAAAAAAAAAAAAAAAAAEAAAAZHJzL1BLAwQUAAAACACHTuJAvEkpHL4AAADa&#10;AAAADwAAAGRycy9kb3ducmV2LnhtbEWPQWvCQBSE7wX/w/KE3uomQkpIXYMExFLqITaX3l6zzySY&#10;fRuz22j99d1CweMwM98wq/xqejHR6DrLCuJFBIK4trrjRkH1sX1KQTiPrLG3TAp+yEG+nj2sMNP2&#10;wiVNB9+IAGGXoYLW+yGT0tUtGXQLOxAH72hHgz7IsZF6xEuAm14uo+hZGuw4LLQ4UNFSfTp8GwVv&#10;xXaP5dfSpLe+2L0fN8O5+kyUepzH0QsIT1d/D/+3X7WCBP6uhBs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pHL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4A70CB7">
                              <w:pPr>
                                <w:ind w:firstLine="0" w:firstLineChars="0"/>
                                <w:rPr>
                                  <w:rFonts w:hint="eastAsia" w:eastAsia="宋体"/>
                                  <w:b/>
                                  <w:bCs/>
                                  <w:color w:val="FF0000"/>
                                  <w:lang w:val="en-US" w:eastAsia="zh-CN"/>
                                </w:rPr>
                              </w:pPr>
                              <w:r>
                                <w:rPr>
                                  <w:rFonts w:hint="eastAsia"/>
                                  <w:b/>
                                  <w:bCs/>
                                  <w:color w:val="FF0000"/>
                                  <w:lang w:val="en-US" w:eastAsia="zh-CN"/>
                                </w:rPr>
                                <w:t>本项目</w:t>
                              </w:r>
                            </w:p>
                          </w:txbxContent>
                        </v:textbox>
                      </v:shape>
                      <v:shape id="_x0000_s1026" o:spid="_x0000_s1026" o:spt="202" type="#_x0000_t202" style="position:absolute;left:7748;top:1332143;height:1108;width:3529;" fillcolor="#FFFFFF [3201]" filled="t" stroked="t" coordsize="21600,21600" o:gfxdata="UEsDBAoAAAAAAIdO4kAAAAAAAAAAAAAAAAAEAAAAZHJzL1BLAwQUAAAACACHTuJA6cswHLYAAADa&#10;AAAADwAAAGRycy9kb3ducmV2LnhtbEWPwQrCMBBE74L/EFbwZlMVilSjoCCIN7UXb0uztsVmU5Jo&#10;9e+NIHgcZuYNs9q8TCue5HxjWcE0SUEQl1Y3XCkoLvvJAoQPyBpby6TgTR426+Fghbm2PZ/oeQ6V&#10;iBD2OSqoQ+hyKX1Zk0Gf2I44ejfrDIYoXSW1wz7CTStnaZpJgw3HhRo72tVU3s8Po+CQbcOVCn3U&#10;89nc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nLMBy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660FA707">
                              <w:pPr>
                                <w:spacing w:line="240" w:lineRule="auto"/>
                                <w:ind w:firstLine="0" w:firstLineChars="0"/>
                                <w:jc w:val="center"/>
                                <w:rPr>
                                  <w:rFonts w:hint="eastAsia"/>
                                  <w:sz w:val="21"/>
                                  <w:szCs w:val="21"/>
                                  <w:lang w:val="en-US" w:eastAsia="zh-CN"/>
                                </w:rPr>
                              </w:pPr>
                              <w:r>
                                <w:rPr>
                                  <w:rFonts w:hint="eastAsia"/>
                                  <w:sz w:val="21"/>
                                  <w:szCs w:val="21"/>
                                  <w:lang w:val="en-US" w:eastAsia="zh-CN"/>
                                </w:rPr>
                                <w:t>图例</w:t>
                              </w:r>
                            </w:p>
                            <w:p w14:paraId="213AC48F">
                              <w:pPr>
                                <w:spacing w:line="240" w:lineRule="auto"/>
                                <w:jc w:val="right"/>
                                <w:rPr>
                                  <w:rFonts w:hint="default"/>
                                  <w:sz w:val="21"/>
                                  <w:szCs w:val="21"/>
                                  <w:lang w:val="en-US" w:eastAsia="zh-CN"/>
                                </w:rPr>
                              </w:pPr>
                              <w:r>
                                <w:rPr>
                                  <w:rFonts w:hint="eastAsia"/>
                                  <w:sz w:val="21"/>
                                  <w:szCs w:val="21"/>
                                  <w:lang w:val="en-US" w:eastAsia="zh-CN"/>
                                </w:rPr>
                                <w:t>本项目所在位置</w:t>
                              </w:r>
                            </w:p>
                            <w:p w14:paraId="6F63F3BC">
                              <w:pPr>
                                <w:spacing w:line="240" w:lineRule="auto"/>
                                <w:jc w:val="right"/>
                                <w:rPr>
                                  <w:rFonts w:hint="default"/>
                                  <w:sz w:val="21"/>
                                  <w:szCs w:val="21"/>
                                  <w:lang w:val="en-US" w:eastAsia="zh-CN"/>
                                </w:rPr>
                              </w:pPr>
                              <w:r>
                                <w:rPr>
                                  <w:rFonts w:hint="eastAsia"/>
                                  <w:sz w:val="21"/>
                                  <w:szCs w:val="21"/>
                                  <w:lang w:val="en-US" w:eastAsia="zh-CN"/>
                                </w:rPr>
                                <w:t>水库饮用水源保护区范围</w:t>
                              </w:r>
                            </w:p>
                          </w:txbxContent>
                        </v:textbox>
                      </v:shape>
                      <v:rect id="_x0000_s1026" o:spid="_x0000_s1026" o:spt="1" style="position:absolute;left:7811;top:1332617;height:182;width:737;v-text-anchor:middle;" filled="f" stroked="t" coordsize="21600,21600" o:gfxdata="UEsDBAoAAAAAAIdO4kAAAAAAAAAAAAAAAAAEAAAAZHJzL1BLAwQUAAAACACHTuJAQNHVRLwAAADa&#10;AAAADwAAAGRycy9kb3ducmV2LnhtbEWPQWvCQBSE7wX/w/IEb3UTpa2krjkEgrmJ1ktvz+xrNph9&#10;G7Krxv76bkHwOMzMN8w6H20nrjT41rGCdJ6AIK6dbrlRcPwqX1cgfEDW2DkmBXfykG8mL2vMtLvx&#10;nq6H0IgIYZ+hAhNCn0npa0MW/dz1xNH7cYPFEOXQSD3gLcJtJxdJ8i4tthwXDPZUGKrPh4tVcNr1&#10;b+NxecFdWfxWvtqO33trlJpN0+QTRKAxPMOPdqUVfMD/lXgD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R1US8AAAA&#10;2gAAAA8AAAAAAAAAAQAgAAAAIgAAAGRycy9kb3ducmV2LnhtbFBLAQIUABQAAAAIAIdO4kAzLwWe&#10;OwAAADkAAAAQAAAAAAAAAAEAIAAAAAsBAABkcnMvc2hhcGV4bWwueG1sUEsFBgAAAAAGAAYAWwEA&#10;ALUDAAAAAA==&#10;">
                        <v:fill on="f" focussize="0,0"/>
                        <v:stroke weight="2pt" color="#C12BD3 [2404]" miterlimit="8" joinstyle="miter"/>
                        <v:imagedata o:title=""/>
                        <o:lock v:ext="edit" aspectratio="f"/>
                      </v:rect>
                      <v:rect id="_x0000_s1026" o:spid="_x0000_s1026" o:spt="1" style="position:absolute;left:7807;top:1332963;height:182;width:737;v-text-anchor:middle;" fillcolor="#4874CB [3204]" filled="t" stroked="t" coordsize="21600,21600" o:gfxdata="UEsDBAoAAAAAAIdO4kAAAAAAAAAAAAAAAAAEAAAAZHJzL1BLAwQUAAAACACHTuJA27LujbYAAADa&#10;AAAADwAAAGRycy9kb3ducmV2LnhtbEVPyQrCMBC9C/5DGMGbTRURqUYPgriAB5eLt6EZ22IzKUms&#10;y9ebg+Dx8fb58mVq0ZLzlWUFwyQFQZxbXXGh4HJeD6YgfEDWWFsmBW/ysFx0O3PMtH3ykdpTKEQM&#10;YZ+hgjKEJpPS5yUZ9IltiCN3s85giNAVUjt8xnBTy1GaTqTBimNDiQ2tSsrvp4dRsD2uW9Y3tw+P&#10;z3i62R+a66rYKdXvDdMZiECv8Bf/3FutIG6NV+INkI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uy7o22AAAA2gAAAA8A&#10;AAAAAAAAAQAgAAAAIgAAAGRycy9kb3ducmV2LnhtbFBLAQIUABQAAAAIAIdO4kAzLwWeOwAAADkA&#10;AAAQAAAAAAAAAAEAIAAAAAUBAABkcnMvc2hhcGV4bWwueG1sUEsFBgAAAAAGAAYAWwEAAK8DAAAA&#10;AA==&#10;">
                        <v:fill on="t" focussize="0,0"/>
                        <v:stroke weight="1pt" color="#FF0000 [2404]" miterlimit="8" joinstyle="miter"/>
                        <v:imagedata o:title=""/>
                        <o:lock v:ext="edit" aspectratio="f"/>
                      </v:rect>
                    </v:group>
                  </w:pict>
                </mc:Fallback>
              </mc:AlternateContent>
            </w:r>
          </w:p>
          <w:p w14:paraId="6A7AEE60">
            <w:pPr>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auto"/>
              <w:rPr>
                <w:rFonts w:hint="eastAsia" w:ascii="Times New Roman" w:hAnsi="Times New Roman" w:cs="Times New Roman"/>
                <w:b w:val="0"/>
                <w:bCs w:val="0"/>
                <w:color w:val="auto"/>
                <w:szCs w:val="22"/>
                <w:highlight w:val="none"/>
                <w:lang w:val="en-US" w:eastAsia="zh-CN" w:bidi="ar"/>
              </w:rPr>
            </w:pPr>
            <w:r>
              <w:rPr>
                <w:rFonts w:hint="eastAsia"/>
                <w:b/>
                <w:bCs/>
                <w:color w:val="auto"/>
                <w:sz w:val="24"/>
                <w:szCs w:val="24"/>
                <w:highlight w:val="none"/>
                <w:lang w:val="en-US" w:eastAsia="zh-CN"/>
              </w:rPr>
              <w:t>图2.6-1 项目与乌木滩水库等饮用水水源保护区的位置关系图</w:t>
            </w:r>
          </w:p>
          <w:p w14:paraId="1BB77FFF">
            <w:pPr>
              <w:ind w:firstLine="48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w:t>
            </w:r>
            <w:r>
              <w:rPr>
                <w:rFonts w:hint="eastAsia" w:cs="Times New Roman"/>
                <w:b/>
                <w:bCs/>
                <w:color w:val="auto"/>
                <w:highlight w:val="none"/>
                <w:lang w:val="en-US" w:eastAsia="zh-CN"/>
              </w:rPr>
              <w:t>7</w:t>
            </w:r>
            <w:r>
              <w:rPr>
                <w:rFonts w:hint="default" w:ascii="Times New Roman" w:hAnsi="Times New Roman" w:cs="Times New Roman"/>
                <w:b/>
                <w:bCs/>
                <w:color w:val="auto"/>
                <w:highlight w:val="none"/>
              </w:rPr>
              <w:t xml:space="preserve"> 施工总布置合理性</w:t>
            </w:r>
          </w:p>
          <w:p w14:paraId="76097236">
            <w:pPr>
              <w:ind w:firstLine="480"/>
              <w:rPr>
                <w:rFonts w:hint="eastAsia" w:cs="Times New Roman"/>
                <w:color w:val="auto"/>
                <w:highlight w:val="none"/>
                <w:lang w:val="en-US" w:eastAsia="zh-CN"/>
              </w:rPr>
            </w:pPr>
            <w:r>
              <w:rPr>
                <w:rFonts w:hint="eastAsia" w:cs="Times New Roman"/>
                <w:color w:val="auto"/>
                <w:highlight w:val="none"/>
                <w:lang w:val="en-US" w:eastAsia="zh-CN"/>
              </w:rPr>
              <w:t>本项目由石河镇二郎及福兴段、石河镇石河镇段及双拱场段、清河镇段及杨家镇段防洪工程组成。项目总布置按照工程分区进行布置，便于施工。</w:t>
            </w:r>
          </w:p>
          <w:p w14:paraId="19FEF74E">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项目施工场地布置均依托现有设施，</w:t>
            </w:r>
            <w:r>
              <w:rPr>
                <w:rFonts w:hint="default" w:ascii="Times New Roman" w:hAnsi="Times New Roman" w:cs="Times New Roman"/>
                <w:color w:val="auto"/>
                <w:highlight w:val="none"/>
              </w:rPr>
              <w:t>遵循因地制宜、因时制宜、有利生产、方便生活、易于管理、安全可靠、注重环境保护、减少</w:t>
            </w:r>
            <w:r>
              <w:rPr>
                <w:rFonts w:hint="eastAsia" w:cs="Times New Roman"/>
                <w:color w:val="auto"/>
                <w:highlight w:val="none"/>
                <w:lang w:val="en-US" w:eastAsia="zh-CN"/>
              </w:rPr>
              <w:t>新增占地</w:t>
            </w:r>
            <w:r>
              <w:rPr>
                <w:rFonts w:hint="default" w:ascii="Times New Roman" w:hAnsi="Times New Roman" w:cs="Times New Roman"/>
                <w:color w:val="auto"/>
                <w:highlight w:val="none"/>
              </w:rPr>
              <w:t>的原则。</w:t>
            </w:r>
          </w:p>
          <w:p w14:paraId="5FADC2F0">
            <w:pPr>
              <w:rPr>
                <w:rFonts w:hint="default"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根据大竹县自然资源局出具的</w:t>
            </w:r>
            <w:r>
              <w:rPr>
                <w:rFonts w:hint="eastAsia" w:cs="Times New Roman"/>
                <w:b w:val="0"/>
                <w:bCs/>
                <w:color w:val="auto"/>
                <w:highlight w:val="none"/>
                <w:lang w:eastAsia="zh-CN"/>
              </w:rPr>
              <w:t>大竹县柳城河石河镇二郎、福兴防洪治理工程</w:t>
            </w:r>
            <w:r>
              <w:rPr>
                <w:rFonts w:hint="eastAsia" w:cs="Times New Roman"/>
                <w:b w:val="0"/>
                <w:bCs/>
                <w:color w:val="auto"/>
                <w:highlight w:val="none"/>
                <w:lang w:val="en-US" w:eastAsia="zh-CN"/>
              </w:rPr>
              <w:t>土地利用项目占用永久基本农田数据对比情况</w:t>
            </w:r>
            <w:r>
              <w:rPr>
                <w:rFonts w:hint="eastAsia" w:cs="Times New Roman"/>
                <w:b w:val="0"/>
                <w:bCs/>
                <w:color w:val="auto"/>
                <w:highlight w:val="none"/>
                <w:lang w:eastAsia="zh-CN"/>
              </w:rPr>
              <w:t>，</w:t>
            </w:r>
            <w:r>
              <w:rPr>
                <w:rFonts w:hint="eastAsia" w:cs="Times New Roman"/>
                <w:b w:val="0"/>
                <w:bCs/>
                <w:color w:val="auto"/>
                <w:highlight w:val="none"/>
                <w:lang w:val="en-US" w:eastAsia="zh-CN"/>
              </w:rPr>
              <w:t>以及</w:t>
            </w:r>
            <w:r>
              <w:rPr>
                <w:rFonts w:hint="eastAsia" w:cs="Times New Roman"/>
                <w:b w:val="0"/>
                <w:bCs/>
                <w:color w:val="auto"/>
                <w:highlight w:val="none"/>
                <w:lang w:eastAsia="zh-CN"/>
              </w:rPr>
              <w:t>大竹县柳城河石河镇防洪治理工程、四川省大竹县东柳河清河镇防洪治理工程和东柳河杨家镇防洪治理工程与永久基本农田位置示意图</w:t>
            </w:r>
            <w:r>
              <w:rPr>
                <w:rFonts w:hint="eastAsia" w:cs="Times New Roman"/>
                <w:b w:val="0"/>
                <w:bCs/>
                <w:color w:val="auto"/>
                <w:highlight w:val="none"/>
                <w:lang w:val="en-US" w:eastAsia="zh-CN"/>
              </w:rPr>
              <w:t>，明确本项目拟用地范围内均不涉及占用永久基本农田。</w:t>
            </w:r>
          </w:p>
          <w:p w14:paraId="6A44EC54">
            <w:pPr>
              <w:ind w:firstLine="480"/>
              <w:rPr>
                <w:rFonts w:hint="eastAsia"/>
                <w:color w:val="auto"/>
                <w:sz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根据水库饮用水源保护区矢量数据，本项目均不在铁峰水库、冒水眼水库、</w:t>
            </w:r>
            <w:r>
              <w:rPr>
                <w:rFonts w:hint="eastAsia"/>
                <w:color w:val="auto"/>
                <w:sz w:val="24"/>
                <w:highlight w:val="none"/>
                <w:lang w:val="en-US" w:eastAsia="zh-CN"/>
              </w:rPr>
              <w:t>响滩子水库、乌木滩水库、刘家坝水库</w:t>
            </w:r>
            <w:r>
              <w:rPr>
                <w:rFonts w:hint="eastAsia" w:ascii="Times New Roman" w:hAnsi="Times New Roman" w:eastAsia="宋体" w:cs="Times New Roman"/>
                <w:b w:val="0"/>
                <w:bCs w:val="0"/>
                <w:color w:val="auto"/>
                <w:sz w:val="24"/>
                <w:szCs w:val="24"/>
                <w:highlight w:val="none"/>
                <w:lang w:val="en-US" w:eastAsia="zh-CN"/>
              </w:rPr>
              <w:t>饮用水水源保护区范围内，且距离较远，施工过程不会对其饮用水源造成影响</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根据调查，1#施工场地</w:t>
            </w:r>
            <w:r>
              <w:rPr>
                <w:rFonts w:hint="default" w:ascii="Times New Roman" w:hAnsi="Times New Roman" w:cs="Times New Roman"/>
                <w:color w:val="auto"/>
                <w:szCs w:val="24"/>
                <w:highlight w:val="none"/>
              </w:rPr>
              <w:t>200m范围内</w:t>
            </w:r>
            <w:r>
              <w:rPr>
                <w:rFonts w:hint="eastAsia" w:cs="Times New Roman"/>
                <w:color w:val="auto"/>
                <w:szCs w:val="24"/>
                <w:highlight w:val="none"/>
                <w:lang w:val="en-US" w:eastAsia="zh-CN"/>
              </w:rPr>
              <w:t>分布有6处</w:t>
            </w:r>
            <w:r>
              <w:rPr>
                <w:rFonts w:hint="default" w:ascii="Times New Roman" w:hAnsi="Times New Roman" w:cs="Times New Roman"/>
                <w:color w:val="auto"/>
                <w:szCs w:val="24"/>
                <w:highlight w:val="none"/>
              </w:rPr>
              <w:t>居民</w:t>
            </w:r>
            <w:r>
              <w:rPr>
                <w:rFonts w:hint="eastAsia" w:cs="Times New Roman"/>
                <w:color w:val="auto"/>
                <w:szCs w:val="24"/>
                <w:highlight w:val="none"/>
                <w:lang w:val="en-US" w:eastAsia="zh-CN"/>
              </w:rPr>
              <w:t>点，分别为68#居民点（最近距离8m）、</w:t>
            </w:r>
            <w:r>
              <w:rPr>
                <w:rFonts w:hint="eastAsia" w:cs="Times New Roman"/>
                <w:color w:val="auto"/>
                <w:sz w:val="24"/>
                <w:szCs w:val="24"/>
                <w:highlight w:val="none"/>
                <w:lang w:val="en-US" w:eastAsia="zh-CN"/>
              </w:rPr>
              <w:t>69</w:t>
            </w:r>
            <w:r>
              <w:rPr>
                <w:rFonts w:hint="default" w:ascii="Times New Roman" w:hAnsi="Times New Roman" w:cs="Times New Roman"/>
                <w:color w:val="auto"/>
                <w:sz w:val="24"/>
                <w:szCs w:val="24"/>
                <w:highlight w:val="none"/>
              </w:rPr>
              <w:t>#居民点</w:t>
            </w:r>
            <w:r>
              <w:rPr>
                <w:rFonts w:hint="eastAsia" w:ascii="Times New Roman" w:hAnsi="Times New Roman" w:cs="Times New Roman"/>
                <w:color w:val="auto"/>
                <w:sz w:val="24"/>
                <w:szCs w:val="24"/>
                <w:highlight w:val="none"/>
                <w:lang w:eastAsia="zh-CN"/>
              </w:rPr>
              <w:t>（</w:t>
            </w:r>
            <w:r>
              <w:rPr>
                <w:rFonts w:hint="eastAsia" w:cs="Times New Roman"/>
                <w:color w:val="auto"/>
                <w:szCs w:val="24"/>
                <w:highlight w:val="none"/>
                <w:lang w:val="en-US" w:eastAsia="zh-CN"/>
              </w:rPr>
              <w:t>最近距离45m</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70</w:t>
            </w:r>
            <w:r>
              <w:rPr>
                <w:rFonts w:hint="default" w:ascii="Times New Roman" w:hAnsi="Times New Roman" w:cs="Times New Roman"/>
                <w:color w:val="auto"/>
                <w:sz w:val="24"/>
                <w:szCs w:val="24"/>
                <w:highlight w:val="none"/>
              </w:rPr>
              <w:t>#居民点</w:t>
            </w:r>
            <w:r>
              <w:rPr>
                <w:rFonts w:hint="eastAsia" w:ascii="Times New Roman" w:hAnsi="Times New Roman" w:cs="Times New Roman"/>
                <w:color w:val="auto"/>
                <w:sz w:val="24"/>
                <w:szCs w:val="24"/>
                <w:highlight w:val="none"/>
                <w:lang w:eastAsia="zh-CN"/>
              </w:rPr>
              <w:t>（</w:t>
            </w:r>
            <w:r>
              <w:rPr>
                <w:rFonts w:hint="eastAsia" w:cs="Times New Roman"/>
                <w:color w:val="auto"/>
                <w:szCs w:val="24"/>
                <w:highlight w:val="none"/>
                <w:lang w:val="en-US" w:eastAsia="zh-CN"/>
              </w:rPr>
              <w:t>最近距离167m</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/71</w:t>
            </w:r>
            <w:r>
              <w:rPr>
                <w:rFonts w:hint="default" w:ascii="Times New Roman" w:hAnsi="Times New Roman" w:cs="Times New Roman"/>
                <w:color w:val="auto"/>
                <w:sz w:val="24"/>
                <w:szCs w:val="24"/>
                <w:highlight w:val="none"/>
              </w:rPr>
              <w:t>#居民点</w:t>
            </w:r>
            <w:r>
              <w:rPr>
                <w:rFonts w:hint="eastAsia" w:ascii="Times New Roman" w:hAnsi="Times New Roman" w:cs="Times New Roman"/>
                <w:color w:val="auto"/>
                <w:sz w:val="24"/>
                <w:szCs w:val="24"/>
                <w:highlight w:val="none"/>
                <w:lang w:eastAsia="zh-CN"/>
              </w:rPr>
              <w:t>（</w:t>
            </w:r>
            <w:r>
              <w:rPr>
                <w:rFonts w:hint="eastAsia" w:cs="Times New Roman"/>
                <w:color w:val="auto"/>
                <w:szCs w:val="24"/>
                <w:highlight w:val="none"/>
                <w:lang w:val="en-US" w:eastAsia="zh-CN"/>
              </w:rPr>
              <w:t>最近距离67m</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72</w:t>
            </w:r>
            <w:r>
              <w:rPr>
                <w:rFonts w:hint="default" w:ascii="Times New Roman" w:hAnsi="Times New Roman" w:cs="Times New Roman"/>
                <w:color w:val="auto"/>
                <w:sz w:val="24"/>
                <w:szCs w:val="24"/>
                <w:highlight w:val="none"/>
              </w:rPr>
              <w:t>#居民点</w:t>
            </w:r>
            <w:r>
              <w:rPr>
                <w:rFonts w:hint="eastAsia" w:ascii="Times New Roman" w:hAnsi="Times New Roman" w:cs="Times New Roman"/>
                <w:color w:val="auto"/>
                <w:sz w:val="24"/>
                <w:szCs w:val="24"/>
                <w:highlight w:val="none"/>
                <w:lang w:eastAsia="zh-CN"/>
              </w:rPr>
              <w:t>（</w:t>
            </w:r>
            <w:r>
              <w:rPr>
                <w:rFonts w:hint="eastAsia" w:cs="Times New Roman"/>
                <w:color w:val="auto"/>
                <w:szCs w:val="24"/>
                <w:highlight w:val="none"/>
                <w:lang w:val="en-US" w:eastAsia="zh-CN"/>
              </w:rPr>
              <w:t>最近距离190m</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73</w:t>
            </w:r>
            <w:r>
              <w:rPr>
                <w:rFonts w:hint="default" w:ascii="Times New Roman" w:hAnsi="Times New Roman" w:cs="Times New Roman"/>
                <w:color w:val="auto"/>
                <w:sz w:val="24"/>
                <w:szCs w:val="24"/>
                <w:highlight w:val="none"/>
              </w:rPr>
              <w:t>#居民点</w:t>
            </w:r>
            <w:r>
              <w:rPr>
                <w:rFonts w:hint="eastAsia" w:ascii="Times New Roman" w:hAnsi="Times New Roman" w:cs="Times New Roman"/>
                <w:color w:val="auto"/>
                <w:sz w:val="24"/>
                <w:szCs w:val="24"/>
                <w:highlight w:val="none"/>
                <w:lang w:eastAsia="zh-CN"/>
              </w:rPr>
              <w:t>（</w:t>
            </w:r>
            <w:r>
              <w:rPr>
                <w:rFonts w:hint="eastAsia" w:cs="Times New Roman"/>
                <w:color w:val="auto"/>
                <w:szCs w:val="24"/>
                <w:highlight w:val="none"/>
                <w:lang w:val="en-US" w:eastAsia="zh-CN"/>
              </w:rPr>
              <w:t>最近距离190m</w:t>
            </w:r>
            <w:r>
              <w:rPr>
                <w:rFonts w:hint="eastAsia" w:ascii="Times New Roman" w:hAnsi="Times New Roman" w:cs="Times New Roman"/>
                <w:color w:val="auto"/>
                <w:sz w:val="24"/>
                <w:szCs w:val="24"/>
                <w:highlight w:val="none"/>
                <w:lang w:eastAsia="zh-CN"/>
              </w:rPr>
              <w:t>）</w:t>
            </w:r>
            <w:r>
              <w:rPr>
                <w:rFonts w:hint="eastAsia" w:cs="Times New Roman"/>
                <w:color w:val="auto"/>
                <w:szCs w:val="24"/>
                <w:highlight w:val="none"/>
                <w:lang w:eastAsia="zh-CN"/>
              </w:rPr>
              <w:t>。</w:t>
            </w:r>
            <w:r>
              <w:rPr>
                <w:rFonts w:hint="eastAsia" w:cs="Times New Roman"/>
                <w:color w:val="auto"/>
                <w:szCs w:val="24"/>
                <w:highlight w:val="none"/>
                <w:lang w:val="en-US" w:eastAsia="zh-CN"/>
              </w:rPr>
              <w:t>现场调查，项目施工期间</w:t>
            </w:r>
            <w:r>
              <w:rPr>
                <w:rFonts w:hint="eastAsia"/>
                <w:color w:val="auto"/>
                <w:sz w:val="24"/>
                <w:szCs w:val="24"/>
                <w:highlight w:val="none"/>
                <w:lang w:val="en-US" w:eastAsia="zh-CN"/>
              </w:rPr>
              <w:t>采取了围挡、抑尘洒水、禁鸣限速、合理安排施工作业时间（居民休息时段及雨天不施工）等措施</w:t>
            </w:r>
            <w:r>
              <w:rPr>
                <w:color w:val="auto"/>
                <w:sz w:val="24"/>
                <w:szCs w:val="24"/>
                <w:highlight w:val="none"/>
              </w:rPr>
              <w:t>。</w:t>
            </w:r>
            <w:r>
              <w:rPr>
                <w:rFonts w:hint="eastAsia"/>
                <w:color w:val="auto"/>
                <w:sz w:val="24"/>
                <w:szCs w:val="24"/>
                <w:highlight w:val="none"/>
                <w:lang w:val="en-US" w:eastAsia="zh-CN"/>
              </w:rPr>
              <w:t>项目</w:t>
            </w:r>
            <w:r>
              <w:rPr>
                <w:rFonts w:hint="eastAsia"/>
                <w:color w:val="auto"/>
                <w:sz w:val="24"/>
                <w:highlight w:val="none"/>
                <w:lang w:val="en-US" w:eastAsia="zh-CN"/>
              </w:rPr>
              <w:t>办公及生活均租用施工场地周边农户房屋。此外，项目施工期间加强与周边农户沟通，取得了周边农户的支持和谅解；施工期未收到环保投诉。</w:t>
            </w:r>
          </w:p>
          <w:p w14:paraId="2F69535E">
            <w:pPr>
              <w:ind w:firstLine="480"/>
              <w:rPr>
                <w:rFonts w:hint="eastAsia"/>
                <w:color w:val="auto"/>
                <w:sz w:val="24"/>
                <w:highlight w:val="none"/>
              </w:rPr>
            </w:pPr>
            <w:r>
              <w:rPr>
                <w:rFonts w:hint="eastAsia"/>
                <w:color w:val="auto"/>
                <w:sz w:val="24"/>
                <w:highlight w:val="none"/>
                <w:lang w:val="en-US" w:eastAsia="zh-CN"/>
              </w:rPr>
              <w:t>项目施工总布置减少了新增占地，尽最大可能降低了对区域生态系统的扰动；施工期采取了合理、有效的污染防治措施，降低了对周边农户的影响。结合项目区域实际情况及项目施工特点，评价认为</w:t>
            </w:r>
            <w:r>
              <w:rPr>
                <w:color w:val="auto"/>
                <w:sz w:val="24"/>
                <w:highlight w:val="none"/>
              </w:rPr>
              <w:t>项目施工布置合理</w:t>
            </w:r>
            <w:r>
              <w:rPr>
                <w:rFonts w:hint="eastAsia"/>
                <w:color w:val="auto"/>
                <w:sz w:val="24"/>
                <w:highlight w:val="none"/>
              </w:rPr>
              <w:t>。</w:t>
            </w:r>
          </w:p>
          <w:p w14:paraId="6AE94F56">
            <w:pPr>
              <w:ind w:firstLine="480"/>
              <w:rPr>
                <w:rFonts w:hint="eastAsia"/>
                <w:color w:val="auto"/>
                <w:sz w:val="24"/>
                <w:highlight w:val="none"/>
                <w:lang w:val="en-US" w:eastAsia="zh-CN"/>
              </w:rPr>
            </w:pPr>
            <w:r>
              <w:rPr>
                <w:rFonts w:hint="eastAsia"/>
                <w:color w:val="auto"/>
                <w:sz w:val="24"/>
                <w:highlight w:val="none"/>
                <w:lang w:val="en-US" w:eastAsia="zh-CN"/>
              </w:rPr>
              <w:t>本次评价提出反馈意见：</w:t>
            </w:r>
          </w:p>
          <w:p w14:paraId="045D0484">
            <w:pPr>
              <w:rPr>
                <w:color w:val="auto"/>
                <w:highlight w:val="none"/>
              </w:rPr>
            </w:pPr>
            <w:r>
              <w:rPr>
                <w:rFonts w:hint="eastAsia"/>
                <w:color w:val="auto"/>
                <w:sz w:val="24"/>
                <w:highlight w:val="none"/>
                <w:lang w:val="en-US" w:eastAsia="zh-CN"/>
              </w:rPr>
              <w:t>加强施工期环境管理，严格落实噪声、废气、废水及固废等污染防治措施。</w:t>
            </w:r>
          </w:p>
          <w:p w14:paraId="01960AE1">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color w:val="auto"/>
                <w:highlight w:val="none"/>
                <w:lang w:val="en-US" w:eastAsia="zh-CN"/>
              </w:rPr>
            </w:pPr>
          </w:p>
        </w:tc>
      </w:tr>
      <w:tr w14:paraId="7146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84" w:type="dxa"/>
            <w:noWrap w:val="0"/>
            <w:vAlign w:val="center"/>
          </w:tcPr>
          <w:p w14:paraId="70B927F3">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施工方案</w:t>
            </w:r>
          </w:p>
        </w:tc>
        <w:tc>
          <w:tcPr>
            <w:tcW w:w="9271" w:type="dxa"/>
            <w:noWrap w:val="0"/>
            <w:vAlign w:val="top"/>
          </w:tcPr>
          <w:p w14:paraId="0DC9EFCD">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w:t>
            </w:r>
            <w:r>
              <w:rPr>
                <w:rFonts w:hint="eastAsia" w:cs="Times New Roman"/>
                <w:b/>
                <w:bCs/>
                <w:color w:val="auto"/>
                <w:highlight w:val="none"/>
                <w:lang w:val="en-US" w:eastAsia="zh-CN"/>
              </w:rPr>
              <w:t>8</w:t>
            </w:r>
            <w:r>
              <w:rPr>
                <w:rFonts w:hint="default" w:ascii="Times New Roman" w:hAnsi="Times New Roman" w:cs="Times New Roman"/>
                <w:b/>
                <w:bCs/>
                <w:color w:val="auto"/>
                <w:highlight w:val="none"/>
              </w:rPr>
              <w:t xml:space="preserve"> 施工总进度安排</w:t>
            </w:r>
          </w:p>
          <w:p w14:paraId="526EE8C0">
            <w:pPr>
              <w:ind w:firstLine="480"/>
              <w:rPr>
                <w:rFonts w:hint="eastAsia" w:cs="Times New Roman"/>
                <w:color w:val="auto"/>
                <w:highlight w:val="none"/>
                <w:lang w:val="en-US" w:eastAsia="zh-CN"/>
              </w:rPr>
            </w:pPr>
            <w:r>
              <w:rPr>
                <w:rFonts w:hint="default" w:ascii="Times New Roman" w:hAnsi="Times New Roman" w:cs="Times New Roman"/>
                <w:color w:val="auto"/>
                <w:highlight w:val="none"/>
              </w:rPr>
              <w:t>根据本项目的具体特点，工程期分为四个时段：即工程筹建期、工程准备期、主体工程施工期、工程完建期。</w:t>
            </w:r>
            <w:r>
              <w:rPr>
                <w:rFonts w:hint="eastAsia" w:cs="Times New Roman"/>
                <w:color w:val="auto"/>
                <w:highlight w:val="none"/>
                <w:lang w:val="en-US" w:eastAsia="zh-CN"/>
              </w:rPr>
              <w:t>本项目由石河镇二郎及福兴段、石河镇石河镇段及双拱场段、清河镇段及杨家镇段防洪工程组成。</w:t>
            </w:r>
          </w:p>
          <w:p w14:paraId="01EDD5FF">
            <w:pPr>
              <w:ind w:firstLine="480"/>
              <w:rPr>
                <w:rFonts w:hint="default" w:ascii="Times New Roman" w:hAnsi="Times New Roman" w:cs="Times New Roman"/>
                <w:color w:val="auto"/>
                <w:highlight w:val="none"/>
              </w:rPr>
            </w:pPr>
            <w:r>
              <w:rPr>
                <w:rFonts w:hint="eastAsia" w:cs="Times New Roman"/>
                <w:color w:val="auto"/>
                <w:highlight w:val="none"/>
                <w:lang w:val="en-US" w:eastAsia="zh-CN"/>
              </w:rPr>
              <w:t>石河镇二郎及福兴段、石河镇石河镇段及双拱场段</w:t>
            </w:r>
            <w:r>
              <w:rPr>
                <w:rFonts w:hint="default" w:ascii="Times New Roman" w:hAnsi="Times New Roman" w:cs="Times New Roman"/>
                <w:color w:val="auto"/>
                <w:highlight w:val="none"/>
              </w:rPr>
              <w:t>施工总工期</w:t>
            </w:r>
            <w:r>
              <w:rPr>
                <w:rFonts w:hint="eastAsia" w:cs="Times New Roman"/>
                <w:color w:val="auto"/>
                <w:highlight w:val="none"/>
                <w:lang w:val="en-US" w:eastAsia="zh-CN"/>
              </w:rPr>
              <w:t>不</w:t>
            </w:r>
            <w:r>
              <w:rPr>
                <w:rFonts w:hint="default" w:ascii="Times New Roman" w:hAnsi="Times New Roman" w:cs="Times New Roman"/>
                <w:color w:val="auto"/>
                <w:highlight w:val="none"/>
              </w:rPr>
              <w:t>包括筹建期，共计</w:t>
            </w:r>
            <w:r>
              <w:rPr>
                <w:rFonts w:hint="eastAsia" w:cs="Times New Roman"/>
                <w:color w:val="auto"/>
                <w:highlight w:val="none"/>
                <w:lang w:val="en-US" w:eastAsia="zh-CN"/>
              </w:rPr>
              <w:t>8</w:t>
            </w:r>
            <w:r>
              <w:rPr>
                <w:rFonts w:hint="default" w:ascii="Times New Roman" w:hAnsi="Times New Roman" w:cs="Times New Roman"/>
                <w:color w:val="auto"/>
                <w:highlight w:val="none"/>
              </w:rPr>
              <w:t>个月。</w:t>
            </w:r>
          </w:p>
          <w:p w14:paraId="3361B33A">
            <w:pPr>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清河镇段及杨家镇段施工期为22个月。</w:t>
            </w:r>
          </w:p>
          <w:p w14:paraId="532B8B52">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w:t>
            </w:r>
            <w:r>
              <w:rPr>
                <w:rFonts w:hint="eastAsia" w:cs="Times New Roman"/>
                <w:b/>
                <w:bCs/>
                <w:color w:val="auto"/>
                <w:highlight w:val="none"/>
                <w:lang w:val="en-US" w:eastAsia="zh-CN"/>
              </w:rPr>
              <w:t>9</w:t>
            </w:r>
            <w:r>
              <w:rPr>
                <w:rFonts w:hint="default" w:ascii="Times New Roman" w:hAnsi="Times New Roman" w:cs="Times New Roman"/>
                <w:b/>
                <w:bCs/>
                <w:color w:val="auto"/>
                <w:highlight w:val="none"/>
              </w:rPr>
              <w:t xml:space="preserve"> 项目施工工艺流程</w:t>
            </w:r>
          </w:p>
          <w:p w14:paraId="6E2A1326">
            <w:pPr>
              <w:ind w:firstLine="480"/>
              <w:rPr>
                <w:rFonts w:hint="eastAsia" w:cs="Times New Roman"/>
                <w:color w:val="auto"/>
                <w:highlight w:val="none"/>
                <w:lang w:val="en-US" w:eastAsia="zh-CN"/>
              </w:rPr>
            </w:pPr>
            <w:r>
              <w:rPr>
                <w:rFonts w:hint="eastAsia"/>
                <w:color w:val="auto"/>
                <w:sz w:val="24"/>
                <w:highlight w:val="none"/>
                <w:lang w:val="en-US" w:eastAsia="zh-CN"/>
              </w:rPr>
              <w:t>项目施工内容包括施工准备（施工便道、导流等）、主体工程施工、附属工程、施工结束（临时设施拆除及临时用地恢复等）。</w:t>
            </w:r>
            <w:r>
              <w:rPr>
                <w:rFonts w:hint="default" w:ascii="Times New Roman" w:hAnsi="Times New Roman" w:cs="Times New Roman"/>
                <w:color w:val="auto"/>
                <w:highlight w:val="none"/>
              </w:rPr>
              <w:t>其工艺流程和污染环节如下</w:t>
            </w:r>
            <w:r>
              <w:rPr>
                <w:rFonts w:hint="eastAsia" w:cs="Times New Roman"/>
                <w:color w:val="auto"/>
                <w:highlight w:val="none"/>
                <w:lang w:val="en-US" w:eastAsia="zh-CN"/>
              </w:rPr>
              <w:t>：</w:t>
            </w:r>
          </w:p>
          <w:p w14:paraId="1037331F">
            <w:pPr>
              <w:ind w:firstLine="480"/>
              <w:rPr>
                <w:rFonts w:hint="eastAsia" w:cs="Times New Roman"/>
                <w:color w:val="auto"/>
                <w:highlight w:val="none"/>
                <w:lang w:val="en-US" w:eastAsia="zh-CN"/>
              </w:rPr>
            </w:pPr>
          </w:p>
          <w:p w14:paraId="5530112D">
            <w:pPr>
              <w:ind w:firstLine="480"/>
              <w:rPr>
                <w:rFonts w:hint="eastAsia" w:cs="Times New Roman"/>
                <w:color w:val="auto"/>
                <w:highlight w:val="none"/>
                <w:lang w:val="en-US" w:eastAsia="zh-CN"/>
              </w:rPr>
            </w:pPr>
          </w:p>
          <w:p w14:paraId="57C10C20">
            <w:pPr>
              <w:ind w:firstLine="480"/>
              <w:rPr>
                <w:rFonts w:hint="eastAsia" w:cs="Times New Roman"/>
                <w:color w:val="auto"/>
                <w:highlight w:val="none"/>
                <w:lang w:val="en-US" w:eastAsia="zh-CN"/>
              </w:rPr>
            </w:pPr>
          </w:p>
          <w:p w14:paraId="49D0AA5B">
            <w:pPr>
              <w:ind w:firstLine="480"/>
              <w:rPr>
                <w:rFonts w:hint="eastAsia" w:cs="Times New Roman"/>
                <w:color w:val="auto"/>
                <w:highlight w:val="none"/>
                <w:lang w:val="en-US" w:eastAsia="zh-CN"/>
              </w:rPr>
            </w:pPr>
          </w:p>
          <w:p w14:paraId="4746F9CF">
            <w:pPr>
              <w:ind w:firstLine="480"/>
              <w:rPr>
                <w:rFonts w:hint="eastAsia" w:cs="Times New Roman"/>
                <w:color w:val="auto"/>
                <w:highlight w:val="none"/>
                <w:lang w:val="en-US" w:eastAsia="zh-CN"/>
              </w:rPr>
            </w:pPr>
          </w:p>
          <w:p w14:paraId="2AEA4B92">
            <w:pPr>
              <w:ind w:firstLine="480"/>
              <w:rPr>
                <w:rFonts w:hint="eastAsia" w:cs="Times New Roman"/>
                <w:color w:val="auto"/>
                <w:highlight w:val="none"/>
                <w:lang w:val="en-US" w:eastAsia="zh-CN"/>
              </w:rPr>
            </w:pPr>
          </w:p>
          <w:p w14:paraId="4E07FB0E">
            <w:pPr>
              <w:ind w:firstLine="480"/>
              <w:rPr>
                <w:rFonts w:hint="eastAsia" w:cs="Times New Roman"/>
                <w:color w:val="auto"/>
                <w:highlight w:val="none"/>
                <w:lang w:val="en-US" w:eastAsia="zh-CN"/>
              </w:rPr>
            </w:pPr>
          </w:p>
          <w:p w14:paraId="2EA363D8">
            <w:pPr>
              <w:ind w:firstLine="480"/>
              <w:rPr>
                <w:rFonts w:hint="eastAsia" w:cs="Times New Roman"/>
                <w:color w:val="auto"/>
                <w:highlight w:val="none"/>
                <w:lang w:val="en-US" w:eastAsia="zh-CN"/>
              </w:rPr>
            </w:pPr>
          </w:p>
          <w:p w14:paraId="485D4642">
            <w:pPr>
              <w:ind w:firstLine="480"/>
              <w:rPr>
                <w:rFonts w:hint="eastAsia" w:cs="Times New Roman"/>
                <w:color w:val="auto"/>
                <w:highlight w:val="none"/>
                <w:lang w:val="en-US" w:eastAsia="zh-CN"/>
              </w:rPr>
            </w:pPr>
          </w:p>
          <w:p w14:paraId="2550304D">
            <w:pPr>
              <w:ind w:firstLine="480"/>
              <w:rPr>
                <w:rFonts w:hint="eastAsia" w:cs="Times New Roman"/>
                <w:color w:val="auto"/>
                <w:highlight w:val="none"/>
                <w:lang w:val="en-US" w:eastAsia="zh-CN"/>
              </w:rPr>
            </w:pPr>
          </w:p>
          <w:p w14:paraId="4C54C96B">
            <w:pPr>
              <w:ind w:firstLine="480"/>
              <w:rPr>
                <w:rFonts w:hint="eastAsia" w:cs="Times New Roman"/>
                <w:color w:val="auto"/>
                <w:highlight w:val="none"/>
                <w:lang w:val="en-US" w:eastAsia="zh-CN"/>
              </w:rPr>
            </w:pPr>
          </w:p>
          <w:p w14:paraId="32CF9B5E">
            <w:pPr>
              <w:ind w:firstLine="480"/>
              <w:rPr>
                <w:rFonts w:hint="eastAsia" w:cs="Times New Roman"/>
                <w:color w:val="auto"/>
                <w:highlight w:val="none"/>
                <w:lang w:val="en-US" w:eastAsia="zh-CN"/>
              </w:rPr>
            </w:pPr>
          </w:p>
          <w:p w14:paraId="42750408">
            <w:pPr>
              <w:ind w:firstLine="480"/>
              <w:rPr>
                <w:rFonts w:hint="eastAsia" w:cs="Times New Roman"/>
                <w:color w:val="auto"/>
                <w:highlight w:val="none"/>
                <w:lang w:val="en-US" w:eastAsia="zh-CN"/>
              </w:rPr>
            </w:pPr>
          </w:p>
          <w:p w14:paraId="61996789">
            <w:pPr>
              <w:ind w:firstLine="480"/>
              <w:rPr>
                <w:rFonts w:hint="eastAsia" w:cs="Times New Roman"/>
                <w:color w:val="auto"/>
                <w:highlight w:val="none"/>
                <w:lang w:val="en-US" w:eastAsia="zh-CN"/>
              </w:rPr>
            </w:pPr>
          </w:p>
          <w:p w14:paraId="109EB15C">
            <w:pPr>
              <w:ind w:firstLine="480"/>
              <w:rPr>
                <w:rFonts w:hint="eastAsia" w:cs="Times New Roman"/>
                <w:color w:val="auto"/>
                <w:highlight w:val="none"/>
                <w:lang w:val="en-US" w:eastAsia="zh-CN"/>
              </w:rPr>
            </w:pPr>
          </w:p>
          <w:p w14:paraId="13CBECA6">
            <w:pPr>
              <w:ind w:firstLine="480"/>
              <w:rPr>
                <w:rFonts w:hint="eastAsia" w:cs="Times New Roman"/>
                <w:color w:val="auto"/>
                <w:highlight w:val="none"/>
                <w:lang w:val="en-US" w:eastAsia="zh-CN"/>
              </w:rPr>
            </w:pPr>
          </w:p>
          <w:p w14:paraId="79FC2612">
            <w:pPr>
              <w:ind w:firstLine="480"/>
              <w:rPr>
                <w:rFonts w:hint="eastAsia" w:cs="Times New Roman"/>
                <w:color w:val="auto"/>
                <w:highlight w:val="none"/>
                <w:lang w:val="en-US" w:eastAsia="zh-CN"/>
              </w:rPr>
            </w:pPr>
          </w:p>
          <w:p w14:paraId="6B799DFE">
            <w:pPr>
              <w:ind w:firstLine="480"/>
              <w:rPr>
                <w:rFonts w:hint="eastAsia" w:cs="Times New Roman"/>
                <w:color w:val="auto"/>
                <w:highlight w:val="none"/>
                <w:lang w:val="en-US" w:eastAsia="zh-CN"/>
              </w:rPr>
            </w:pPr>
          </w:p>
          <w:p w14:paraId="1FFD2D28">
            <w:pPr>
              <w:ind w:firstLine="480"/>
              <w:rPr>
                <w:rFonts w:hint="eastAsia" w:cs="Times New Roman"/>
                <w:color w:val="auto"/>
                <w:highlight w:val="none"/>
                <w:lang w:val="en-US" w:eastAsia="zh-CN"/>
              </w:rPr>
            </w:pPr>
          </w:p>
          <w:p w14:paraId="1CD50536">
            <w:pPr>
              <w:ind w:firstLine="480"/>
              <w:rPr>
                <w:rFonts w:hint="eastAsia" w:cs="Times New Roman"/>
                <w:color w:val="auto"/>
                <w:highlight w:val="none"/>
                <w:lang w:val="en-US" w:eastAsia="zh-CN"/>
              </w:rPr>
            </w:pPr>
          </w:p>
          <w:p w14:paraId="4E825448">
            <w:pPr>
              <w:ind w:firstLine="48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object>
                <v:shape id="_x0000_i1025" o:spt="75" type="#_x0000_t75" style="height:580.5pt;width:357pt;" o:ole="t" filled="f" o:preferrelative="t" stroked="f" coordsize="21600,21600">
                  <v:path/>
                  <v:fill on="f" focussize="0,0"/>
                  <v:stroke on="f"/>
                  <v:imagedata r:id="rId15" o:title=""/>
                  <o:lock v:ext="edit" aspectratio="f"/>
                  <w10:wrap type="none"/>
                  <w10:anchorlock/>
                </v:shape>
                <o:OLEObject Type="Embed" ProgID="Visio.Drawing.15" ShapeID="_x0000_i1025" DrawAspect="Content" ObjectID="_1468075725" r:id="rId14">
                  <o:LockedField>false</o:LockedField>
                </o:OLEObject>
              </w:object>
            </w:r>
          </w:p>
          <w:p w14:paraId="5C5DE168">
            <w:pPr>
              <w:ind w:firstLine="480"/>
              <w:jc w:val="center"/>
              <w:rPr>
                <w:rFonts w:hint="default" w:ascii="Times New Roman" w:hAnsi="Times New Roman" w:cs="Times New Roman"/>
                <w:b/>
                <w:bCs/>
                <w:color w:val="auto"/>
                <w:highlight w:val="none"/>
              </w:rPr>
            </w:pPr>
            <w:r>
              <w:rPr>
                <w:rFonts w:hint="eastAsia" w:cs="Times New Roman"/>
                <w:b/>
                <w:bCs/>
                <w:color w:val="auto"/>
                <w:highlight w:val="none"/>
                <w:lang w:eastAsia="zh-CN"/>
              </w:rPr>
              <w:t>图2.9-</w:t>
            </w:r>
            <w:r>
              <w:rPr>
                <w:rFonts w:hint="default" w:ascii="Times New Roman" w:hAnsi="Times New Roman" w:cs="Times New Roman"/>
                <w:b/>
                <w:bCs/>
                <w:color w:val="auto"/>
                <w:highlight w:val="none"/>
              </w:rPr>
              <w:t>1 项目施工工艺流程及</w:t>
            </w:r>
            <w:r>
              <w:rPr>
                <w:rFonts w:hint="default" w:ascii="Times New Roman" w:hAnsi="Times New Roman" w:cs="Times New Roman"/>
                <w:b/>
                <w:bCs/>
                <w:color w:val="auto"/>
                <w:highlight w:val="none"/>
                <w:lang w:val="en-US" w:eastAsia="zh-CN"/>
              </w:rPr>
              <w:t>产污</w:t>
            </w:r>
            <w:r>
              <w:rPr>
                <w:rFonts w:hint="default" w:ascii="Times New Roman" w:hAnsi="Times New Roman" w:cs="Times New Roman"/>
                <w:b/>
                <w:bCs/>
                <w:color w:val="auto"/>
                <w:highlight w:val="none"/>
              </w:rPr>
              <w:t>环节图</w:t>
            </w:r>
          </w:p>
          <w:p w14:paraId="1908F8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object>
                <v:shape id="_x0000_i1026" o:spt="75" type="#_x0000_t75" style="height:60pt;width:308.25pt;" o:ole="t" filled="f" o:preferrelative="t" stroked="f" coordsize="21600,21600">
                  <v:path/>
                  <v:fill on="f" focussize="0,0"/>
                  <v:stroke on="f"/>
                  <v:imagedata r:id="rId17" o:title=""/>
                  <o:lock v:ext="edit" aspectratio="f"/>
                  <w10:wrap type="none"/>
                  <w10:anchorlock/>
                </v:shape>
                <o:OLEObject Type="Embed" ProgID="Visio.Drawing.15" ShapeID="_x0000_i1026" DrawAspect="Content" ObjectID="_1468075726" r:id="rId16">
                  <o:LockedField>false</o:LockedField>
                </o:OLEObject>
              </w:object>
            </w:r>
          </w:p>
          <w:p w14:paraId="47B4A65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auto"/>
                <w:highlight w:val="none"/>
                <w:lang w:val="en-US" w:eastAsia="zh-CN"/>
              </w:rPr>
            </w:pPr>
            <w:r>
              <w:rPr>
                <w:rFonts w:hint="eastAsia" w:cs="Times New Roman"/>
                <w:b/>
                <w:bCs/>
                <w:color w:val="auto"/>
                <w:highlight w:val="none"/>
                <w:lang w:eastAsia="zh-CN"/>
              </w:rPr>
              <w:t>图2.9-</w:t>
            </w: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 xml:space="preserve"> 项目</w:t>
            </w:r>
            <w:r>
              <w:rPr>
                <w:rFonts w:hint="default" w:ascii="Times New Roman" w:hAnsi="Times New Roman" w:cs="Times New Roman"/>
                <w:b/>
                <w:bCs/>
                <w:color w:val="auto"/>
                <w:highlight w:val="none"/>
                <w:lang w:val="en-US" w:eastAsia="zh-CN"/>
              </w:rPr>
              <w:t>临时道路施工</w:t>
            </w:r>
            <w:r>
              <w:rPr>
                <w:rFonts w:hint="default" w:ascii="Times New Roman" w:hAnsi="Times New Roman" w:cs="Times New Roman"/>
                <w:b/>
                <w:bCs/>
                <w:color w:val="auto"/>
                <w:highlight w:val="none"/>
              </w:rPr>
              <w:t>工艺流程及</w:t>
            </w:r>
            <w:r>
              <w:rPr>
                <w:rFonts w:hint="default" w:ascii="Times New Roman" w:hAnsi="Times New Roman" w:cs="Times New Roman"/>
                <w:b/>
                <w:bCs/>
                <w:color w:val="auto"/>
                <w:highlight w:val="none"/>
                <w:lang w:val="en-US" w:eastAsia="zh-CN"/>
              </w:rPr>
              <w:t>产污</w:t>
            </w:r>
            <w:r>
              <w:rPr>
                <w:rFonts w:hint="default" w:ascii="Times New Roman" w:hAnsi="Times New Roman" w:cs="Times New Roman"/>
                <w:b/>
                <w:bCs/>
                <w:color w:val="auto"/>
                <w:highlight w:val="none"/>
              </w:rPr>
              <w:t>环节图</w:t>
            </w:r>
          </w:p>
          <w:p w14:paraId="28577EA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object>
                <v:shape id="_x0000_i1027" o:spt="75" type="#_x0000_t75" style="height:61.5pt;width:318pt;" o:ole="t" filled="f" o:preferrelative="t" stroked="f" coordsize="21600,21600">
                  <v:path/>
                  <v:fill on="f" focussize="0,0"/>
                  <v:stroke on="f"/>
                  <v:imagedata r:id="rId19" o:title=""/>
                  <o:lock v:ext="edit" aspectratio="f"/>
                  <w10:wrap type="none"/>
                  <w10:anchorlock/>
                </v:shape>
                <o:OLEObject Type="Embed" ProgID="Visio.Drawing.15" ShapeID="_x0000_i1027" DrawAspect="Content" ObjectID="_1468075727" r:id="rId18">
                  <o:LockedField>false</o:LockedField>
                </o:OLEObject>
              </w:object>
            </w:r>
          </w:p>
          <w:p w14:paraId="19DABAB5">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auto"/>
                <w:highlight w:val="none"/>
              </w:rPr>
            </w:pPr>
            <w:r>
              <w:rPr>
                <w:rFonts w:hint="eastAsia" w:cs="Times New Roman"/>
                <w:b/>
                <w:bCs/>
                <w:color w:val="auto"/>
                <w:highlight w:val="none"/>
                <w:lang w:eastAsia="zh-CN"/>
              </w:rPr>
              <w:t>图2.9-</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 xml:space="preserve"> 项目</w:t>
            </w:r>
            <w:r>
              <w:rPr>
                <w:rFonts w:hint="default" w:ascii="Times New Roman" w:hAnsi="Times New Roman" w:cs="Times New Roman"/>
                <w:b/>
                <w:bCs/>
                <w:color w:val="auto"/>
                <w:highlight w:val="none"/>
                <w:lang w:val="en-US" w:eastAsia="zh-CN"/>
              </w:rPr>
              <w:t>混凝土拌和详细</w:t>
            </w:r>
            <w:r>
              <w:rPr>
                <w:rFonts w:hint="default" w:ascii="Times New Roman" w:hAnsi="Times New Roman" w:cs="Times New Roman"/>
                <w:b/>
                <w:bCs/>
                <w:color w:val="auto"/>
                <w:highlight w:val="none"/>
              </w:rPr>
              <w:t>工艺流程及</w:t>
            </w:r>
            <w:r>
              <w:rPr>
                <w:rFonts w:hint="default" w:ascii="Times New Roman" w:hAnsi="Times New Roman" w:cs="Times New Roman"/>
                <w:b/>
                <w:bCs/>
                <w:color w:val="auto"/>
                <w:highlight w:val="none"/>
                <w:lang w:val="en-US" w:eastAsia="zh-CN"/>
              </w:rPr>
              <w:t>产污</w:t>
            </w:r>
            <w:r>
              <w:rPr>
                <w:rFonts w:hint="default" w:ascii="Times New Roman" w:hAnsi="Times New Roman" w:cs="Times New Roman"/>
                <w:b/>
                <w:bCs/>
                <w:color w:val="auto"/>
                <w:highlight w:val="none"/>
              </w:rPr>
              <w:t>环节图</w:t>
            </w:r>
          </w:p>
          <w:p w14:paraId="60EFC5F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object>
                <v:shape id="_x0000_i1028" o:spt="75" type="#_x0000_t75" style="height:61.5pt;width:303.75pt;" o:ole="t" filled="f" o:preferrelative="t" stroked="f" coordsize="21600,21600">
                  <v:path/>
                  <v:fill on="f" focussize="0,0"/>
                  <v:stroke on="f"/>
                  <v:imagedata r:id="rId21" o:title=""/>
                  <o:lock v:ext="edit" aspectratio="f"/>
                  <w10:wrap type="none"/>
                  <w10:anchorlock/>
                </v:shape>
                <o:OLEObject Type="Embed" ProgID="Visio.Drawing.15" ShapeID="_x0000_i1028" DrawAspect="Content" ObjectID="_1468075728" r:id="rId20">
                  <o:LockedField>false</o:LockedField>
                </o:OLEObject>
              </w:object>
            </w:r>
          </w:p>
          <w:p w14:paraId="4055D226">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auto"/>
                <w:highlight w:val="none"/>
              </w:rPr>
            </w:pPr>
            <w:r>
              <w:rPr>
                <w:rFonts w:hint="eastAsia" w:cs="Times New Roman"/>
                <w:b/>
                <w:bCs/>
                <w:color w:val="auto"/>
                <w:highlight w:val="none"/>
                <w:lang w:eastAsia="zh-CN"/>
              </w:rPr>
              <w:t>图2.9-</w:t>
            </w:r>
            <w:r>
              <w:rPr>
                <w:rFonts w:hint="eastAsia"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t xml:space="preserve"> 项目</w:t>
            </w:r>
            <w:r>
              <w:rPr>
                <w:rFonts w:hint="eastAsia" w:ascii="Times New Roman" w:hAnsi="Times New Roman" w:cs="Times New Roman"/>
                <w:b/>
                <w:bCs/>
                <w:color w:val="auto"/>
                <w:highlight w:val="none"/>
                <w:lang w:val="en-US" w:eastAsia="zh-CN"/>
              </w:rPr>
              <w:t>河道清淤疏浚</w:t>
            </w:r>
            <w:r>
              <w:rPr>
                <w:rFonts w:hint="default" w:ascii="Times New Roman" w:hAnsi="Times New Roman" w:cs="Times New Roman"/>
                <w:b/>
                <w:bCs/>
                <w:color w:val="auto"/>
                <w:highlight w:val="none"/>
                <w:lang w:val="en-US" w:eastAsia="zh-CN"/>
              </w:rPr>
              <w:t>详细</w:t>
            </w:r>
            <w:r>
              <w:rPr>
                <w:rFonts w:hint="default" w:ascii="Times New Roman" w:hAnsi="Times New Roman" w:cs="Times New Roman"/>
                <w:b/>
                <w:bCs/>
                <w:color w:val="auto"/>
                <w:highlight w:val="none"/>
              </w:rPr>
              <w:t>工艺流程及</w:t>
            </w:r>
            <w:r>
              <w:rPr>
                <w:rFonts w:hint="default" w:ascii="Times New Roman" w:hAnsi="Times New Roman" w:cs="Times New Roman"/>
                <w:b/>
                <w:bCs/>
                <w:color w:val="auto"/>
                <w:highlight w:val="none"/>
                <w:lang w:val="en-US" w:eastAsia="zh-CN"/>
              </w:rPr>
              <w:t>产污</w:t>
            </w:r>
            <w:r>
              <w:rPr>
                <w:rFonts w:hint="default" w:ascii="Times New Roman" w:hAnsi="Times New Roman" w:cs="Times New Roman"/>
                <w:b/>
                <w:bCs/>
                <w:color w:val="auto"/>
                <w:highlight w:val="none"/>
              </w:rPr>
              <w:t>环节图</w:t>
            </w:r>
          </w:p>
          <w:p w14:paraId="1DB4A78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object>
                <v:shape id="_x0000_i1029" o:spt="75" type="#_x0000_t75" style="height:60.75pt;width:395.25pt;" o:ole="t" filled="f" o:preferrelative="t" stroked="f" coordsize="21600,21600">
                  <v:path/>
                  <v:fill on="f" focussize="0,0"/>
                  <v:stroke on="f"/>
                  <v:imagedata r:id="rId23" o:title=""/>
                  <o:lock v:ext="edit" aspectratio="f"/>
                  <w10:wrap type="none"/>
                  <w10:anchorlock/>
                </v:shape>
                <o:OLEObject Type="Embed" ProgID="Visio.Drawing.15" ShapeID="_x0000_i1029" DrawAspect="Content" ObjectID="_1468075729" r:id="rId22">
                  <o:LockedField>false</o:LockedField>
                </o:OLEObject>
              </w:object>
            </w:r>
          </w:p>
          <w:p w14:paraId="6B13AC33">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auto"/>
                <w:highlight w:val="none"/>
              </w:rPr>
            </w:pPr>
            <w:r>
              <w:rPr>
                <w:rFonts w:hint="eastAsia" w:cs="Times New Roman"/>
                <w:b/>
                <w:bCs/>
                <w:color w:val="auto"/>
                <w:highlight w:val="none"/>
                <w:lang w:eastAsia="zh-CN"/>
              </w:rPr>
              <w:t>图2.9-</w:t>
            </w:r>
            <w:r>
              <w:rPr>
                <w:rFonts w:hint="eastAsia"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rPr>
              <w:t xml:space="preserve"> 项目</w:t>
            </w:r>
            <w:r>
              <w:rPr>
                <w:rFonts w:hint="eastAsia" w:ascii="Times New Roman" w:hAnsi="Times New Roman" w:cs="Times New Roman"/>
                <w:b/>
                <w:bCs/>
                <w:color w:val="auto"/>
                <w:highlight w:val="none"/>
                <w:lang w:val="en-US" w:eastAsia="zh-CN"/>
              </w:rPr>
              <w:t>人行桥工程</w:t>
            </w:r>
            <w:r>
              <w:rPr>
                <w:rFonts w:hint="default" w:ascii="Times New Roman" w:hAnsi="Times New Roman" w:cs="Times New Roman"/>
                <w:b/>
                <w:bCs/>
                <w:color w:val="auto"/>
                <w:highlight w:val="none"/>
                <w:lang w:val="en-US" w:eastAsia="zh-CN"/>
              </w:rPr>
              <w:t>详细</w:t>
            </w:r>
            <w:r>
              <w:rPr>
                <w:rFonts w:hint="default" w:ascii="Times New Roman" w:hAnsi="Times New Roman" w:cs="Times New Roman"/>
                <w:b/>
                <w:bCs/>
                <w:color w:val="auto"/>
                <w:highlight w:val="none"/>
              </w:rPr>
              <w:t>工艺流程及</w:t>
            </w:r>
            <w:r>
              <w:rPr>
                <w:rFonts w:hint="default" w:ascii="Times New Roman" w:hAnsi="Times New Roman" w:cs="Times New Roman"/>
                <w:b/>
                <w:bCs/>
                <w:color w:val="auto"/>
                <w:highlight w:val="none"/>
                <w:lang w:val="en-US" w:eastAsia="zh-CN"/>
              </w:rPr>
              <w:t>产污</w:t>
            </w:r>
            <w:r>
              <w:rPr>
                <w:rFonts w:hint="default" w:ascii="Times New Roman" w:hAnsi="Times New Roman" w:cs="Times New Roman"/>
                <w:b/>
                <w:bCs/>
                <w:color w:val="auto"/>
                <w:highlight w:val="none"/>
              </w:rPr>
              <w:t>环节图</w:t>
            </w:r>
          </w:p>
          <w:p w14:paraId="587AE474">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cs="Times New Roman"/>
                <w:b/>
                <w:bCs/>
                <w:color w:val="auto"/>
                <w:highlight w:val="none"/>
                <w:lang w:eastAsia="zh-CN"/>
              </w:rPr>
            </w:pPr>
            <w:r>
              <w:rPr>
                <w:rFonts w:hint="eastAsia" w:cs="Times New Roman"/>
                <w:b/>
                <w:bCs/>
                <w:color w:val="auto"/>
                <w:highlight w:val="none"/>
                <w:lang w:eastAsia="zh-CN"/>
              </w:rPr>
              <w:object>
                <v:shape id="_x0000_i1030" o:spt="75" type="#_x0000_t75" style="height:60pt;width:401.25pt;" o:ole="t" filled="f" o:preferrelative="t" stroked="f" coordsize="21600,21600">
                  <v:path/>
                  <v:fill on="f" focussize="0,0"/>
                  <v:stroke on="f"/>
                  <v:imagedata r:id="rId25" o:title=""/>
                  <o:lock v:ext="edit" aspectratio="f"/>
                  <w10:wrap type="none"/>
                  <w10:anchorlock/>
                </v:shape>
                <o:OLEObject Type="Embed" ProgID="Visio.Drawing.15" ShapeID="_x0000_i1030" DrawAspect="Content" ObjectID="_1468075730" r:id="rId24">
                  <o:LockedField>false</o:LockedField>
                </o:OLEObject>
              </w:object>
            </w:r>
          </w:p>
          <w:p w14:paraId="544E3BA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b/>
                <w:bCs/>
                <w:color w:val="auto"/>
                <w:highlight w:val="none"/>
              </w:rPr>
            </w:pPr>
            <w:r>
              <w:rPr>
                <w:rFonts w:hint="eastAsia" w:cs="Times New Roman"/>
                <w:b/>
                <w:bCs/>
                <w:color w:val="auto"/>
                <w:highlight w:val="none"/>
                <w:lang w:eastAsia="zh-CN"/>
              </w:rPr>
              <w:t>图2.9-</w:t>
            </w:r>
            <w:r>
              <w:rPr>
                <w:rFonts w:hint="eastAsia"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rPr>
              <w:t xml:space="preserve"> 项目</w:t>
            </w:r>
            <w:r>
              <w:rPr>
                <w:rFonts w:hint="eastAsia" w:ascii="Times New Roman" w:hAnsi="Times New Roman" w:cs="Times New Roman"/>
                <w:b/>
                <w:bCs/>
                <w:color w:val="auto"/>
                <w:highlight w:val="none"/>
                <w:lang w:val="en-US" w:eastAsia="zh-CN"/>
              </w:rPr>
              <w:t>桥涵工程</w:t>
            </w:r>
            <w:r>
              <w:rPr>
                <w:rFonts w:hint="default" w:ascii="Times New Roman" w:hAnsi="Times New Roman" w:cs="Times New Roman"/>
                <w:b/>
                <w:bCs/>
                <w:color w:val="auto"/>
                <w:highlight w:val="none"/>
                <w:lang w:val="en-US" w:eastAsia="zh-CN"/>
              </w:rPr>
              <w:t>详细</w:t>
            </w:r>
            <w:r>
              <w:rPr>
                <w:rFonts w:hint="default" w:ascii="Times New Roman" w:hAnsi="Times New Roman" w:cs="Times New Roman"/>
                <w:b/>
                <w:bCs/>
                <w:color w:val="auto"/>
                <w:highlight w:val="none"/>
              </w:rPr>
              <w:t>工艺流程及</w:t>
            </w:r>
            <w:r>
              <w:rPr>
                <w:rFonts w:hint="default" w:ascii="Times New Roman" w:hAnsi="Times New Roman" w:cs="Times New Roman"/>
                <w:b/>
                <w:bCs/>
                <w:color w:val="auto"/>
                <w:highlight w:val="none"/>
                <w:lang w:val="en-US" w:eastAsia="zh-CN"/>
              </w:rPr>
              <w:t>产污</w:t>
            </w:r>
            <w:r>
              <w:rPr>
                <w:rFonts w:hint="default" w:ascii="Times New Roman" w:hAnsi="Times New Roman" w:cs="Times New Roman"/>
                <w:b/>
                <w:bCs/>
                <w:color w:val="auto"/>
                <w:highlight w:val="none"/>
              </w:rPr>
              <w:t>环节图</w:t>
            </w:r>
          </w:p>
          <w:p w14:paraId="53C20F2F">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4"/>
                <w:szCs w:val="24"/>
                <w:highlight w:val="none"/>
              </w:rPr>
            </w:pPr>
            <w:r>
              <w:rPr>
                <w:rFonts w:hint="eastAsia" w:cs="Times New Roman"/>
                <w:b/>
                <w:bCs/>
                <w:color w:val="auto"/>
                <w:sz w:val="24"/>
                <w:szCs w:val="24"/>
                <w:highlight w:val="none"/>
                <w:lang w:val="en-US" w:eastAsia="zh-CN"/>
              </w:rPr>
              <w:t xml:space="preserve">2.9.1 </w:t>
            </w:r>
            <w:r>
              <w:rPr>
                <w:rFonts w:hint="default" w:ascii="Times New Roman" w:hAnsi="Times New Roman" w:eastAsia="宋体" w:cs="Times New Roman"/>
                <w:b/>
                <w:bCs/>
                <w:color w:val="auto"/>
                <w:sz w:val="24"/>
                <w:szCs w:val="24"/>
                <w:highlight w:val="none"/>
              </w:rPr>
              <w:t>施工准备</w:t>
            </w:r>
          </w:p>
          <w:p w14:paraId="54D7B999">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t>本项目主体施工前，需落实</w:t>
            </w:r>
            <w:r>
              <w:rPr>
                <w:rFonts w:hint="default" w:ascii="Times New Roman" w:hAnsi="Times New Roman" w:eastAsia="宋体" w:cs="Times New Roman"/>
                <w:color w:val="auto"/>
                <w:sz w:val="24"/>
                <w:szCs w:val="24"/>
                <w:highlight w:val="none"/>
                <w:lang w:val="en-US" w:eastAsia="zh-CN"/>
              </w:rPr>
              <w:t>石料运输</w:t>
            </w:r>
            <w:r>
              <w:rPr>
                <w:rFonts w:hint="default" w:ascii="Times New Roman" w:hAnsi="Times New Roman" w:eastAsia="宋体" w:cs="Times New Roman"/>
                <w:color w:val="auto"/>
                <w:sz w:val="24"/>
                <w:szCs w:val="24"/>
                <w:highlight w:val="none"/>
              </w:rPr>
              <w:t>、施工车辆及机械入场、料场设置、</w:t>
            </w:r>
            <w:r>
              <w:rPr>
                <w:rFonts w:hint="eastAsia" w:cs="Times New Roman"/>
                <w:color w:val="auto"/>
                <w:sz w:val="24"/>
                <w:szCs w:val="24"/>
                <w:highlight w:val="none"/>
                <w:lang w:val="en-US" w:eastAsia="zh-CN"/>
              </w:rPr>
              <w:t>施工道路</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施工导流</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施工围堰</w:t>
            </w:r>
            <w:r>
              <w:rPr>
                <w:rFonts w:hint="default" w:ascii="Times New Roman" w:hAnsi="Times New Roman" w:eastAsia="宋体" w:cs="Times New Roman"/>
                <w:color w:val="auto"/>
                <w:sz w:val="24"/>
                <w:szCs w:val="24"/>
                <w:highlight w:val="none"/>
              </w:rPr>
              <w:t>等施工准备工作。</w:t>
            </w:r>
          </w:p>
          <w:p w14:paraId="524613AC">
            <w:pPr>
              <w:numPr>
                <w:ilvl w:val="0"/>
                <w:numId w:val="0"/>
              </w:numPr>
              <w:ind w:left="480" w:leftChar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（1）石料运输</w:t>
            </w:r>
          </w:p>
          <w:p w14:paraId="5BD9BC2A">
            <w:pPr>
              <w:ind w:firstLine="480"/>
              <w:jc w:val="left"/>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·石河镇段及双拱段工程、</w:t>
            </w:r>
            <w:r>
              <w:rPr>
                <w:rFonts w:hint="eastAsia"/>
                <w:color w:val="auto"/>
                <w:highlight w:val="none"/>
                <w:lang w:val="en-US" w:eastAsia="zh-CN"/>
              </w:rPr>
              <w:t>二郎、福兴段工程</w:t>
            </w:r>
          </w:p>
          <w:p w14:paraId="6CA6B673">
            <w:pPr>
              <w:ind w:firstLine="480"/>
              <w:jc w:val="left"/>
              <w:rPr>
                <w:color w:val="auto"/>
                <w:highlight w:val="none"/>
              </w:rPr>
            </w:pPr>
            <w:r>
              <w:rPr>
                <w:rFonts w:hint="default" w:ascii="Times New Roman" w:hAnsi="Times New Roman" w:cs="Times New Roman"/>
                <w:color w:val="auto"/>
                <w:szCs w:val="24"/>
                <w:highlight w:val="none"/>
              </w:rPr>
              <w:t>施工区</w:t>
            </w:r>
            <w:r>
              <w:rPr>
                <w:color w:val="auto"/>
                <w:highlight w:val="none"/>
              </w:rPr>
              <w:t>工程所需外来材料（水泥、钢材、木材等）均在</w:t>
            </w:r>
            <w:r>
              <w:rPr>
                <w:rFonts w:hint="eastAsia"/>
                <w:color w:val="auto"/>
                <w:highlight w:val="none"/>
              </w:rPr>
              <w:t>大竹</w:t>
            </w:r>
            <w:r>
              <w:rPr>
                <w:color w:val="auto"/>
                <w:highlight w:val="none"/>
              </w:rPr>
              <w:t>县城区购买，</w:t>
            </w:r>
            <w:r>
              <w:rPr>
                <w:rFonts w:hint="eastAsia"/>
                <w:color w:val="auto"/>
                <w:highlight w:val="none"/>
              </w:rPr>
              <w:t>石河镇段</w:t>
            </w:r>
            <w:r>
              <w:rPr>
                <w:rFonts w:hint="eastAsia"/>
                <w:color w:val="auto"/>
                <w:highlight w:val="none"/>
                <w:lang w:eastAsia="zh-CN"/>
              </w:rPr>
              <w:t>平均综合运距</w:t>
            </w:r>
            <w:r>
              <w:rPr>
                <w:color w:val="auto"/>
                <w:highlight w:val="none"/>
              </w:rPr>
              <w:t>约</w:t>
            </w:r>
            <w:r>
              <w:rPr>
                <w:rFonts w:hint="eastAsia"/>
                <w:color w:val="auto"/>
                <w:highlight w:val="none"/>
              </w:rPr>
              <w:t>25</w:t>
            </w:r>
            <w:r>
              <w:rPr>
                <w:color w:val="auto"/>
                <w:highlight w:val="none"/>
              </w:rPr>
              <w:t>km</w:t>
            </w:r>
            <w:r>
              <w:rPr>
                <w:rFonts w:hint="eastAsia"/>
                <w:color w:val="auto"/>
                <w:highlight w:val="none"/>
              </w:rPr>
              <w:t>，双拱场段</w:t>
            </w:r>
            <w:r>
              <w:rPr>
                <w:rFonts w:hint="eastAsia"/>
                <w:color w:val="auto"/>
                <w:highlight w:val="none"/>
                <w:lang w:eastAsia="zh-CN"/>
              </w:rPr>
              <w:t>平均综合运距</w:t>
            </w:r>
            <w:r>
              <w:rPr>
                <w:color w:val="auto"/>
                <w:highlight w:val="none"/>
              </w:rPr>
              <w:t>约</w:t>
            </w:r>
            <w:r>
              <w:rPr>
                <w:rFonts w:hint="eastAsia"/>
                <w:color w:val="auto"/>
                <w:highlight w:val="none"/>
              </w:rPr>
              <w:t>30</w:t>
            </w:r>
            <w:r>
              <w:rPr>
                <w:color w:val="auto"/>
                <w:highlight w:val="none"/>
              </w:rPr>
              <w:t>km</w:t>
            </w:r>
            <w:r>
              <w:rPr>
                <w:rFonts w:hint="eastAsia"/>
                <w:color w:val="auto"/>
                <w:highlight w:val="none"/>
                <w:lang w:eastAsia="zh-CN"/>
              </w:rPr>
              <w:t>，</w:t>
            </w:r>
            <w:r>
              <w:rPr>
                <w:rFonts w:hint="eastAsia"/>
                <w:color w:val="auto"/>
                <w:highlight w:val="none"/>
                <w:lang w:val="en-US" w:eastAsia="zh-CN"/>
              </w:rPr>
              <w:t>二郎、福兴段</w:t>
            </w:r>
            <w:r>
              <w:rPr>
                <w:rFonts w:hint="eastAsia"/>
                <w:color w:val="auto"/>
                <w:highlight w:val="none"/>
                <w:lang w:eastAsia="zh-CN"/>
              </w:rPr>
              <w:t>平均综合运距</w:t>
            </w:r>
            <w:r>
              <w:rPr>
                <w:color w:val="auto"/>
                <w:highlight w:val="none"/>
              </w:rPr>
              <w:t>约</w:t>
            </w:r>
            <w:r>
              <w:rPr>
                <w:rFonts w:hint="eastAsia"/>
                <w:color w:val="auto"/>
                <w:highlight w:val="none"/>
              </w:rPr>
              <w:t>40</w:t>
            </w:r>
            <w:r>
              <w:rPr>
                <w:color w:val="auto"/>
                <w:highlight w:val="none"/>
              </w:rPr>
              <w:t>km。</w:t>
            </w:r>
          </w:p>
          <w:p w14:paraId="2EE29DBE">
            <w:pPr>
              <w:ind w:firstLine="480"/>
              <w:jc w:val="left"/>
              <w:rPr>
                <w:rFonts w:hint="eastAsia"/>
                <w:color w:val="auto"/>
                <w:highlight w:val="none"/>
              </w:rPr>
            </w:pPr>
            <w:r>
              <w:rPr>
                <w:rFonts w:hint="default" w:ascii="Times New Roman" w:hAnsi="Times New Roman" w:cs="Times New Roman"/>
                <w:color w:val="auto"/>
                <w:szCs w:val="24"/>
                <w:highlight w:val="none"/>
              </w:rPr>
              <w:t>本项目所需</w:t>
            </w:r>
            <w:r>
              <w:rPr>
                <w:rFonts w:hint="eastAsia"/>
                <w:color w:val="auto"/>
                <w:highlight w:val="none"/>
              </w:rPr>
              <w:t>混凝土用粗、细骨料考虑</w:t>
            </w:r>
            <w:r>
              <w:rPr>
                <w:color w:val="auto"/>
                <w:highlight w:val="none"/>
              </w:rPr>
              <w:t>在</w:t>
            </w:r>
            <w:r>
              <w:rPr>
                <w:rFonts w:hint="eastAsia"/>
                <w:color w:val="auto"/>
                <w:highlight w:val="none"/>
              </w:rPr>
              <w:t>渠县卷硐镇的九盆料场进行购买</w:t>
            </w:r>
            <w:r>
              <w:rPr>
                <w:rFonts w:hint="eastAsia"/>
                <w:color w:val="auto"/>
                <w:highlight w:val="none"/>
                <w:lang w:eastAsia="zh-CN"/>
              </w:rPr>
              <w:t>，</w:t>
            </w:r>
            <w:r>
              <w:rPr>
                <w:color w:val="auto"/>
                <w:highlight w:val="none"/>
              </w:rPr>
              <w:t>交通条件较好，</w:t>
            </w:r>
            <w:r>
              <w:rPr>
                <w:rFonts w:hint="eastAsia"/>
                <w:color w:val="auto"/>
                <w:highlight w:val="none"/>
              </w:rPr>
              <w:t>石河镇段</w:t>
            </w:r>
            <w:r>
              <w:rPr>
                <w:rFonts w:hint="eastAsia"/>
                <w:color w:val="auto"/>
                <w:highlight w:val="none"/>
                <w:lang w:eastAsia="zh-CN"/>
              </w:rPr>
              <w:t>、</w:t>
            </w:r>
            <w:r>
              <w:rPr>
                <w:rFonts w:hint="eastAsia"/>
                <w:color w:val="auto"/>
                <w:highlight w:val="none"/>
              </w:rPr>
              <w:t>双拱场段</w:t>
            </w:r>
            <w:r>
              <w:rPr>
                <w:rFonts w:hint="eastAsia"/>
                <w:color w:val="auto"/>
                <w:highlight w:val="none"/>
                <w:lang w:eastAsia="zh-CN"/>
              </w:rPr>
              <w:t>运距</w:t>
            </w:r>
            <w:r>
              <w:rPr>
                <w:color w:val="auto"/>
                <w:highlight w:val="none"/>
              </w:rPr>
              <w:t>约</w:t>
            </w:r>
            <w:r>
              <w:rPr>
                <w:rFonts w:hint="eastAsia"/>
                <w:color w:val="auto"/>
                <w:highlight w:val="none"/>
                <w:lang w:val="en-US" w:eastAsia="zh-CN"/>
              </w:rPr>
              <w:t>42k</w:t>
            </w:r>
            <w:r>
              <w:rPr>
                <w:color w:val="auto"/>
                <w:highlight w:val="none"/>
              </w:rPr>
              <w:t>m</w:t>
            </w:r>
            <w:r>
              <w:rPr>
                <w:rFonts w:hint="eastAsia"/>
                <w:color w:val="auto"/>
                <w:highlight w:val="none"/>
                <w:lang w:eastAsia="zh-CN"/>
              </w:rPr>
              <w:t>，</w:t>
            </w:r>
            <w:r>
              <w:rPr>
                <w:rFonts w:hint="eastAsia"/>
                <w:color w:val="auto"/>
                <w:highlight w:val="none"/>
                <w:lang w:val="en-US" w:eastAsia="zh-CN"/>
              </w:rPr>
              <w:t>二郎、福兴段</w:t>
            </w:r>
            <w:r>
              <w:rPr>
                <w:color w:val="auto"/>
                <w:highlight w:val="none"/>
              </w:rPr>
              <w:t>运距约</w:t>
            </w:r>
            <w:r>
              <w:rPr>
                <w:rFonts w:hint="eastAsia"/>
                <w:color w:val="auto"/>
                <w:highlight w:val="none"/>
              </w:rPr>
              <w:t>57</w:t>
            </w:r>
            <w:r>
              <w:rPr>
                <w:color w:val="auto"/>
                <w:highlight w:val="none"/>
              </w:rPr>
              <w:t>km</w:t>
            </w:r>
            <w:r>
              <w:rPr>
                <w:rFonts w:hint="default" w:ascii="Times New Roman" w:hAnsi="Times New Roman" w:cs="Times New Roman"/>
                <w:color w:val="auto"/>
                <w:szCs w:val="24"/>
                <w:highlight w:val="none"/>
              </w:rPr>
              <w:t>。</w:t>
            </w:r>
            <w:r>
              <w:rPr>
                <w:rFonts w:hint="eastAsia"/>
                <w:color w:val="auto"/>
                <w:highlight w:val="none"/>
              </w:rPr>
              <w:t>料场的储量、质量能满足规范要求及本工程需要。</w:t>
            </w:r>
          </w:p>
          <w:p w14:paraId="4E81187D">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Times New Roman" w:hAnsi="Times New Roman" w:eastAsia="宋体" w:cs="Times New Roman"/>
                <w:b w:val="0"/>
                <w:bCs w:val="0"/>
                <w:snapToGrid w:val="0"/>
                <w:color w:val="auto"/>
                <w:sz w:val="24"/>
                <w:szCs w:val="24"/>
                <w:highlight w:val="none"/>
                <w:lang w:val="en-US" w:eastAsia="zh-CN" w:bidi="ar-SA"/>
              </w:rPr>
            </w:pPr>
            <w:r>
              <w:rPr>
                <w:rFonts w:hint="eastAsia" w:ascii="Times New Roman" w:hAnsi="Times New Roman" w:eastAsia="宋体" w:cs="Times New Roman"/>
                <w:b w:val="0"/>
                <w:bCs w:val="0"/>
                <w:snapToGrid w:val="0"/>
                <w:color w:val="auto"/>
                <w:sz w:val="24"/>
                <w:szCs w:val="24"/>
                <w:highlight w:val="none"/>
                <w:lang w:val="en-US" w:eastAsia="zh-CN" w:bidi="ar-SA"/>
              </w:rPr>
              <w:t>堤脚线开挖出的粉质粘土需经过处理后，作为堤脚和堤背的回填料使用，块石料场中碎石、石渣亦可作为堤基基础填筑料使用。本</w:t>
            </w:r>
            <w:r>
              <w:rPr>
                <w:rFonts w:hint="eastAsia" w:cs="Times New Roman"/>
                <w:b w:val="0"/>
                <w:bCs w:val="0"/>
                <w:snapToGrid w:val="0"/>
                <w:color w:val="auto"/>
                <w:sz w:val="24"/>
                <w:szCs w:val="24"/>
                <w:highlight w:val="none"/>
                <w:lang w:val="en-US" w:eastAsia="zh-CN" w:bidi="ar-SA"/>
              </w:rPr>
              <w:t>项目</w:t>
            </w:r>
            <w:r>
              <w:rPr>
                <w:rFonts w:hint="eastAsia" w:ascii="Times New Roman" w:hAnsi="Times New Roman" w:eastAsia="宋体" w:cs="Times New Roman"/>
                <w:b w:val="0"/>
                <w:bCs w:val="0"/>
                <w:snapToGrid w:val="0"/>
                <w:color w:val="auto"/>
                <w:sz w:val="24"/>
                <w:szCs w:val="24"/>
                <w:highlight w:val="none"/>
                <w:lang w:val="en-US" w:eastAsia="zh-CN" w:bidi="ar-SA"/>
              </w:rPr>
              <w:t>回填料、填筑料采用基础开挖中的合格料，不足部分采用外购。</w:t>
            </w:r>
          </w:p>
          <w:p w14:paraId="1A8ED3D3">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cs="Times New Roman"/>
                <w:b w:val="0"/>
                <w:bCs w:val="0"/>
                <w:snapToGrid w:val="0"/>
                <w:color w:val="auto"/>
                <w:sz w:val="24"/>
                <w:szCs w:val="24"/>
                <w:highlight w:val="none"/>
                <w:lang w:val="en-US" w:eastAsia="zh-CN" w:bidi="ar-SA"/>
              </w:rPr>
            </w:pPr>
            <w:r>
              <w:rPr>
                <w:rFonts w:hint="eastAsia" w:cs="Times New Roman"/>
                <w:b w:val="0"/>
                <w:bCs w:val="0"/>
                <w:snapToGrid w:val="0"/>
                <w:color w:val="auto"/>
                <w:sz w:val="24"/>
                <w:szCs w:val="24"/>
                <w:highlight w:val="none"/>
                <w:lang w:val="en-US" w:eastAsia="zh-CN" w:bidi="ar-SA"/>
              </w:rPr>
              <w:t>·清河镇段及杨家镇段</w:t>
            </w:r>
          </w:p>
          <w:p w14:paraId="31B97C5A">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default" w:cs="Times New Roman"/>
                <w:b w:val="0"/>
                <w:bCs w:val="0"/>
                <w:snapToGrid w:val="0"/>
                <w:color w:val="auto"/>
                <w:sz w:val="24"/>
                <w:szCs w:val="24"/>
                <w:highlight w:val="none"/>
                <w:lang w:val="en-US" w:eastAsia="zh-CN" w:bidi="ar-SA"/>
              </w:rPr>
            </w:pPr>
            <w:r>
              <w:rPr>
                <w:rFonts w:hint="eastAsia" w:cs="Times New Roman"/>
                <w:b w:val="0"/>
                <w:bCs w:val="0"/>
                <w:snapToGrid w:val="0"/>
                <w:color w:val="auto"/>
                <w:sz w:val="24"/>
                <w:szCs w:val="24"/>
                <w:highlight w:val="none"/>
                <w:lang w:val="en-US" w:eastAsia="zh-CN" w:bidi="ar-SA"/>
              </w:rPr>
              <w:t>根据调查，</w:t>
            </w:r>
            <w:r>
              <w:rPr>
                <w:rFonts w:hint="eastAsia"/>
                <w:color w:val="auto"/>
                <w:sz w:val="24"/>
                <w:highlight w:val="none"/>
                <w:lang w:val="en-US" w:eastAsia="zh-CN"/>
              </w:rPr>
              <w:t>石料及材料均在周边购买。由第三方车辆运输。</w:t>
            </w:r>
          </w:p>
          <w:p w14:paraId="4E3B234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bCs/>
                <w:color w:val="auto"/>
                <w:highlight w:val="none"/>
                <w:lang w:val="en-US" w:eastAsia="zh-CN"/>
              </w:rPr>
            </w:pPr>
            <w:r>
              <w:rPr>
                <w:rFonts w:hint="eastAsia" w:cs="Times New Roman"/>
                <w:color w:val="auto"/>
                <w:szCs w:val="24"/>
                <w:highlight w:val="none"/>
                <w:lang w:val="en-US" w:eastAsia="zh-CN"/>
              </w:rPr>
              <w:t>产污环节：</w:t>
            </w:r>
            <w:r>
              <w:rPr>
                <w:rFonts w:hint="eastAsia"/>
                <w:color w:val="auto"/>
                <w:sz w:val="24"/>
                <w:highlight w:val="none"/>
                <w:lang w:val="en-US" w:eastAsia="zh-CN"/>
              </w:rPr>
              <w:t>物料在运输过程中有噪声和扬尘产生。石料等散状颗粒料在料场卸货过程中有粉尘产生。</w:t>
            </w:r>
          </w:p>
          <w:p w14:paraId="62258F5A">
            <w:pPr>
              <w:numPr>
                <w:ilvl w:val="0"/>
                <w:numId w:val="0"/>
              </w:numPr>
              <w:ind w:left="480" w:leftChar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w:t>
            </w:r>
            <w:r>
              <w:rPr>
                <w:rFonts w:hint="eastAsia" w:cs="Times New Roman"/>
                <w:b/>
                <w:bCs/>
                <w:color w:val="auto"/>
                <w:highlight w:val="none"/>
                <w:lang w:val="en-US" w:eastAsia="zh-CN"/>
              </w:rPr>
              <w:t>施工道路</w:t>
            </w:r>
          </w:p>
          <w:p w14:paraId="2D228C2D">
            <w:pPr>
              <w:ind w:firstLine="480"/>
              <w:jc w:val="left"/>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·石河镇段及双拱段工程、</w:t>
            </w:r>
            <w:r>
              <w:rPr>
                <w:rFonts w:hint="eastAsia"/>
                <w:color w:val="auto"/>
                <w:highlight w:val="none"/>
                <w:lang w:val="en-US" w:eastAsia="zh-CN"/>
              </w:rPr>
              <w:t>二郎、福兴段工程</w:t>
            </w:r>
          </w:p>
          <w:p w14:paraId="1CAC8F5D">
            <w:pPr>
              <w:ind w:firstLine="48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场内交通运输以现有公路为主，不足部分需新建临时施工道路，使工程各施工工厂、施工仓库等联系起来，以满足场内施工要求。</w:t>
            </w:r>
            <w:r>
              <w:rPr>
                <w:rFonts w:hint="eastAsia" w:cs="Times New Roman"/>
                <w:color w:val="auto"/>
                <w:sz w:val="24"/>
                <w:szCs w:val="24"/>
                <w:highlight w:val="none"/>
                <w:lang w:val="en-US" w:eastAsia="zh-CN"/>
              </w:rPr>
              <w:t>二郎、福兴段新建临时道路1.5824km；石河镇及双拱段新建临时道路3.33km。</w:t>
            </w:r>
          </w:p>
          <w:p w14:paraId="0E90F17F">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eastAsia="宋体" w:cs="Times New Roman"/>
                <w:color w:val="auto"/>
                <w:sz w:val="24"/>
                <w:szCs w:val="24"/>
                <w:highlight w:val="none"/>
              </w:rPr>
              <w:t>临时道路主要技术指标如下：</w:t>
            </w:r>
            <w:r>
              <w:rPr>
                <w:rFonts w:hint="default" w:ascii="Times New Roman" w:hAnsi="Times New Roman" w:cs="Times New Roman"/>
                <w:color w:val="auto"/>
                <w:highlight w:val="none"/>
              </w:rPr>
              <w:t>设计行车速度</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0 km/h</w:t>
            </w:r>
            <w:r>
              <w:rPr>
                <w:rFonts w:hint="default" w:ascii="Times New Roman" w:hAnsi="Times New Roman" w:cs="Times New Roman"/>
                <w:color w:val="auto"/>
                <w:highlight w:val="none"/>
                <w:lang w:eastAsia="zh-CN"/>
              </w:rPr>
              <w:t>，</w:t>
            </w:r>
            <w:r>
              <w:rPr>
                <w:rFonts w:hint="default" w:ascii="Times New Roman" w:hAnsi="Times New Roman" w:cs="Times New Roman"/>
                <w:color w:val="auto"/>
                <w:sz w:val="24"/>
                <w:szCs w:val="24"/>
                <w:highlight w:val="none"/>
                <w:lang w:val="en-US" w:eastAsia="zh-CN"/>
              </w:rPr>
              <w:t>石河镇二郎、福兴段</w:t>
            </w:r>
            <w:r>
              <w:rPr>
                <w:rFonts w:hint="default" w:ascii="Times New Roman" w:hAnsi="Times New Roman" w:cs="Times New Roman"/>
                <w:color w:val="auto"/>
                <w:highlight w:val="none"/>
              </w:rPr>
              <w:t>路幅宽度3.5m</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路幅宽度</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m</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石河镇石河镇段、双拱场段</w:t>
            </w:r>
            <w:r>
              <w:rPr>
                <w:rFonts w:hint="default" w:ascii="Times New Roman" w:hAnsi="Times New Roman" w:cs="Times New Roman"/>
                <w:color w:val="auto"/>
                <w:highlight w:val="none"/>
              </w:rPr>
              <w:t>路面结构型式</w:t>
            </w:r>
            <w:r>
              <w:rPr>
                <w:rFonts w:hint="default" w:ascii="Times New Roman" w:hAnsi="Times New Roman" w:cs="Times New Roman"/>
                <w:color w:val="auto"/>
                <w:highlight w:val="none"/>
                <w:lang w:val="en-US" w:eastAsia="zh-CN"/>
              </w:rPr>
              <w:t>为</w:t>
            </w:r>
            <w:r>
              <w:rPr>
                <w:rFonts w:hint="default" w:ascii="Times New Roman" w:hAnsi="Times New Roman" w:cs="Times New Roman"/>
                <w:color w:val="auto"/>
                <w:highlight w:val="none"/>
              </w:rPr>
              <w:t>泥结石路面</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一般最小平曲线半径</w:t>
            </w:r>
            <w:r>
              <w:rPr>
                <w:rFonts w:hint="default" w:ascii="Times New Roman" w:hAnsi="Times New Roman" w:cs="Times New Roman"/>
                <w:color w:val="auto"/>
                <w:highlight w:val="none"/>
                <w:lang w:val="en-US" w:eastAsia="zh-CN"/>
              </w:rPr>
              <w:t>为</w:t>
            </w:r>
            <w:r>
              <w:rPr>
                <w:rFonts w:hint="default" w:ascii="Times New Roman" w:hAnsi="Times New Roman" w:cs="Times New Roman"/>
                <w:color w:val="auto"/>
                <w:highlight w:val="none"/>
              </w:rPr>
              <w:t>30.00m</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一般最大纵坡9％</w:t>
            </w:r>
            <w:r>
              <w:rPr>
                <w:rFonts w:hint="default" w:ascii="Times New Roman" w:hAnsi="Times New Roman" w:cs="Times New Roman"/>
                <w:color w:val="auto"/>
                <w:highlight w:val="none"/>
                <w:lang w:eastAsia="zh-CN"/>
              </w:rPr>
              <w:t>。</w:t>
            </w:r>
          </w:p>
          <w:p w14:paraId="33CEC9D9">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cs="Times New Roman"/>
                <w:b w:val="0"/>
                <w:bCs w:val="0"/>
                <w:snapToGrid w:val="0"/>
                <w:color w:val="auto"/>
                <w:sz w:val="24"/>
                <w:szCs w:val="24"/>
                <w:highlight w:val="none"/>
                <w:lang w:val="en-US" w:eastAsia="zh-CN" w:bidi="ar-SA"/>
              </w:rPr>
            </w:pPr>
            <w:r>
              <w:rPr>
                <w:rFonts w:hint="eastAsia" w:cs="Times New Roman"/>
                <w:b w:val="0"/>
                <w:bCs w:val="0"/>
                <w:snapToGrid w:val="0"/>
                <w:color w:val="auto"/>
                <w:sz w:val="24"/>
                <w:szCs w:val="24"/>
                <w:highlight w:val="none"/>
                <w:lang w:val="en-US" w:eastAsia="zh-CN" w:bidi="ar-SA"/>
              </w:rPr>
              <w:t>·清河镇段及杨家镇段</w:t>
            </w:r>
          </w:p>
          <w:p w14:paraId="3A6F05C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highlight w:val="none"/>
                <w:lang w:val="en-US" w:eastAsia="zh-CN"/>
              </w:rPr>
            </w:pPr>
            <w:r>
              <w:rPr>
                <w:rFonts w:hint="eastAsia" w:cs="Times New Roman"/>
                <w:color w:val="auto"/>
                <w:highlight w:val="none"/>
                <w:lang w:val="en-US" w:eastAsia="zh-CN"/>
              </w:rPr>
              <w:t>根据调查，施工区期清河镇段</w:t>
            </w:r>
            <w:r>
              <w:rPr>
                <w:color w:val="auto"/>
                <w:highlight w:val="none"/>
              </w:rPr>
              <w:t>新建临时道路1.</w:t>
            </w:r>
            <w:r>
              <w:rPr>
                <w:rFonts w:hint="eastAsia"/>
                <w:color w:val="auto"/>
                <w:highlight w:val="none"/>
                <w:lang w:val="en-US" w:eastAsia="zh-CN"/>
              </w:rPr>
              <w:t>0</w:t>
            </w:r>
            <w:r>
              <w:rPr>
                <w:color w:val="auto"/>
                <w:highlight w:val="none"/>
              </w:rPr>
              <w:t>km</w:t>
            </w:r>
            <w:r>
              <w:rPr>
                <w:rFonts w:hint="eastAsia"/>
                <w:color w:val="auto"/>
                <w:highlight w:val="none"/>
                <w:lang w:eastAsia="zh-CN"/>
              </w:rPr>
              <w:t>、</w:t>
            </w:r>
            <w:r>
              <w:rPr>
                <w:rFonts w:hint="eastAsia"/>
                <w:color w:val="auto"/>
                <w:highlight w:val="none"/>
                <w:lang w:val="en-US" w:eastAsia="zh-CN"/>
              </w:rPr>
              <w:t>杨家镇段1.75km。临时道路均采用泥结石路面（厚30cm），路面宽度4.0m，路基宽4.6m。</w:t>
            </w:r>
          </w:p>
          <w:p w14:paraId="10892552">
            <w:pPr>
              <w:keepNext w:val="0"/>
              <w:keepLines w:val="0"/>
              <w:pageBreakBefore w:val="0"/>
              <w:widowControl w:val="0"/>
              <w:kinsoku/>
              <w:wordWrap/>
              <w:overflowPunct/>
              <w:topLinePunct w:val="0"/>
              <w:autoSpaceDE/>
              <w:autoSpaceDN/>
              <w:bidi w:val="0"/>
              <w:adjustRightInd/>
              <w:snapToGrid/>
              <w:spacing w:beforeLines="0" w:afterLines="0"/>
              <w:ind w:left="0" w:leftChars="0" w:firstLine="480" w:firstLineChars="200"/>
              <w:jc w:val="left"/>
              <w:textAlignment w:val="auto"/>
              <w:rPr>
                <w:rFonts w:hint="default" w:ascii="Times New Roman" w:hAnsi="Times New Roman" w:cs="Times New Roman"/>
                <w:bCs/>
                <w:color w:val="auto"/>
                <w:sz w:val="24"/>
                <w:highlight w:val="none"/>
                <w:lang w:val="en-US" w:eastAsia="zh-CN"/>
              </w:rPr>
            </w:pPr>
            <w:r>
              <w:rPr>
                <w:rFonts w:hint="eastAsia" w:cs="Times New Roman"/>
                <w:color w:val="auto"/>
                <w:sz w:val="24"/>
                <w:szCs w:val="24"/>
                <w:highlight w:val="none"/>
                <w:lang w:val="en-US" w:eastAsia="zh-CN"/>
              </w:rPr>
              <w:t>临时道路施工程序：</w:t>
            </w:r>
            <w:r>
              <w:rPr>
                <w:rFonts w:hint="default" w:ascii="Times New Roman" w:hAnsi="Times New Roman" w:cs="Times New Roman"/>
                <w:color w:val="auto"/>
                <w:sz w:val="24"/>
                <w:szCs w:val="24"/>
                <w:highlight w:val="none"/>
                <w:lang w:val="en-US" w:eastAsia="zh-CN"/>
              </w:rPr>
              <w:t>施工前</w:t>
            </w:r>
            <w:r>
              <w:rPr>
                <w:rFonts w:hint="default" w:ascii="Times New Roman" w:hAnsi="Times New Roman" w:cs="Times New Roman"/>
                <w:bCs/>
                <w:color w:val="auto"/>
                <w:sz w:val="24"/>
                <w:highlight w:val="none"/>
              </w:rPr>
              <w:t>先剥离</w:t>
            </w:r>
            <w:r>
              <w:rPr>
                <w:rFonts w:hint="default" w:ascii="Times New Roman" w:hAnsi="Times New Roman" w:cs="Times New Roman"/>
                <w:bCs/>
                <w:color w:val="auto"/>
                <w:sz w:val="24"/>
                <w:highlight w:val="none"/>
                <w:lang w:val="en-US" w:eastAsia="zh-CN"/>
              </w:rPr>
              <w:t>施工道路区域的</w:t>
            </w:r>
            <w:r>
              <w:rPr>
                <w:rFonts w:hint="default" w:ascii="Times New Roman" w:hAnsi="Times New Roman" w:cs="Times New Roman"/>
                <w:bCs/>
                <w:color w:val="auto"/>
                <w:sz w:val="24"/>
                <w:highlight w:val="none"/>
              </w:rPr>
              <w:t>地表无用层，并保留表层清基料及无用表层土作为后期绿化覆土</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之后进行路床修筑，确保表面无杂草、树根等。修筑之后进行土石方填筑，确保路面平整。压实之前检查施工道路土层宽度、厚度等，合格后将路面压实。压实后再次对路面填料进行压实度、平整度、厚度、宽度等指标进行检测、验收，确保临时道路路基施工的质量和安全性。</w:t>
            </w:r>
          </w:p>
          <w:p w14:paraId="6B9A334E">
            <w:pPr>
              <w:keepNext w:val="0"/>
              <w:keepLines w:val="0"/>
              <w:pageBreakBefore w:val="0"/>
              <w:widowControl w:val="0"/>
              <w:kinsoku/>
              <w:wordWrap/>
              <w:overflowPunct/>
              <w:topLinePunct w:val="0"/>
              <w:autoSpaceDE/>
              <w:autoSpaceDN/>
              <w:bidi w:val="0"/>
              <w:adjustRightInd/>
              <w:snapToGrid/>
              <w:spacing w:beforeLines="0" w:afterLines="0"/>
              <w:ind w:left="0" w:leftChars="0" w:firstLine="480" w:firstLineChars="200"/>
              <w:jc w:val="left"/>
              <w:textAlignment w:val="auto"/>
              <w:rPr>
                <w:rFonts w:hint="eastAsia" w:ascii="Times New Roman" w:hAnsi="Times New Roman" w:eastAsia="宋体" w:cs="Times New Roman"/>
                <w:bCs/>
                <w:color w:val="auto"/>
                <w:sz w:val="24"/>
                <w:highlight w:val="none"/>
                <w:lang w:val="en-US" w:eastAsia="zh-CN"/>
              </w:rPr>
            </w:pPr>
            <w:r>
              <w:rPr>
                <w:rFonts w:hint="default" w:ascii="Times New Roman" w:hAnsi="Times New Roman" w:cs="Times New Roman"/>
                <w:color w:val="auto"/>
                <w:sz w:val="24"/>
                <w:szCs w:val="24"/>
                <w:highlight w:val="none"/>
              </w:rPr>
              <w:t>施工结束后，</w:t>
            </w:r>
            <w:r>
              <w:rPr>
                <w:rFonts w:hint="eastAsia" w:cs="Times New Roman"/>
                <w:color w:val="auto"/>
                <w:sz w:val="24"/>
                <w:szCs w:val="24"/>
                <w:highlight w:val="none"/>
                <w:lang w:eastAsia="zh-CN"/>
              </w:rPr>
              <w:t>施工道路</w:t>
            </w:r>
            <w:r>
              <w:rPr>
                <w:rFonts w:hint="default" w:ascii="Times New Roman" w:hAnsi="Times New Roman" w:cs="Times New Roman"/>
                <w:color w:val="auto"/>
                <w:sz w:val="24"/>
                <w:szCs w:val="24"/>
                <w:highlight w:val="none"/>
              </w:rPr>
              <w:t>拆除</w:t>
            </w:r>
            <w:r>
              <w:rPr>
                <w:rFonts w:hint="eastAsia" w:cs="Times New Roman"/>
                <w:color w:val="auto"/>
                <w:sz w:val="24"/>
                <w:szCs w:val="24"/>
                <w:highlight w:val="none"/>
                <w:lang w:eastAsia="zh-CN"/>
              </w:rPr>
              <w:t>。</w:t>
            </w:r>
          </w:p>
          <w:p w14:paraId="7F9A6291">
            <w:pPr>
              <w:numPr>
                <w:ilvl w:val="0"/>
                <w:numId w:val="0"/>
              </w:numPr>
              <w:ind w:left="480" w:leftChar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（3）施工导流</w:t>
            </w:r>
          </w:p>
          <w:p w14:paraId="753F9B2E">
            <w:pPr>
              <w:ind w:firstLine="48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r>
              <w:rPr>
                <w:rFonts w:hint="eastAsia" w:cs="Times New Roman"/>
                <w:color w:val="auto"/>
                <w:szCs w:val="24"/>
                <w:highlight w:val="none"/>
                <w:lang w:val="en-US" w:eastAsia="zh-CN"/>
              </w:rPr>
              <w:t>石河镇段及双拱段工程、</w:t>
            </w:r>
            <w:r>
              <w:rPr>
                <w:rFonts w:hint="eastAsia"/>
                <w:color w:val="auto"/>
                <w:highlight w:val="none"/>
                <w:lang w:val="en-US" w:eastAsia="zh-CN"/>
              </w:rPr>
              <w:t>二郎、福兴段工程</w:t>
            </w:r>
          </w:p>
          <w:p w14:paraId="3769B1BA">
            <w:pPr>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①</w:t>
            </w:r>
            <w:r>
              <w:rPr>
                <w:rFonts w:hint="default" w:ascii="Times New Roman" w:hAnsi="Times New Roman" w:cs="Times New Roman"/>
                <w:color w:val="auto"/>
                <w:highlight w:val="none"/>
                <w:lang w:val="en-US" w:eastAsia="zh-CN"/>
              </w:rPr>
              <w:t>导流标准</w:t>
            </w:r>
          </w:p>
          <w:p w14:paraId="3235F6B9">
            <w:pPr>
              <w:pStyle w:val="21"/>
              <w:ind w:firstLine="480"/>
              <w:jc w:val="both"/>
              <w:rPr>
                <w:rFonts w:hint="eastAsia"/>
                <w:color w:val="auto"/>
                <w:highlight w:val="none"/>
              </w:rPr>
            </w:pPr>
            <w:r>
              <w:rPr>
                <w:color w:val="auto"/>
                <w:szCs w:val="24"/>
                <w:highlight w:val="none"/>
              </w:rPr>
              <w:t>施工期临时导流建筑物为5级，相应导流设计洪水标准采用5年一遇的洪水标准</w:t>
            </w:r>
            <w:r>
              <w:rPr>
                <w:rFonts w:hint="default" w:ascii="Times New Roman" w:hAnsi="Times New Roman" w:cs="Times New Roman"/>
                <w:color w:val="auto"/>
                <w:highlight w:val="none"/>
              </w:rPr>
              <w:t>。</w:t>
            </w:r>
            <w:r>
              <w:rPr>
                <w:color w:val="auto"/>
                <w:szCs w:val="24"/>
                <w:highlight w:val="none"/>
              </w:rPr>
              <w:t>导流时段为</w:t>
            </w:r>
            <w:r>
              <w:rPr>
                <w:rFonts w:hint="eastAsia"/>
                <w:color w:val="auto"/>
                <w:szCs w:val="24"/>
                <w:highlight w:val="none"/>
              </w:rPr>
              <w:t>12</w:t>
            </w:r>
            <w:r>
              <w:rPr>
                <w:color w:val="auto"/>
                <w:szCs w:val="24"/>
                <w:highlight w:val="none"/>
              </w:rPr>
              <w:t>月～</w:t>
            </w:r>
            <w:r>
              <w:rPr>
                <w:rFonts w:hint="eastAsia"/>
                <w:color w:val="auto"/>
                <w:szCs w:val="24"/>
                <w:highlight w:val="none"/>
              </w:rPr>
              <w:t>次年3月</w:t>
            </w:r>
            <w:r>
              <w:rPr>
                <w:color w:val="auto"/>
                <w:szCs w:val="24"/>
                <w:highlight w:val="none"/>
              </w:rPr>
              <w:t>，</w:t>
            </w:r>
            <w:r>
              <w:rPr>
                <w:rFonts w:hint="eastAsia"/>
                <w:color w:val="auto"/>
                <w:szCs w:val="24"/>
                <w:highlight w:val="none"/>
              </w:rPr>
              <w:t>二郎段</w:t>
            </w:r>
            <w:r>
              <w:rPr>
                <w:color w:val="auto"/>
                <w:szCs w:val="24"/>
                <w:highlight w:val="none"/>
              </w:rPr>
              <w:t>导流流量为</w:t>
            </w:r>
            <w:r>
              <w:rPr>
                <w:rFonts w:hint="eastAsia"/>
                <w:color w:val="auto"/>
                <w:szCs w:val="24"/>
                <w:highlight w:val="none"/>
              </w:rPr>
              <w:t>13.11</w:t>
            </w:r>
            <w:r>
              <w:rPr>
                <w:color w:val="auto"/>
                <w:szCs w:val="24"/>
                <w:highlight w:val="none"/>
              </w:rPr>
              <w:t>m</w:t>
            </w:r>
            <w:r>
              <w:rPr>
                <w:color w:val="auto"/>
                <w:szCs w:val="24"/>
                <w:highlight w:val="none"/>
                <w:vertAlign w:val="superscript"/>
              </w:rPr>
              <w:t>3</w:t>
            </w:r>
            <w:r>
              <w:rPr>
                <w:color w:val="auto"/>
                <w:szCs w:val="24"/>
                <w:highlight w:val="none"/>
              </w:rPr>
              <w:t>/s</w:t>
            </w:r>
            <w:r>
              <w:rPr>
                <w:rFonts w:hint="eastAsia"/>
                <w:color w:val="auto"/>
                <w:szCs w:val="24"/>
                <w:highlight w:val="none"/>
                <w:lang w:eastAsia="zh-CN"/>
              </w:rPr>
              <w:t>，</w:t>
            </w:r>
            <w:r>
              <w:rPr>
                <w:rFonts w:hint="eastAsia"/>
                <w:color w:val="auto"/>
                <w:szCs w:val="24"/>
                <w:highlight w:val="none"/>
              </w:rPr>
              <w:t>福兴段导流流量为0.9</w:t>
            </w:r>
            <w:r>
              <w:rPr>
                <w:color w:val="auto"/>
                <w:szCs w:val="24"/>
                <w:highlight w:val="none"/>
              </w:rPr>
              <w:t>m</w:t>
            </w:r>
            <w:r>
              <w:rPr>
                <w:color w:val="auto"/>
                <w:szCs w:val="24"/>
                <w:highlight w:val="none"/>
                <w:vertAlign w:val="superscript"/>
              </w:rPr>
              <w:t>3</w:t>
            </w:r>
            <w:r>
              <w:rPr>
                <w:color w:val="auto"/>
                <w:szCs w:val="24"/>
                <w:highlight w:val="none"/>
              </w:rPr>
              <w:t>/s</w:t>
            </w:r>
            <w:r>
              <w:rPr>
                <w:rFonts w:hint="eastAsia"/>
                <w:color w:val="auto"/>
                <w:szCs w:val="24"/>
                <w:highlight w:val="none"/>
                <w:lang w:eastAsia="zh-CN"/>
              </w:rPr>
              <w:t>；石河镇段干流导流流量为2.1m</w:t>
            </w:r>
            <w:r>
              <w:rPr>
                <w:rFonts w:hint="eastAsia"/>
                <w:color w:val="auto"/>
                <w:szCs w:val="24"/>
                <w:highlight w:val="none"/>
                <w:vertAlign w:val="superscript"/>
                <w:lang w:eastAsia="zh-CN"/>
              </w:rPr>
              <w:t>3</w:t>
            </w:r>
            <w:r>
              <w:rPr>
                <w:rFonts w:hint="eastAsia"/>
                <w:color w:val="auto"/>
                <w:szCs w:val="24"/>
                <w:highlight w:val="none"/>
                <w:lang w:eastAsia="zh-CN"/>
              </w:rPr>
              <w:t>/s，双拱场段干流导流流量为8.9m</w:t>
            </w:r>
            <w:r>
              <w:rPr>
                <w:rFonts w:hint="eastAsia"/>
                <w:color w:val="auto"/>
                <w:szCs w:val="24"/>
                <w:highlight w:val="none"/>
                <w:vertAlign w:val="superscript"/>
                <w:lang w:eastAsia="zh-CN"/>
              </w:rPr>
              <w:t>3</w:t>
            </w:r>
            <w:r>
              <w:rPr>
                <w:rFonts w:hint="eastAsia"/>
                <w:color w:val="auto"/>
                <w:szCs w:val="24"/>
                <w:highlight w:val="none"/>
                <w:lang w:eastAsia="zh-CN"/>
              </w:rPr>
              <w:t>/s。</w:t>
            </w:r>
          </w:p>
          <w:p w14:paraId="66D3A888">
            <w:pPr>
              <w:spacing w:beforeLines="0" w:afterLines="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s="Times New Roman"/>
                <w:color w:val="auto"/>
                <w:sz w:val="24"/>
                <w:szCs w:val="24"/>
                <w:highlight w:val="none"/>
                <w:lang w:val="en-US" w:eastAsia="zh-CN"/>
              </w:rPr>
              <w:t>导流方式</w:t>
            </w:r>
          </w:p>
          <w:p w14:paraId="2D315778">
            <w:pPr>
              <w:pStyle w:val="21"/>
              <w:ind w:firstLine="480"/>
              <w:jc w:val="both"/>
              <w:rPr>
                <w:rFonts w:hint="eastAsia"/>
                <w:color w:val="auto"/>
                <w:highlight w:val="none"/>
              </w:rPr>
            </w:pPr>
            <w:r>
              <w:rPr>
                <w:rFonts w:hint="eastAsia" w:cs="Times New Roman"/>
                <w:color w:val="auto"/>
                <w:szCs w:val="24"/>
                <w:highlight w:val="none"/>
                <w:lang w:val="en-US" w:eastAsia="zh-CN"/>
              </w:rPr>
              <w:t>石河镇二郎、福兴段：</w:t>
            </w:r>
            <w:r>
              <w:rPr>
                <w:rFonts w:hint="default" w:ascii="Times New Roman" w:hAnsi="Times New Roman" w:cs="Times New Roman"/>
                <w:color w:val="auto"/>
                <w:szCs w:val="24"/>
                <w:highlight w:val="none"/>
              </w:rPr>
              <w:t>根据</w:t>
            </w:r>
            <w:r>
              <w:rPr>
                <w:rFonts w:hint="eastAsia" w:cs="Times New Roman"/>
                <w:color w:val="auto"/>
                <w:szCs w:val="24"/>
                <w:highlight w:val="none"/>
                <w:lang w:eastAsia="zh-CN"/>
              </w:rPr>
              <w:t>堤防工程</w:t>
            </w:r>
            <w:r>
              <w:rPr>
                <w:rFonts w:hint="default" w:ascii="Times New Roman" w:hAnsi="Times New Roman" w:cs="Times New Roman"/>
                <w:color w:val="auto"/>
                <w:szCs w:val="24"/>
                <w:highlight w:val="none"/>
              </w:rPr>
              <w:t>布置及总进度安排，该护岸堤基础施工安排在枯水期的</w:t>
            </w:r>
            <w:r>
              <w:rPr>
                <w:rFonts w:hint="eastAsia" w:cs="Times New Roman"/>
                <w:color w:val="auto"/>
                <w:szCs w:val="24"/>
                <w:highlight w:val="none"/>
                <w:lang w:val="en-US" w:eastAsia="zh-CN"/>
              </w:rPr>
              <w:t>12月~次年3月</w:t>
            </w:r>
            <w:r>
              <w:rPr>
                <w:rFonts w:hint="eastAsia"/>
                <w:color w:val="auto"/>
                <w:szCs w:val="24"/>
                <w:highlight w:val="none"/>
                <w:lang w:eastAsia="zh-CN"/>
              </w:rPr>
              <w:t>。</w:t>
            </w:r>
            <w:r>
              <w:rPr>
                <w:color w:val="auto"/>
                <w:highlight w:val="none"/>
              </w:rPr>
              <w:t>导流方式采用一期分段</w:t>
            </w:r>
            <w:r>
              <w:rPr>
                <w:rFonts w:hint="eastAsia"/>
                <w:color w:val="auto"/>
                <w:highlight w:val="none"/>
              </w:rPr>
              <w:t>土石</w:t>
            </w:r>
            <w:r>
              <w:rPr>
                <w:color w:val="auto"/>
                <w:highlight w:val="none"/>
              </w:rPr>
              <w:t>围堰法导流，采用原河床过水。</w:t>
            </w:r>
            <w:r>
              <w:rPr>
                <w:rFonts w:hint="eastAsia"/>
                <w:color w:val="auto"/>
                <w:highlight w:val="none"/>
              </w:rPr>
              <w:t>二郎段导流时下游柳城滩拦河坝拆除缺口（4.0m×2.5m×2.0m、长×厚×高），待堤防结构施工完成后进行恢复。福兴段导流时将河堰口拦河坝拆除，待堤防结构施工完成后二郎段拦河坝进行恢复。</w:t>
            </w:r>
          </w:p>
          <w:p w14:paraId="231777F1">
            <w:pPr>
              <w:ind w:firstLine="480"/>
              <w:rPr>
                <w:rFonts w:hint="eastAsia"/>
                <w:color w:val="auto"/>
                <w:highlight w:val="none"/>
              </w:rPr>
            </w:pPr>
            <w:r>
              <w:rPr>
                <w:rFonts w:hint="eastAsia"/>
                <w:color w:val="auto"/>
                <w:highlight w:val="none"/>
                <w:lang w:val="en-US" w:eastAsia="zh-CN"/>
              </w:rPr>
              <w:t>石河镇石河镇段、双拱场段：</w:t>
            </w:r>
            <w:r>
              <w:rPr>
                <w:rFonts w:hint="default" w:ascii="Times New Roman" w:hAnsi="Times New Roman" w:cs="Times New Roman"/>
                <w:color w:val="auto"/>
                <w:szCs w:val="24"/>
                <w:highlight w:val="none"/>
              </w:rPr>
              <w:t>根据</w:t>
            </w:r>
            <w:r>
              <w:rPr>
                <w:rFonts w:hint="eastAsia" w:cs="Times New Roman"/>
                <w:color w:val="auto"/>
                <w:szCs w:val="24"/>
                <w:highlight w:val="none"/>
                <w:lang w:eastAsia="zh-CN"/>
              </w:rPr>
              <w:t>堤防工程</w:t>
            </w:r>
            <w:r>
              <w:rPr>
                <w:rFonts w:hint="default" w:ascii="Times New Roman" w:hAnsi="Times New Roman" w:cs="Times New Roman"/>
                <w:color w:val="auto"/>
                <w:szCs w:val="24"/>
                <w:highlight w:val="none"/>
              </w:rPr>
              <w:t>布置及总进度安排，</w:t>
            </w:r>
            <w:r>
              <w:rPr>
                <w:rFonts w:hint="eastAsia"/>
                <w:color w:val="auto"/>
                <w:highlight w:val="none"/>
              </w:rPr>
              <w:t>考虑两处河段工程下部均设有C20砼挡墙，其一期施工控制高程高于1</w:t>
            </w:r>
            <w:r>
              <w:rPr>
                <w:color w:val="auto"/>
                <w:highlight w:val="none"/>
              </w:rPr>
              <w:t>2</w:t>
            </w:r>
            <w:r>
              <w:rPr>
                <w:rFonts w:hint="eastAsia"/>
                <w:color w:val="auto"/>
                <w:highlight w:val="none"/>
              </w:rPr>
              <w:t>月～次年3月在5年一遇枯期洪水位相对高程；一期施工时，两处河段施工导流均采用纵向围堰导流；待河道两侧施工完成砼挡墙后，对纵向围堰进行拆除，利用河道进行导流即可；二期施工主要为上部护坡及堤顶等项目，导流时段为4-5月，利用下部河道已成型断面导流能满足施工期要求。石河镇段导流时石梁子拦河坝拆除缺口（3.0m×2.5m×2.2m、长×厚×高），待下部结构施工完成后进行恢复。双拱场段导流时江水大桥石河堰拆除缺口（4.0m×2.0m×2.0m、长×厚×高，坝后岩石开挖15.0m×5.0m×1.5m、长×厚×高），控制底高程300.00m，待下部结构施工完成后进行恢复。</w:t>
            </w:r>
          </w:p>
          <w:p w14:paraId="4428618F">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default" w:cs="Times New Roman"/>
                <w:b w:val="0"/>
                <w:bCs w:val="0"/>
                <w:snapToGrid w:val="0"/>
                <w:color w:val="auto"/>
                <w:sz w:val="24"/>
                <w:szCs w:val="24"/>
                <w:highlight w:val="none"/>
                <w:lang w:val="en-US" w:eastAsia="zh-CN" w:bidi="ar-SA"/>
              </w:rPr>
            </w:pPr>
            <w:r>
              <w:rPr>
                <w:rFonts w:hint="eastAsia"/>
                <w:color w:val="auto"/>
                <w:highlight w:val="none"/>
                <w:lang w:val="en-US" w:eastAsia="zh-CN"/>
              </w:rPr>
              <w:t>·</w:t>
            </w:r>
            <w:r>
              <w:rPr>
                <w:rFonts w:hint="eastAsia" w:cs="Times New Roman"/>
                <w:b w:val="0"/>
                <w:bCs w:val="0"/>
                <w:snapToGrid w:val="0"/>
                <w:color w:val="auto"/>
                <w:sz w:val="24"/>
                <w:szCs w:val="24"/>
                <w:highlight w:val="none"/>
                <w:lang w:val="en-US" w:eastAsia="zh-CN" w:bidi="ar-SA"/>
              </w:rPr>
              <w:t>清河镇段及杨家镇段工程</w:t>
            </w:r>
          </w:p>
          <w:p w14:paraId="5478F052">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根据调查，清河镇段</w:t>
            </w:r>
            <w:r>
              <w:rPr>
                <w:rFonts w:hint="default"/>
                <w:color w:val="auto"/>
                <w:sz w:val="24"/>
                <w:highlight w:val="none"/>
                <w:lang w:val="en-US" w:eastAsia="zh-CN"/>
              </w:rPr>
              <w:t>主河道施工导流采用开挖下游石滩降低水位即可，下游石滩位于桩号QH3+266处，开挖断面位于石滩左岸，开挖底宽6.0m，坡比1:1，最低开挖深度1.0m，长度8.0m；待主河道两侧施工完成砼镇脚后，对下游石滩进行恢复，采用C20砼恢复该段石滩</w:t>
            </w:r>
            <w:r>
              <w:rPr>
                <w:rFonts w:hint="eastAsia"/>
                <w:color w:val="auto"/>
                <w:sz w:val="24"/>
                <w:highlight w:val="none"/>
                <w:lang w:val="en-US" w:eastAsia="zh-CN"/>
              </w:rPr>
              <w:t>。</w:t>
            </w:r>
            <w:r>
              <w:rPr>
                <w:rFonts w:hint="default"/>
                <w:color w:val="auto"/>
                <w:sz w:val="24"/>
                <w:highlight w:val="none"/>
                <w:lang w:val="en-US" w:eastAsia="zh-CN"/>
              </w:rPr>
              <w:t>田家沟支流采用围堰截流、管道导流方式。在基坑开挖时，利用开挖弃土装编织袋填筑围堰。上游围堰迎水面坡比为1:1.5，背坡坡比为1:1，迎水面设防渗土工膜及50cm厚渣料编织袋进行防护；下游管道接入主河道即可，不设围堰</w:t>
            </w:r>
            <w:r>
              <w:rPr>
                <w:rFonts w:hint="eastAsia"/>
                <w:color w:val="auto"/>
                <w:sz w:val="24"/>
                <w:highlight w:val="none"/>
                <w:lang w:val="en-US" w:eastAsia="zh-CN"/>
              </w:rPr>
              <w:t>。</w:t>
            </w:r>
          </w:p>
          <w:p w14:paraId="60466FFD">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杨家镇段东柳河干流采用围堰导流，围堰高度1.48m。清溪沟支流及蚂蟥沟支流利用围堰挡水加涵管导流。在基坑开挖时，利用开挖弃土填筑围堰。围堰迎水面坡比为1:1，背坡坡比为1:1，迎水面设防渗土工膜及50cm厚渣料编织袋进行防护。</w:t>
            </w:r>
          </w:p>
          <w:p w14:paraId="5A5A8F09">
            <w:pPr>
              <w:numPr>
                <w:ilvl w:val="0"/>
                <w:numId w:val="0"/>
              </w:numPr>
              <w:ind w:left="480" w:leftChar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（4）施工围堰</w:t>
            </w:r>
          </w:p>
          <w:p w14:paraId="22DC37EB">
            <w:pPr>
              <w:ind w:firstLine="48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w:t>
            </w:r>
            <w:r>
              <w:rPr>
                <w:rFonts w:hint="eastAsia" w:cs="Times New Roman"/>
                <w:color w:val="auto"/>
                <w:szCs w:val="24"/>
                <w:highlight w:val="none"/>
                <w:lang w:val="en-US" w:eastAsia="zh-CN"/>
              </w:rPr>
              <w:t>石河镇段及双拱段工程、</w:t>
            </w:r>
            <w:r>
              <w:rPr>
                <w:rFonts w:hint="eastAsia"/>
                <w:color w:val="auto"/>
                <w:highlight w:val="none"/>
                <w:lang w:val="en-US" w:eastAsia="zh-CN"/>
              </w:rPr>
              <w:t>二郎、福兴段工程</w:t>
            </w:r>
          </w:p>
          <w:p w14:paraId="53750E63">
            <w:pPr>
              <w:ind w:firstLine="480"/>
              <w:rPr>
                <w:rFonts w:hint="eastAsia"/>
                <w:color w:val="auto"/>
                <w:highlight w:val="none"/>
              </w:rPr>
            </w:pPr>
            <w:r>
              <w:rPr>
                <w:rFonts w:hint="default" w:ascii="Times New Roman" w:hAnsi="Times New Roman"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rPr>
              <w:t>导流围堰采用土石围堰</w:t>
            </w:r>
            <w:r>
              <w:rPr>
                <w:rFonts w:hint="eastAsia" w:cs="Times New Roman"/>
                <w:color w:val="auto"/>
                <w:sz w:val="24"/>
                <w:szCs w:val="24"/>
                <w:highlight w:val="none"/>
                <w:lang w:eastAsia="zh-CN"/>
              </w:rPr>
              <w:t>。</w:t>
            </w:r>
            <w:r>
              <w:rPr>
                <w:rFonts w:hint="eastAsia"/>
                <w:color w:val="auto"/>
                <w:highlight w:val="none"/>
              </w:rPr>
              <w:t>围堰坡角线离堤防基础开挖线1m以上，堤防左右两岸同时设置围堰。围堰布置后以最小束窄断面作为</w:t>
            </w:r>
            <w:r>
              <w:rPr>
                <w:color w:val="auto"/>
                <w:highlight w:val="none"/>
              </w:rPr>
              <w:t>围堰</w:t>
            </w:r>
            <w:r>
              <w:rPr>
                <w:rFonts w:hint="eastAsia"/>
                <w:color w:val="auto"/>
                <w:highlight w:val="none"/>
              </w:rPr>
              <w:t>水位的控制断面。</w:t>
            </w:r>
          </w:p>
          <w:p w14:paraId="3986E44A">
            <w:pPr>
              <w:ind w:firstLine="480"/>
              <w:rPr>
                <w:rFonts w:hint="eastAsia" w:cs="Times New Roman"/>
                <w:color w:val="auto"/>
                <w:szCs w:val="24"/>
                <w:highlight w:val="none"/>
                <w:lang w:val="en-US" w:eastAsia="zh-CN"/>
              </w:rPr>
            </w:pPr>
            <w:r>
              <w:rPr>
                <w:rFonts w:hint="eastAsia" w:cs="Times New Roman"/>
                <w:color w:val="auto"/>
                <w:szCs w:val="24"/>
                <w:highlight w:val="none"/>
                <w:lang w:val="en-US" w:eastAsia="zh-CN"/>
              </w:rPr>
              <w:fldChar w:fldCharType="begin"/>
            </w:r>
            <w:r>
              <w:rPr>
                <w:rFonts w:hint="eastAsia" w:cs="Times New Roman"/>
                <w:color w:val="auto"/>
                <w:szCs w:val="24"/>
                <w:highlight w:val="none"/>
                <w:lang w:val="en-US" w:eastAsia="zh-CN"/>
              </w:rPr>
              <w:instrText xml:space="preserve"> = 1 \* GB3 \* MERGEFORMAT </w:instrText>
            </w:r>
            <w:r>
              <w:rPr>
                <w:rFonts w:hint="eastAsia" w:cs="Times New Roman"/>
                <w:color w:val="auto"/>
                <w:szCs w:val="24"/>
                <w:highlight w:val="none"/>
                <w:lang w:val="en-US" w:eastAsia="zh-CN"/>
              </w:rPr>
              <w:fldChar w:fldCharType="separate"/>
            </w:r>
            <w:r>
              <w:rPr>
                <w:color w:val="auto"/>
                <w:highlight w:val="none"/>
              </w:rPr>
              <w:t>①</w:t>
            </w:r>
            <w:r>
              <w:rPr>
                <w:rFonts w:hint="eastAsia" w:cs="Times New Roman"/>
                <w:color w:val="auto"/>
                <w:szCs w:val="24"/>
                <w:highlight w:val="none"/>
                <w:lang w:val="en-US" w:eastAsia="zh-CN"/>
              </w:rPr>
              <w:fldChar w:fldCharType="end"/>
            </w:r>
            <w:r>
              <w:rPr>
                <w:rFonts w:hint="eastAsia" w:cs="Times New Roman"/>
                <w:color w:val="auto"/>
                <w:szCs w:val="24"/>
                <w:highlight w:val="none"/>
                <w:lang w:val="en-US" w:eastAsia="zh-CN"/>
              </w:rPr>
              <w:t>石河镇二郎、福兴段：</w:t>
            </w:r>
          </w:p>
          <w:p w14:paraId="1F2AAA4C">
            <w:pPr>
              <w:ind w:firstLine="480"/>
              <w:rPr>
                <w:color w:val="auto"/>
                <w:highlight w:val="none"/>
              </w:rPr>
            </w:pPr>
            <w:r>
              <w:rPr>
                <w:rFonts w:hint="eastAsia"/>
                <w:color w:val="auto"/>
                <w:highlight w:val="none"/>
              </w:rPr>
              <w:t>二郎段围堰布置后最小断面河底宽度为22m，边坡为1:1.5，糙率取0.035，河道纵坡取综合坡降1.29‰，过流量为导流时段内的最大流量13.11m³/s，围堰高度1.3m；福兴段围堰布置后最小断面河底宽度为2.8m，边坡为1:1.5，糙率取0.035，河道纵坡取综合坡降5.45‰，过流量为导流时段内的最大流量0.9m³/s，围堰高度为0.9m。</w:t>
            </w:r>
          </w:p>
          <w:p w14:paraId="4018FF34">
            <w:pPr>
              <w:spacing w:beforeLines="0" w:afterLines="0"/>
              <w:jc w:val="left"/>
              <w:rPr>
                <w:rFonts w:hint="default" w:ascii="Times New Roman" w:hAnsi="Times New Roman" w:cs="Times New Roman"/>
                <w:color w:val="auto"/>
                <w:highlight w:val="none"/>
                <w:lang w:eastAsia="zh-CN"/>
              </w:rPr>
            </w:pPr>
            <w:r>
              <w:rPr>
                <w:rFonts w:hint="eastAsia"/>
                <w:color w:val="auto"/>
                <w:highlight w:val="none"/>
              </w:rPr>
              <w:t>二郎段围堰</w:t>
            </w:r>
            <w:r>
              <w:rPr>
                <w:color w:val="auto"/>
                <w:highlight w:val="none"/>
              </w:rPr>
              <w:t>利用堤基</w:t>
            </w:r>
            <w:r>
              <w:rPr>
                <w:rFonts w:hint="eastAsia"/>
                <w:color w:val="auto"/>
                <w:highlight w:val="none"/>
              </w:rPr>
              <w:t>开挖料</w:t>
            </w:r>
            <w:r>
              <w:rPr>
                <w:color w:val="auto"/>
                <w:highlight w:val="none"/>
              </w:rPr>
              <w:t>填筑，在围堰的迎水面放置土工膜并用</w:t>
            </w:r>
            <w:r>
              <w:rPr>
                <w:color w:val="auto"/>
                <w:szCs w:val="24"/>
                <w:highlight w:val="none"/>
              </w:rPr>
              <w:t>编织</w:t>
            </w:r>
            <w:r>
              <w:rPr>
                <w:rFonts w:hint="eastAsia"/>
                <w:color w:val="auto"/>
                <w:szCs w:val="24"/>
                <w:highlight w:val="none"/>
              </w:rPr>
              <w:t>袋装渣料</w:t>
            </w:r>
            <w:r>
              <w:rPr>
                <w:color w:val="auto"/>
                <w:highlight w:val="none"/>
              </w:rPr>
              <w:t>压实</w:t>
            </w:r>
            <w:r>
              <w:rPr>
                <w:rFonts w:hint="eastAsia"/>
                <w:color w:val="auto"/>
                <w:highlight w:val="none"/>
              </w:rPr>
              <w:t>，断面</w:t>
            </w:r>
            <w:r>
              <w:rPr>
                <w:color w:val="auto"/>
                <w:highlight w:val="none"/>
              </w:rPr>
              <w:t>顶宽</w:t>
            </w:r>
            <w:r>
              <w:rPr>
                <w:rFonts w:hint="eastAsia"/>
                <w:color w:val="auto"/>
                <w:highlight w:val="none"/>
              </w:rPr>
              <w:t>0.7</w:t>
            </w:r>
            <w:r>
              <w:rPr>
                <w:color w:val="auto"/>
                <w:highlight w:val="none"/>
              </w:rPr>
              <w:t>m，</w:t>
            </w:r>
            <w:r>
              <w:rPr>
                <w:rFonts w:hint="eastAsia"/>
                <w:color w:val="auto"/>
                <w:highlight w:val="none"/>
              </w:rPr>
              <w:t>高1.3m，</w:t>
            </w:r>
            <w:r>
              <w:rPr>
                <w:color w:val="auto"/>
                <w:highlight w:val="none"/>
              </w:rPr>
              <w:t>迎水面及背水面坡比为1:1.5，</w:t>
            </w:r>
            <w:r>
              <w:rPr>
                <w:rFonts w:hint="eastAsia"/>
                <w:color w:val="auto"/>
                <w:highlight w:val="none"/>
              </w:rPr>
              <w:t>二郎段堤防工程</w:t>
            </w:r>
            <w:r>
              <w:rPr>
                <w:rFonts w:hint="eastAsia"/>
                <w:color w:val="auto"/>
                <w:highlight w:val="none"/>
                <w:lang w:eastAsia="zh-CN"/>
              </w:rPr>
              <w:t>围堰总长2866.17m，其中左岸围堰长931.79m</w:t>
            </w:r>
            <w:r>
              <w:rPr>
                <w:rFonts w:hint="eastAsia"/>
                <w:color w:val="auto"/>
                <w:highlight w:val="none"/>
              </w:rPr>
              <w:t>，右岸围堰长1934.38m；福兴段围堰</w:t>
            </w:r>
            <w:r>
              <w:rPr>
                <w:color w:val="auto"/>
                <w:highlight w:val="none"/>
              </w:rPr>
              <w:t>利用堤基开挖料</w:t>
            </w:r>
            <w:r>
              <w:rPr>
                <w:rFonts w:hint="eastAsia"/>
                <w:color w:val="auto"/>
                <w:highlight w:val="none"/>
              </w:rPr>
              <w:t>装编织袋</w:t>
            </w:r>
            <w:r>
              <w:rPr>
                <w:color w:val="auto"/>
                <w:highlight w:val="none"/>
              </w:rPr>
              <w:t>填筑，</w:t>
            </w:r>
            <w:r>
              <w:rPr>
                <w:rFonts w:hint="eastAsia"/>
                <w:color w:val="auto"/>
                <w:highlight w:val="none"/>
              </w:rPr>
              <w:t>内设</w:t>
            </w:r>
            <w:r>
              <w:rPr>
                <w:color w:val="auto"/>
                <w:highlight w:val="none"/>
              </w:rPr>
              <w:t>土工膜</w:t>
            </w:r>
            <w:r>
              <w:rPr>
                <w:rFonts w:hint="eastAsia"/>
                <w:color w:val="auto"/>
                <w:highlight w:val="none"/>
              </w:rPr>
              <w:t>防渗，断面顶宽1.0m，高0.9m，</w:t>
            </w:r>
            <w:r>
              <w:rPr>
                <w:color w:val="auto"/>
                <w:highlight w:val="none"/>
              </w:rPr>
              <w:t>迎水面及背水面</w:t>
            </w:r>
            <w:r>
              <w:rPr>
                <w:rFonts w:hint="eastAsia"/>
                <w:color w:val="auto"/>
                <w:highlight w:val="none"/>
              </w:rPr>
              <w:t>垂直，福兴段堤防工程围堰总长1413.35m，其中左岸围堰长117.46m，右岸围堰长1295.89m。</w:t>
            </w:r>
          </w:p>
          <w:p w14:paraId="08009AF2">
            <w:pPr>
              <w:ind w:firstLine="480"/>
              <w:jc w:val="left"/>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fldChar w:fldCharType="begin"/>
            </w:r>
            <w:r>
              <w:rPr>
                <w:rFonts w:hint="eastAsia" w:cs="Times New Roman"/>
                <w:color w:val="auto"/>
                <w:szCs w:val="24"/>
                <w:highlight w:val="none"/>
                <w:lang w:val="en-US" w:eastAsia="zh-CN"/>
              </w:rPr>
              <w:instrText xml:space="preserve"> = 2 \* GB3 \* MERGEFORMAT </w:instrText>
            </w:r>
            <w:r>
              <w:rPr>
                <w:rFonts w:hint="eastAsia" w:cs="Times New Roman"/>
                <w:color w:val="auto"/>
                <w:szCs w:val="24"/>
                <w:highlight w:val="none"/>
                <w:lang w:val="en-US" w:eastAsia="zh-CN"/>
              </w:rPr>
              <w:fldChar w:fldCharType="separate"/>
            </w:r>
            <w:r>
              <w:rPr>
                <w:color w:val="auto"/>
                <w:highlight w:val="none"/>
              </w:rPr>
              <w:t>②</w:t>
            </w:r>
            <w:r>
              <w:rPr>
                <w:rFonts w:hint="eastAsia" w:cs="Times New Roman"/>
                <w:color w:val="auto"/>
                <w:szCs w:val="24"/>
                <w:highlight w:val="none"/>
                <w:lang w:val="en-US" w:eastAsia="zh-CN"/>
              </w:rPr>
              <w:fldChar w:fldCharType="end"/>
            </w:r>
            <w:r>
              <w:rPr>
                <w:rFonts w:hint="eastAsia" w:cs="Times New Roman"/>
                <w:color w:val="auto"/>
                <w:szCs w:val="24"/>
                <w:highlight w:val="none"/>
                <w:lang w:val="en-US" w:eastAsia="zh-CN"/>
              </w:rPr>
              <w:t>石河镇石河镇段、双拱场段：</w:t>
            </w:r>
          </w:p>
          <w:p w14:paraId="0A81315E">
            <w:pPr>
              <w:ind w:firstLine="480"/>
              <w:rPr>
                <w:rFonts w:hint="eastAsia"/>
                <w:color w:val="auto"/>
                <w:sz w:val="24"/>
                <w:szCs w:val="24"/>
                <w:highlight w:val="none"/>
              </w:rPr>
            </w:pPr>
            <w:r>
              <w:rPr>
                <w:rFonts w:hint="eastAsia"/>
                <w:color w:val="auto"/>
                <w:sz w:val="24"/>
                <w:szCs w:val="24"/>
                <w:highlight w:val="none"/>
              </w:rPr>
              <w:t>石河镇段采用纵向围堰导流，导流流量为2.1m</w:t>
            </w:r>
            <w:r>
              <w:rPr>
                <w:rFonts w:hint="eastAsia"/>
                <w:color w:val="auto"/>
                <w:sz w:val="24"/>
                <w:szCs w:val="24"/>
                <w:highlight w:val="none"/>
                <w:vertAlign w:val="superscript"/>
              </w:rPr>
              <w:t>3</w:t>
            </w:r>
            <w:r>
              <w:rPr>
                <w:rFonts w:hint="eastAsia"/>
                <w:color w:val="auto"/>
                <w:sz w:val="24"/>
                <w:szCs w:val="24"/>
                <w:highlight w:val="none"/>
              </w:rPr>
              <w:t>/s，围堰高度2.0m；双拱场段采用纵向围堰导流，导流流量为8.9m</w:t>
            </w:r>
            <w:r>
              <w:rPr>
                <w:rFonts w:hint="eastAsia"/>
                <w:color w:val="auto"/>
                <w:sz w:val="24"/>
                <w:szCs w:val="24"/>
                <w:highlight w:val="none"/>
                <w:vertAlign w:val="superscript"/>
              </w:rPr>
              <w:t>3</w:t>
            </w:r>
            <w:r>
              <w:rPr>
                <w:rFonts w:hint="eastAsia"/>
                <w:color w:val="auto"/>
                <w:sz w:val="24"/>
                <w:szCs w:val="24"/>
                <w:highlight w:val="none"/>
              </w:rPr>
              <w:t>/s，围堰高度2.4m。</w:t>
            </w:r>
          </w:p>
          <w:p w14:paraId="5017D603">
            <w:pPr>
              <w:ind w:firstLine="480"/>
              <w:jc w:val="left"/>
              <w:rPr>
                <w:rFonts w:hint="default" w:ascii="Times New Roman" w:hAnsi="Times New Roman" w:cs="Times New Roman"/>
                <w:color w:val="auto"/>
                <w:szCs w:val="24"/>
                <w:highlight w:val="none"/>
              </w:rPr>
            </w:pPr>
            <w:r>
              <w:rPr>
                <w:rFonts w:hint="eastAsia"/>
                <w:color w:val="auto"/>
                <w:sz w:val="24"/>
                <w:szCs w:val="24"/>
                <w:highlight w:val="none"/>
              </w:rPr>
              <w:t>在基坑开挖时，利用开挖弃土填筑围堰。围堰迎水面坡比为1:1，背坡坡比为1:1，迎水面设防渗土工膜及50cm厚渣料编织袋进行防护。</w:t>
            </w:r>
            <w:r>
              <w:rPr>
                <w:rFonts w:hint="eastAsia"/>
                <w:color w:val="auto"/>
                <w:sz w:val="24"/>
                <w:szCs w:val="24"/>
                <w:highlight w:val="none"/>
                <w:lang w:eastAsia="zh-CN"/>
              </w:rPr>
              <w:t>石河镇段</w:t>
            </w:r>
            <w:r>
              <w:rPr>
                <w:rFonts w:hint="eastAsia"/>
                <w:color w:val="auto"/>
                <w:sz w:val="24"/>
                <w:szCs w:val="24"/>
                <w:highlight w:val="none"/>
              </w:rPr>
              <w:t>堤防工程围堰总长</w:t>
            </w:r>
            <w:r>
              <w:rPr>
                <w:rFonts w:hint="eastAsia"/>
                <w:color w:val="auto"/>
                <w:sz w:val="24"/>
                <w:szCs w:val="24"/>
                <w:highlight w:val="none"/>
                <w:lang w:val="en-US" w:eastAsia="zh-CN"/>
              </w:rPr>
              <w:t>1806</w:t>
            </w:r>
            <w:r>
              <w:rPr>
                <w:rFonts w:hint="eastAsia"/>
                <w:color w:val="auto"/>
                <w:sz w:val="24"/>
                <w:szCs w:val="24"/>
                <w:highlight w:val="none"/>
              </w:rPr>
              <w:t>m</w:t>
            </w:r>
            <w:r>
              <w:rPr>
                <w:rFonts w:hint="eastAsia"/>
                <w:color w:val="auto"/>
                <w:sz w:val="24"/>
                <w:szCs w:val="24"/>
                <w:highlight w:val="none"/>
                <w:lang w:eastAsia="zh-CN"/>
              </w:rPr>
              <w:t>，双拱场段</w:t>
            </w:r>
            <w:r>
              <w:rPr>
                <w:rFonts w:hint="eastAsia"/>
                <w:color w:val="auto"/>
                <w:sz w:val="24"/>
                <w:szCs w:val="24"/>
                <w:highlight w:val="none"/>
              </w:rPr>
              <w:t>堤防工程围堰总长</w:t>
            </w:r>
            <w:r>
              <w:rPr>
                <w:rFonts w:hint="eastAsia"/>
                <w:color w:val="auto"/>
                <w:sz w:val="24"/>
                <w:szCs w:val="24"/>
                <w:highlight w:val="none"/>
                <w:lang w:val="en-US" w:eastAsia="zh-CN"/>
              </w:rPr>
              <w:t>992</w:t>
            </w:r>
            <w:r>
              <w:rPr>
                <w:rFonts w:hint="eastAsia"/>
                <w:color w:val="auto"/>
                <w:sz w:val="24"/>
                <w:szCs w:val="24"/>
                <w:highlight w:val="none"/>
              </w:rPr>
              <w:t>m。</w:t>
            </w:r>
          </w:p>
          <w:p w14:paraId="4B72D538">
            <w:pPr>
              <w:ind w:firstLine="480"/>
              <w:jc w:val="left"/>
              <w:rPr>
                <w:rFonts w:hint="default" w:ascii="Times New Roman" w:hAnsi="Times New Roman" w:cs="Times New Roman"/>
                <w:color w:val="auto"/>
                <w:szCs w:val="24"/>
                <w:highlight w:val="none"/>
              </w:rPr>
            </w:pPr>
            <w:r>
              <w:rPr>
                <w:rFonts w:hint="eastAsia" w:cs="Times New Roman"/>
                <w:color w:val="auto"/>
                <w:szCs w:val="24"/>
                <w:highlight w:val="none"/>
                <w:lang w:val="en-US" w:eastAsia="zh-CN"/>
              </w:rPr>
              <w:t>本项目</w:t>
            </w:r>
            <w:r>
              <w:rPr>
                <w:rFonts w:hint="eastAsia" w:cs="Times New Roman"/>
                <w:color w:val="auto"/>
                <w:szCs w:val="24"/>
                <w:highlight w:val="none"/>
                <w:lang w:eastAsia="zh-CN"/>
              </w:rPr>
              <w:t>基坑渗水</w:t>
            </w:r>
            <w:r>
              <w:rPr>
                <w:rFonts w:hint="default" w:ascii="Times New Roman" w:hAnsi="Times New Roman" w:cs="Times New Roman"/>
                <w:color w:val="auto"/>
                <w:szCs w:val="24"/>
                <w:highlight w:val="none"/>
              </w:rPr>
              <w:t>包括初期排水和经常性排水。</w:t>
            </w:r>
          </w:p>
          <w:p w14:paraId="4DBDFE3E">
            <w:pPr>
              <w:ind w:firstLine="480"/>
              <w:jc w:val="lef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经常性排水包括</w:t>
            </w:r>
            <w:r>
              <w:rPr>
                <w:color w:val="auto"/>
                <w:highlight w:val="none"/>
              </w:rPr>
              <w:t>基坑积水、渗透水、降水以及施工废水</w:t>
            </w:r>
            <w:r>
              <w:rPr>
                <w:rFonts w:hint="default" w:ascii="Times New Roman" w:hAnsi="Times New Roman" w:cs="Times New Roman"/>
                <w:color w:val="auto"/>
                <w:szCs w:val="24"/>
                <w:highlight w:val="none"/>
              </w:rPr>
              <w:t>。</w:t>
            </w:r>
            <w:r>
              <w:rPr>
                <w:color w:val="auto"/>
                <w:highlight w:val="none"/>
              </w:rPr>
              <w:t>均采用明沟排至集水坑，再由水泵抽至坑外导流明渠排出。</w:t>
            </w:r>
            <w:r>
              <w:rPr>
                <w:rFonts w:hint="default" w:ascii="Times New Roman" w:hAnsi="Times New Roman" w:cs="Times New Roman"/>
                <w:color w:val="auto"/>
                <w:szCs w:val="24"/>
                <w:highlight w:val="none"/>
              </w:rPr>
              <w:t>护岸堤在枯期施工，枯期降水量小；经常性排水只考虑岸坡渗水和施工弃水。</w:t>
            </w:r>
          </w:p>
          <w:p w14:paraId="244AF0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auto"/>
                <w:highlight w:val="none"/>
                <w:lang w:eastAsia="zh-CN"/>
              </w:rPr>
            </w:pPr>
            <w:r>
              <w:rPr>
                <w:color w:val="auto"/>
                <w:highlight w:val="none"/>
              </w:rPr>
              <w:t>排水布置：排水沿基坑设截流槽和集水坑</w:t>
            </w:r>
            <w:r>
              <w:rPr>
                <w:rFonts w:hint="eastAsia"/>
                <w:color w:val="auto"/>
                <w:highlight w:val="none"/>
                <w:lang w:eastAsia="zh-CN"/>
              </w:rPr>
              <w:t>。</w:t>
            </w:r>
            <w:r>
              <w:rPr>
                <w:rFonts w:hint="eastAsia" w:cs="Times New Roman"/>
                <w:color w:val="auto"/>
                <w:szCs w:val="24"/>
                <w:highlight w:val="none"/>
                <w:lang w:val="en-US" w:eastAsia="zh-CN"/>
              </w:rPr>
              <w:t>石河镇二郎、福兴段</w:t>
            </w:r>
            <w:r>
              <w:rPr>
                <w:color w:val="auto"/>
                <w:highlight w:val="none"/>
              </w:rPr>
              <w:t>约每</w:t>
            </w:r>
            <w:r>
              <w:rPr>
                <w:rFonts w:hint="eastAsia"/>
                <w:color w:val="auto"/>
                <w:highlight w:val="none"/>
              </w:rPr>
              <w:t>5</w:t>
            </w:r>
            <w:r>
              <w:rPr>
                <w:color w:val="auto"/>
                <w:highlight w:val="none"/>
              </w:rPr>
              <w:t>0m设1个集水坑，每个集水坑设1台5.5kw污水泵（Q=110m³/h，N=5.5kW，H=10m），拟配备</w:t>
            </w:r>
            <w:r>
              <w:rPr>
                <w:rFonts w:hint="eastAsia"/>
                <w:color w:val="auto"/>
                <w:highlight w:val="none"/>
              </w:rPr>
              <w:t>4</w:t>
            </w:r>
            <w:r>
              <w:rPr>
                <w:color w:val="auto"/>
                <w:highlight w:val="none"/>
              </w:rPr>
              <w:t>台（备用一台）</w:t>
            </w:r>
            <w:r>
              <w:rPr>
                <w:rFonts w:hint="eastAsia"/>
                <w:color w:val="auto"/>
                <w:highlight w:val="none"/>
                <w:lang w:eastAsia="zh-CN"/>
              </w:rPr>
              <w:t>；</w:t>
            </w:r>
            <w:r>
              <w:rPr>
                <w:rFonts w:hint="eastAsia" w:cs="Times New Roman"/>
                <w:color w:val="auto"/>
                <w:szCs w:val="24"/>
                <w:highlight w:val="none"/>
                <w:lang w:val="en-US" w:eastAsia="zh-CN"/>
              </w:rPr>
              <w:t>石河镇石河镇段、双拱场段</w:t>
            </w:r>
            <w:r>
              <w:rPr>
                <w:rFonts w:hint="eastAsia"/>
                <w:color w:val="auto"/>
                <w:szCs w:val="22"/>
                <w:highlight w:val="none"/>
              </w:rPr>
              <w:t>均采用</w:t>
            </w:r>
            <w:r>
              <w:rPr>
                <w:rFonts w:hint="eastAsia"/>
                <w:color w:val="auto"/>
                <w:szCs w:val="22"/>
                <w:highlight w:val="none"/>
                <w:lang w:val="en-US" w:eastAsia="zh-CN"/>
              </w:rPr>
              <w:t>4</w:t>
            </w:r>
            <w:r>
              <w:rPr>
                <w:rFonts w:hint="eastAsia"/>
                <w:color w:val="auto"/>
                <w:szCs w:val="22"/>
                <w:highlight w:val="none"/>
              </w:rPr>
              <w:t>台12sh-13A型水泵分段抽排水</w:t>
            </w:r>
            <w:r>
              <w:rPr>
                <w:rFonts w:hint="eastAsia"/>
                <w:color w:val="auto"/>
                <w:szCs w:val="22"/>
                <w:highlight w:val="none"/>
                <w:lang w:eastAsia="zh-CN"/>
              </w:rPr>
              <w:t>。</w:t>
            </w:r>
          </w:p>
          <w:p w14:paraId="12208DAF">
            <w:pPr>
              <w:pStyle w:val="26"/>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此过程将产生基坑渗水</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在每段围堰下游各设置1个集水井</w:t>
            </w:r>
            <w:r>
              <w:rPr>
                <w:rFonts w:hint="default" w:ascii="Times New Roman" w:hAnsi="Times New Roman" w:cs="Times New Roman"/>
                <w:color w:val="auto"/>
                <w:sz w:val="24"/>
                <w:szCs w:val="24"/>
                <w:highlight w:val="none"/>
                <w:lang w:val="en-US" w:eastAsia="zh-CN"/>
              </w:rPr>
              <w:t>、1个沉淀池，</w:t>
            </w:r>
            <w:r>
              <w:rPr>
                <w:rFonts w:hint="default" w:ascii="Times New Roman" w:hAnsi="Times New Roman" w:cs="Times New Roman"/>
                <w:color w:val="auto"/>
                <w:sz w:val="24"/>
                <w:szCs w:val="24"/>
                <w:highlight w:val="none"/>
              </w:rPr>
              <w:t>每个集水</w:t>
            </w:r>
            <w:r>
              <w:rPr>
                <w:rFonts w:hint="default" w:ascii="Times New Roman" w:hAnsi="Times New Roman" w:cs="Times New Roman"/>
                <w:color w:val="auto"/>
                <w:sz w:val="24"/>
                <w:szCs w:val="24"/>
                <w:highlight w:val="none"/>
                <w:lang w:val="en-US" w:eastAsia="zh-CN"/>
              </w:rPr>
              <w:t>井</w:t>
            </w:r>
            <w:r>
              <w:rPr>
                <w:rFonts w:hint="default" w:ascii="Times New Roman" w:hAnsi="Times New Roman" w:cs="Times New Roman"/>
                <w:color w:val="auto"/>
                <w:sz w:val="24"/>
                <w:szCs w:val="24"/>
                <w:highlight w:val="none"/>
              </w:rPr>
              <w:t>选用潜污泵1台</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基坑渗水经</w:t>
            </w:r>
            <w:r>
              <w:rPr>
                <w:rFonts w:hint="default" w:ascii="Times New Roman" w:hAnsi="Times New Roman" w:cs="Times New Roman"/>
                <w:color w:val="auto"/>
                <w:sz w:val="24"/>
                <w:szCs w:val="24"/>
                <w:highlight w:val="none"/>
              </w:rPr>
              <w:t>集水井收集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之</w:t>
            </w:r>
            <w:r>
              <w:rPr>
                <w:rFonts w:hint="default" w:ascii="Times New Roman" w:hAnsi="Times New Roman" w:cs="Times New Roman"/>
                <w:color w:val="auto"/>
                <w:sz w:val="24"/>
                <w:szCs w:val="24"/>
                <w:highlight w:val="none"/>
              </w:rPr>
              <w:t>后由潜污泵抽排至沉淀池</w:t>
            </w:r>
            <w:r>
              <w:rPr>
                <w:rFonts w:hint="default" w:ascii="Times New Roman" w:hAnsi="Times New Roman" w:cs="Times New Roman"/>
                <w:color w:val="auto"/>
                <w:sz w:val="24"/>
                <w:szCs w:val="24"/>
                <w:highlight w:val="none"/>
                <w:lang w:val="en-US" w:eastAsia="zh-CN"/>
              </w:rPr>
              <w:t>处理</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处理</w:t>
            </w:r>
            <w:r>
              <w:rPr>
                <w:rFonts w:hint="default" w:ascii="Times New Roman" w:hAnsi="Times New Roman" w:cs="Times New Roman"/>
                <w:color w:val="auto"/>
                <w:sz w:val="24"/>
                <w:szCs w:val="24"/>
                <w:highlight w:val="none"/>
                <w:lang w:val="fr-FR" w:eastAsia="zh-CN"/>
              </w:rPr>
              <w:t>后</w:t>
            </w:r>
            <w:r>
              <w:rPr>
                <w:rFonts w:hint="default" w:ascii="Times New Roman" w:hAnsi="Times New Roman" w:cs="Times New Roman"/>
                <w:color w:val="auto"/>
                <w:sz w:val="24"/>
                <w:szCs w:val="24"/>
                <w:highlight w:val="none"/>
                <w:lang w:val="en-US" w:eastAsia="zh-CN"/>
              </w:rPr>
              <w:t>再由</w:t>
            </w:r>
            <w:r>
              <w:rPr>
                <w:rFonts w:hint="default" w:ascii="Times New Roman" w:hAnsi="Times New Roman" w:cs="Times New Roman"/>
                <w:color w:val="auto"/>
                <w:sz w:val="24"/>
                <w:szCs w:val="24"/>
                <w:highlight w:val="none"/>
                <w:lang w:val="fr-FR" w:eastAsia="zh-CN"/>
              </w:rPr>
              <w:t>清水泵排入河流</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二郎段、福兴段、双拱场段均设2个沉淀池，石河镇段1个沉淀池，处理规模均为5m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val="en-US" w:eastAsia="zh-CN"/>
              </w:rPr>
              <w:t>。</w:t>
            </w:r>
          </w:p>
          <w:p w14:paraId="3DE990DE">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default" w:cs="Times New Roman"/>
                <w:b w:val="0"/>
                <w:bCs w:val="0"/>
                <w:snapToGrid w:val="0"/>
                <w:color w:val="auto"/>
                <w:sz w:val="24"/>
                <w:szCs w:val="24"/>
                <w:highlight w:val="none"/>
                <w:lang w:val="en-US" w:eastAsia="zh-CN" w:bidi="ar-SA"/>
              </w:rPr>
            </w:pPr>
            <w:r>
              <w:rPr>
                <w:rFonts w:hint="eastAsia" w:cs="Times New Roman"/>
                <w:color w:val="auto"/>
                <w:sz w:val="24"/>
                <w:szCs w:val="24"/>
                <w:highlight w:val="none"/>
                <w:lang w:val="en-US" w:eastAsia="zh-CN"/>
              </w:rPr>
              <w:t>·</w:t>
            </w:r>
            <w:r>
              <w:rPr>
                <w:rFonts w:hint="eastAsia" w:cs="Times New Roman"/>
                <w:b w:val="0"/>
                <w:bCs w:val="0"/>
                <w:snapToGrid w:val="0"/>
                <w:color w:val="auto"/>
                <w:sz w:val="24"/>
                <w:szCs w:val="24"/>
                <w:highlight w:val="none"/>
                <w:lang w:val="en-US" w:eastAsia="zh-CN" w:bidi="ar-SA"/>
              </w:rPr>
              <w:t>清河镇段及杨家镇段工程</w:t>
            </w:r>
          </w:p>
          <w:p w14:paraId="2B16AAA2">
            <w:pPr>
              <w:pStyle w:val="26"/>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color w:val="auto"/>
                <w:sz w:val="24"/>
                <w:highlight w:val="none"/>
                <w:lang w:val="en-US" w:eastAsia="zh-CN"/>
              </w:rPr>
            </w:pPr>
            <w:r>
              <w:rPr>
                <w:rFonts w:hint="eastAsia"/>
                <w:color w:val="auto"/>
                <w:sz w:val="24"/>
                <w:highlight w:val="none"/>
                <w:lang w:val="en-US" w:eastAsia="zh-CN"/>
              </w:rPr>
              <w:t>根据调查，该段</w:t>
            </w:r>
            <w:r>
              <w:rPr>
                <w:rFonts w:hint="default"/>
                <w:color w:val="auto"/>
                <w:sz w:val="24"/>
                <w:highlight w:val="none"/>
                <w:lang w:val="en-US" w:eastAsia="zh-CN"/>
              </w:rPr>
              <w:t>围堰利用堤基开挖的土石料填筑装编织袋填筑，填至一定高度后，迎水面铺设防渗土工膜，再采用人工装填开挖料装编织袋进行防护，按顺序进行施工直至所需堰顶高度。施工完成后拆除围堰；围堰的拆除采用人工拆除</w:t>
            </w:r>
            <w:r>
              <w:rPr>
                <w:rFonts w:hint="eastAsia"/>
                <w:color w:val="auto"/>
                <w:sz w:val="24"/>
                <w:highlight w:val="none"/>
                <w:lang w:val="en-US" w:eastAsia="zh-CN"/>
              </w:rPr>
              <w:t>。</w:t>
            </w:r>
          </w:p>
          <w:p w14:paraId="487F7DBF">
            <w:pPr>
              <w:pStyle w:val="26"/>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default"/>
                <w:color w:val="auto"/>
                <w:sz w:val="24"/>
                <w:highlight w:val="none"/>
                <w:lang w:val="en-US" w:eastAsia="zh-CN"/>
              </w:rPr>
            </w:pPr>
            <w:r>
              <w:rPr>
                <w:rFonts w:hint="eastAsia"/>
                <w:color w:val="auto"/>
                <w:sz w:val="24"/>
                <w:highlight w:val="none"/>
                <w:lang w:val="en-US" w:eastAsia="zh-CN"/>
              </w:rPr>
              <w:t>基坑排水：施工期</w:t>
            </w:r>
            <w:r>
              <w:rPr>
                <w:rFonts w:hint="default"/>
                <w:b w:val="0"/>
                <w:bCs w:val="0"/>
                <w:color w:val="auto"/>
                <w:sz w:val="24"/>
                <w:highlight w:val="none"/>
                <w:lang w:val="en-US" w:eastAsia="zh-CN"/>
              </w:rPr>
              <w:t>基坑采用明沟排水系统</w:t>
            </w:r>
            <w:r>
              <w:rPr>
                <w:rFonts w:hint="eastAsia"/>
                <w:b w:val="0"/>
                <w:bCs w:val="0"/>
                <w:color w:val="auto"/>
                <w:sz w:val="24"/>
                <w:highlight w:val="none"/>
                <w:lang w:val="en-US" w:eastAsia="zh-CN"/>
              </w:rPr>
              <w:t>。项目</w:t>
            </w:r>
            <w:r>
              <w:rPr>
                <w:rFonts w:hint="default"/>
                <w:b w:val="0"/>
                <w:bCs w:val="0"/>
                <w:color w:val="auto"/>
                <w:sz w:val="24"/>
                <w:highlight w:val="none"/>
                <w:lang w:val="en-US" w:eastAsia="zh-CN"/>
              </w:rPr>
              <w:t>采用水泵分段抽排水。</w:t>
            </w:r>
            <w:r>
              <w:rPr>
                <w:rFonts w:hint="eastAsia"/>
                <w:b w:val="0"/>
                <w:bCs w:val="0"/>
                <w:color w:val="auto"/>
                <w:sz w:val="24"/>
                <w:highlight w:val="none"/>
                <w:lang w:val="en-US" w:eastAsia="zh-CN"/>
              </w:rPr>
              <w:t>项目</w:t>
            </w:r>
            <w:r>
              <w:rPr>
                <w:rFonts w:hint="default"/>
                <w:b w:val="0"/>
                <w:bCs w:val="0"/>
                <w:color w:val="auto"/>
                <w:sz w:val="24"/>
                <w:highlight w:val="none"/>
                <w:lang w:val="en-US" w:eastAsia="zh-CN"/>
              </w:rPr>
              <w:t>在基坑内设排水沟、集水坑</w:t>
            </w:r>
            <w:r>
              <w:rPr>
                <w:rFonts w:hint="eastAsia"/>
                <w:b w:val="0"/>
                <w:bCs w:val="0"/>
                <w:color w:val="auto"/>
                <w:sz w:val="24"/>
                <w:highlight w:val="none"/>
                <w:lang w:val="en-US" w:eastAsia="zh-CN"/>
              </w:rPr>
              <w:t>及沉淀池</w:t>
            </w:r>
            <w:r>
              <w:rPr>
                <w:rFonts w:hint="default"/>
                <w:b w:val="0"/>
                <w:bCs w:val="0"/>
                <w:color w:val="auto"/>
                <w:sz w:val="24"/>
                <w:highlight w:val="none"/>
                <w:lang w:val="en-US" w:eastAsia="zh-CN"/>
              </w:rPr>
              <w:t>，</w:t>
            </w:r>
            <w:r>
              <w:rPr>
                <w:rFonts w:hint="eastAsia"/>
                <w:b w:val="0"/>
                <w:bCs w:val="0"/>
                <w:color w:val="auto"/>
                <w:sz w:val="24"/>
                <w:highlight w:val="none"/>
                <w:lang w:val="en-US" w:eastAsia="zh-CN"/>
              </w:rPr>
              <w:t>沉淀处理后排入地表水体。</w:t>
            </w:r>
          </w:p>
          <w:p w14:paraId="2B7BE925">
            <w:pPr>
              <w:ind w:left="0" w:leftChars="0" w:firstLine="0" w:firstLineChars="0"/>
              <w:rPr>
                <w:rFonts w:hint="default" w:ascii="Times New Roman" w:hAnsi="Times New Roman" w:eastAsia="宋体" w:cs="Times New Roman"/>
                <w:snapToGrid w:val="0"/>
                <w:color w:val="auto"/>
                <w:sz w:val="24"/>
                <w:szCs w:val="22"/>
                <w:highlight w:val="none"/>
                <w:lang w:val="en-US" w:eastAsia="zh-CN" w:bidi="ar-SA"/>
              </w:rPr>
            </w:pPr>
            <w:r>
              <w:rPr>
                <w:rFonts w:hint="eastAsia" w:cs="Times New Roman"/>
                <w:b/>
                <w:bCs/>
                <w:color w:val="auto"/>
                <w:szCs w:val="24"/>
                <w:highlight w:val="none"/>
                <w:lang w:val="en-US" w:eastAsia="zh-CN"/>
              </w:rPr>
              <w:t>2.9.2</w:t>
            </w:r>
            <w:r>
              <w:rPr>
                <w:rFonts w:hint="default" w:ascii="Times New Roman" w:hAnsi="Times New Roman" w:cs="Times New Roman"/>
                <w:b/>
                <w:bCs/>
                <w:color w:val="auto"/>
                <w:szCs w:val="24"/>
                <w:highlight w:val="none"/>
                <w:lang w:val="en-US" w:eastAsia="zh-CN"/>
              </w:rPr>
              <w:t>主体工程</w:t>
            </w:r>
            <w:r>
              <w:rPr>
                <w:rFonts w:hint="eastAsia" w:cs="Times New Roman"/>
                <w:b/>
                <w:bCs/>
                <w:color w:val="auto"/>
                <w:szCs w:val="24"/>
                <w:highlight w:val="none"/>
                <w:lang w:val="en-US" w:eastAsia="zh-CN"/>
              </w:rPr>
              <w:t>及附属工程</w:t>
            </w:r>
          </w:p>
          <w:p w14:paraId="56CCE722">
            <w:pPr>
              <w:ind w:left="0" w:leftChars="0" w:firstLine="0" w:firstLineChars="0"/>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2.9.2.1</w:t>
            </w:r>
            <w:r>
              <w:rPr>
                <w:rFonts w:hint="eastAsia" w:cs="Times New Roman"/>
                <w:b/>
                <w:bCs/>
                <w:color w:val="auto"/>
                <w:szCs w:val="24"/>
                <w:highlight w:val="none"/>
                <w:lang w:val="en-US" w:eastAsia="zh-CN"/>
              </w:rPr>
              <w:t>石河镇段及双拱段工程、</w:t>
            </w:r>
            <w:r>
              <w:rPr>
                <w:rFonts w:hint="eastAsia"/>
                <w:b/>
                <w:bCs/>
                <w:color w:val="auto"/>
                <w:highlight w:val="none"/>
                <w:lang w:val="en-US" w:eastAsia="zh-CN"/>
              </w:rPr>
              <w:t>二郎、福兴段工程</w:t>
            </w:r>
          </w:p>
          <w:p w14:paraId="3D8D8A65">
            <w:pPr>
              <w:numPr>
                <w:ilvl w:val="0"/>
                <w:numId w:val="0"/>
              </w:numPr>
              <w:ind w:left="480" w:leftChars="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土石方开挖</w:t>
            </w:r>
          </w:p>
          <w:p w14:paraId="6D14FD15">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土方开挖：</w:t>
            </w:r>
            <w:r>
              <w:rPr>
                <w:rFonts w:hint="eastAsia"/>
                <w:color w:val="auto"/>
                <w:highlight w:val="none"/>
              </w:rPr>
              <w:t>砂卵石开挖采用挖掘机开挖，自卸汽车运输</w:t>
            </w:r>
            <w:r>
              <w:rPr>
                <w:rFonts w:hint="eastAsia"/>
                <w:color w:val="auto"/>
                <w:highlight w:val="none"/>
                <w:lang w:eastAsia="zh-CN"/>
              </w:rPr>
              <w:t>。</w:t>
            </w:r>
            <w:r>
              <w:rPr>
                <w:rFonts w:hint="eastAsia"/>
                <w:color w:val="auto"/>
                <w:highlight w:val="none"/>
              </w:rPr>
              <w:t>部分开挖料用于围堰堰身的填筑，多余部分土方开挖料运至指定的临时堆料场堆放，后期用于堤身填筑及回填</w:t>
            </w:r>
            <w:r>
              <w:rPr>
                <w:rFonts w:hint="default" w:ascii="Times New Roman" w:hAnsi="Times New Roman" w:cs="Times New Roman"/>
                <w:color w:val="auto"/>
                <w:sz w:val="24"/>
                <w:szCs w:val="24"/>
                <w:highlight w:val="none"/>
              </w:rPr>
              <w:t>。</w:t>
            </w:r>
          </w:p>
          <w:p w14:paraId="33F4883C">
            <w:pPr>
              <w:ind w:firstLine="480"/>
              <w:rPr>
                <w:color w:val="auto"/>
                <w:highlight w:val="none"/>
              </w:rPr>
            </w:pPr>
            <w:r>
              <w:rPr>
                <w:rFonts w:hint="default" w:ascii="Times New Roman" w:hAnsi="Times New Roman" w:cs="Times New Roman"/>
                <w:color w:val="auto"/>
                <w:sz w:val="24"/>
                <w:szCs w:val="24"/>
                <w:highlight w:val="none"/>
              </w:rPr>
              <w:t>石方开挖：</w:t>
            </w:r>
            <w:r>
              <w:rPr>
                <w:rFonts w:hint="eastAsia"/>
                <w:color w:val="auto"/>
                <w:highlight w:val="none"/>
              </w:rPr>
              <w:t>石方采用液压破碎锤开挖。破碎后采用挖掘机开挖，自卸汽车运输，运至临时堆料场堆放。</w:t>
            </w:r>
          </w:p>
          <w:p w14:paraId="27022746">
            <w:pPr>
              <w:ind w:firstLine="480"/>
              <w:rPr>
                <w:rFonts w:hint="default" w:ascii="Times New Roman" w:hAnsi="Times New Roman" w:cs="Times New Roman"/>
                <w:color w:val="auto"/>
                <w:sz w:val="24"/>
                <w:szCs w:val="24"/>
                <w:highlight w:val="none"/>
              </w:rPr>
            </w:pPr>
            <w:r>
              <w:rPr>
                <w:rFonts w:hint="default" w:cs="Times New Roman"/>
                <w:b w:val="0"/>
                <w:bCs w:val="0"/>
                <w:color w:val="auto"/>
                <w:szCs w:val="24"/>
                <w:highlight w:val="none"/>
                <w:lang w:val="en-US" w:eastAsia="zh-CN"/>
              </w:rPr>
              <w:t>石河镇段及双拱段工程、</w:t>
            </w:r>
            <w:r>
              <w:rPr>
                <w:rFonts w:hint="default"/>
                <w:b w:val="0"/>
                <w:bCs w:val="0"/>
                <w:color w:val="auto"/>
                <w:szCs w:val="24"/>
                <w:highlight w:val="none"/>
                <w:lang w:val="en-US" w:eastAsia="zh-CN"/>
              </w:rPr>
              <w:t>二郎、福兴段工程</w:t>
            </w:r>
            <w:r>
              <w:rPr>
                <w:rFonts w:hint="default" w:ascii="Times New Roman" w:hAnsi="Times New Roman" w:cs="Times New Roman"/>
                <w:color w:val="auto"/>
                <w:sz w:val="24"/>
                <w:szCs w:val="24"/>
                <w:highlight w:val="none"/>
                <w:lang w:val="en-US" w:eastAsia="zh-CN"/>
              </w:rPr>
              <w:t>土石方开挖不涉水施工，</w:t>
            </w:r>
            <w:r>
              <w:rPr>
                <w:rFonts w:hint="default" w:ascii="Times New Roman" w:hAnsi="Times New Roman" w:cs="Times New Roman"/>
                <w:color w:val="auto"/>
                <w:sz w:val="24"/>
                <w:szCs w:val="24"/>
                <w:highlight w:val="none"/>
              </w:rPr>
              <w:t>此过程将产生土石方弃渣。</w:t>
            </w:r>
          </w:p>
          <w:p w14:paraId="0341D5F9">
            <w:pPr>
              <w:numPr>
                <w:ilvl w:val="0"/>
                <w:numId w:val="0"/>
              </w:numPr>
              <w:ind w:leftChars="200"/>
              <w:rPr>
                <w:rFonts w:hint="default" w:ascii="Times New Roman" w:hAnsi="Times New Roman" w:cs="Times New Roman"/>
                <w:b/>
                <w:color w:val="auto"/>
                <w:szCs w:val="32"/>
                <w:highlight w:val="none"/>
              </w:rPr>
            </w:pPr>
            <w:r>
              <w:rPr>
                <w:rFonts w:hint="default" w:ascii="Times New Roman" w:hAnsi="Times New Roman" w:cs="Times New Roman"/>
                <w:b/>
                <w:color w:val="auto"/>
                <w:szCs w:val="32"/>
                <w:highlight w:val="none"/>
                <w:lang w:eastAsia="zh-CN"/>
              </w:rPr>
              <w:t>（</w:t>
            </w:r>
            <w:r>
              <w:rPr>
                <w:rFonts w:hint="default" w:ascii="Times New Roman" w:hAnsi="Times New Roman" w:cs="Times New Roman"/>
                <w:b/>
                <w:color w:val="auto"/>
                <w:szCs w:val="32"/>
                <w:highlight w:val="none"/>
                <w:lang w:val="en-US" w:eastAsia="zh-CN"/>
              </w:rPr>
              <w:t>2</w:t>
            </w:r>
            <w:r>
              <w:rPr>
                <w:rFonts w:hint="default" w:ascii="Times New Roman" w:hAnsi="Times New Roman" w:cs="Times New Roman"/>
                <w:b/>
                <w:color w:val="auto"/>
                <w:szCs w:val="32"/>
                <w:highlight w:val="none"/>
                <w:lang w:eastAsia="zh-CN"/>
              </w:rPr>
              <w:t>）</w:t>
            </w:r>
            <w:r>
              <w:rPr>
                <w:rFonts w:hint="default" w:ascii="Times New Roman" w:hAnsi="Times New Roman" w:cs="Times New Roman"/>
                <w:b/>
                <w:color w:val="auto"/>
                <w:szCs w:val="32"/>
                <w:highlight w:val="none"/>
              </w:rPr>
              <w:t>土石方填筑</w:t>
            </w:r>
          </w:p>
          <w:p w14:paraId="419EE4BC">
            <w:pPr>
              <w:ind w:firstLine="480"/>
              <w:rPr>
                <w:color w:val="auto"/>
                <w:highlight w:val="none"/>
              </w:rPr>
            </w:pPr>
            <w:r>
              <w:rPr>
                <w:rFonts w:hint="eastAsia"/>
                <w:color w:val="auto"/>
                <w:highlight w:val="none"/>
              </w:rPr>
              <w:t>堤身（堤背）填筑</w:t>
            </w:r>
            <w:r>
              <w:rPr>
                <w:rFonts w:hint="eastAsia"/>
                <w:color w:val="auto"/>
                <w:highlight w:val="none"/>
                <w:lang w:eastAsia="zh-CN"/>
              </w:rPr>
              <w:t>：</w:t>
            </w:r>
            <w:r>
              <w:rPr>
                <w:rFonts w:hint="eastAsia"/>
                <w:color w:val="auto"/>
                <w:highlight w:val="none"/>
              </w:rPr>
              <w:t>工程堤身及堤背的填筑料采用基础开挖及外购合格的填筑料解决，填筑按作业内容分为铺料、洒水、碾压及质检。从料场采用8t自卸汽车综合运输1.5km至工作面，砂卵石料采用进占法铺筑，推土机平料，铺料厚度0.4～0.8m，人工水管洒水，14t振动平碾碾压，碾压遍数6～8遍，振动碾的行车速度1.5～2Km/h，振动碾碾压不到的部位，采用蛙式打夯机夯实。所有碾压施工参数都需通过现场碾压试验进一步确定。</w:t>
            </w:r>
          </w:p>
          <w:p w14:paraId="10DFBC2F">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color w:val="auto"/>
                <w:highlight w:val="none"/>
              </w:rPr>
            </w:pPr>
            <w:r>
              <w:rPr>
                <w:rFonts w:hint="eastAsia"/>
                <w:color w:val="auto"/>
                <w:highlight w:val="none"/>
              </w:rPr>
              <w:t>开挖料回填：利用开挖料作为堤脚回填的材料，从临时堆料场采用8t自卸汽车运输1.0km至工作面，推土机推平即可。</w:t>
            </w:r>
          </w:p>
          <w:p w14:paraId="5E4085B1">
            <w:pPr>
              <w:ind w:firstLine="480"/>
              <w:rPr>
                <w:rFonts w:hint="default"/>
                <w:color w:val="auto"/>
                <w:highlight w:val="none"/>
              </w:rPr>
            </w:pPr>
            <w:r>
              <w:rPr>
                <w:rFonts w:hint="eastAsia"/>
                <w:color w:val="auto"/>
                <w:highlight w:val="none"/>
              </w:rPr>
              <w:t>大块石基础换填</w:t>
            </w:r>
            <w:r>
              <w:rPr>
                <w:rFonts w:hint="eastAsia"/>
                <w:color w:val="auto"/>
                <w:highlight w:val="none"/>
                <w:lang w:eastAsia="zh-CN"/>
              </w:rPr>
              <w:t>：</w:t>
            </w:r>
            <w:r>
              <w:rPr>
                <w:rFonts w:hint="eastAsia"/>
                <w:color w:val="auto"/>
                <w:highlight w:val="none"/>
              </w:rPr>
              <w:t>本</w:t>
            </w:r>
            <w:r>
              <w:rPr>
                <w:rFonts w:hint="eastAsia"/>
                <w:color w:val="auto"/>
                <w:highlight w:val="none"/>
                <w:lang w:val="en-US" w:eastAsia="zh-CN"/>
              </w:rPr>
              <w:t>项目</w:t>
            </w:r>
            <w:r>
              <w:rPr>
                <w:rFonts w:hint="eastAsia"/>
                <w:color w:val="auto"/>
                <w:highlight w:val="none"/>
              </w:rPr>
              <w:t>大块石回填料在渠县卷硐镇商品料场进行购买，由8t自卸汽车至工地；采用1m³反铲挖掘机进行块石料抛填、人工配合反铲挖掘机整平，14t振动平碾碾压，碾压遍数3～4遍，振动碾的行车速度1.5～2</w:t>
            </w:r>
            <w:r>
              <w:rPr>
                <w:rFonts w:hint="eastAsia"/>
                <w:color w:val="auto"/>
                <w:highlight w:val="none"/>
                <w:lang w:val="en-US" w:eastAsia="zh-CN"/>
              </w:rPr>
              <w:t>k</w:t>
            </w:r>
            <w:r>
              <w:rPr>
                <w:rFonts w:hint="eastAsia"/>
                <w:color w:val="auto"/>
                <w:highlight w:val="none"/>
              </w:rPr>
              <w:t>m/h。</w:t>
            </w:r>
          </w:p>
          <w:p w14:paraId="0FE0B8B0">
            <w:pPr>
              <w:ind w:firstLine="482"/>
              <w:rPr>
                <w:rFonts w:hint="default" w:ascii="Times New Roman" w:hAnsi="Times New Roman" w:cs="Times New Roman"/>
                <w:b/>
                <w:color w:val="auto"/>
                <w:szCs w:val="32"/>
                <w:highlight w:val="none"/>
                <w:lang w:val="en-US" w:eastAsia="zh-CN"/>
              </w:rPr>
            </w:pPr>
            <w:r>
              <w:rPr>
                <w:rFonts w:hint="default" w:ascii="Times New Roman" w:hAnsi="Times New Roman" w:cs="Times New Roman"/>
                <w:b/>
                <w:color w:val="auto"/>
                <w:szCs w:val="32"/>
                <w:highlight w:val="none"/>
                <w:lang w:eastAsia="zh-CN"/>
              </w:rPr>
              <w:t>（</w:t>
            </w:r>
            <w:r>
              <w:rPr>
                <w:rFonts w:hint="default" w:ascii="Times New Roman" w:hAnsi="Times New Roman" w:cs="Times New Roman"/>
                <w:b/>
                <w:color w:val="auto"/>
                <w:szCs w:val="32"/>
                <w:highlight w:val="none"/>
                <w:lang w:val="en-US" w:eastAsia="zh-CN"/>
              </w:rPr>
              <w:t>3</w:t>
            </w:r>
            <w:r>
              <w:rPr>
                <w:rFonts w:hint="default" w:ascii="Times New Roman" w:hAnsi="Times New Roman" w:cs="Times New Roman"/>
                <w:b/>
                <w:color w:val="auto"/>
                <w:szCs w:val="32"/>
                <w:highlight w:val="none"/>
                <w:lang w:eastAsia="zh-CN"/>
              </w:rPr>
              <w:t>）</w:t>
            </w:r>
            <w:r>
              <w:rPr>
                <w:rFonts w:hint="default" w:ascii="Times New Roman" w:hAnsi="Times New Roman" w:cs="Times New Roman"/>
                <w:b/>
                <w:color w:val="auto"/>
                <w:szCs w:val="32"/>
                <w:highlight w:val="none"/>
              </w:rPr>
              <w:t>混凝土</w:t>
            </w:r>
            <w:r>
              <w:rPr>
                <w:rFonts w:hint="default" w:ascii="Times New Roman" w:hAnsi="Times New Roman" w:cs="Times New Roman"/>
                <w:b/>
                <w:color w:val="auto"/>
                <w:szCs w:val="32"/>
                <w:highlight w:val="none"/>
                <w:lang w:val="en-US" w:eastAsia="zh-CN"/>
              </w:rPr>
              <w:t>拌和</w:t>
            </w:r>
          </w:p>
          <w:p w14:paraId="67EB24E2">
            <w:pPr>
              <w:ind w:firstLine="482"/>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bCs/>
                <w:color w:val="auto"/>
                <w:szCs w:val="24"/>
                <w:highlight w:val="none"/>
              </w:rPr>
              <w:t>设</w:t>
            </w:r>
            <w:r>
              <w:rPr>
                <w:rFonts w:hint="eastAsia" w:cs="Times New Roman"/>
                <w:bCs/>
                <w:color w:val="auto"/>
                <w:szCs w:val="24"/>
                <w:highlight w:val="none"/>
                <w:lang w:val="en-US" w:eastAsia="zh-CN"/>
              </w:rPr>
              <w:t>1</w:t>
            </w:r>
            <w:r>
              <w:rPr>
                <w:rFonts w:hint="default" w:ascii="Times New Roman" w:hAnsi="Times New Roman" w:cs="Times New Roman"/>
                <w:bCs/>
                <w:color w:val="auto"/>
                <w:szCs w:val="24"/>
                <w:highlight w:val="none"/>
              </w:rPr>
              <w:t>台</w:t>
            </w:r>
            <w:r>
              <w:rPr>
                <w:rFonts w:hint="eastAsia"/>
                <w:color w:val="auto"/>
                <w:highlight w:val="none"/>
              </w:rPr>
              <w:t>0.4m</w:t>
            </w:r>
            <w:r>
              <w:rPr>
                <w:rFonts w:hint="eastAsia"/>
                <w:color w:val="auto"/>
                <w:highlight w:val="none"/>
                <w:vertAlign w:val="superscript"/>
              </w:rPr>
              <w:t>3</w:t>
            </w:r>
            <w:r>
              <w:rPr>
                <w:rFonts w:hint="default" w:ascii="Times New Roman" w:hAnsi="Times New Roman" w:cs="Times New Roman"/>
                <w:bCs/>
                <w:color w:val="auto"/>
                <w:szCs w:val="24"/>
                <w:highlight w:val="none"/>
              </w:rPr>
              <w:t>混凝土</w:t>
            </w:r>
            <w:r>
              <w:rPr>
                <w:rFonts w:hint="eastAsia" w:cs="Times New Roman"/>
                <w:bCs/>
                <w:color w:val="auto"/>
                <w:szCs w:val="24"/>
                <w:highlight w:val="none"/>
                <w:lang w:val="en-US" w:eastAsia="zh-CN"/>
              </w:rPr>
              <w:t>拌和机</w:t>
            </w:r>
            <w:r>
              <w:rPr>
                <w:rFonts w:hint="default" w:ascii="Times New Roman" w:hAnsi="Times New Roman" w:cs="Times New Roman"/>
                <w:bCs/>
                <w:color w:val="auto"/>
                <w:szCs w:val="24"/>
                <w:highlight w:val="none"/>
              </w:rPr>
              <w:t>，混凝土采用自拌混凝土</w:t>
            </w:r>
            <w:r>
              <w:rPr>
                <w:rFonts w:hint="default" w:ascii="Times New Roman" w:hAnsi="Times New Roman" w:cs="Times New Roman"/>
                <w:color w:val="auto"/>
                <w:szCs w:val="24"/>
                <w:highlight w:val="none"/>
              </w:rPr>
              <w:t>。</w:t>
            </w:r>
            <w:r>
              <w:rPr>
                <w:rFonts w:hint="eastAsia"/>
                <w:color w:val="auto"/>
                <w:highlight w:val="none"/>
              </w:rPr>
              <w:t>本工程拌制混凝土的粗、细骨料在渠县卷硐镇商品料场进行购买，由8t自卸汽车至工地；水泥在大竹县购买，由8t自卸汽车运输至工地，混凝土采用0.4m</w:t>
            </w:r>
            <w:r>
              <w:rPr>
                <w:rFonts w:hint="eastAsia"/>
                <w:color w:val="auto"/>
                <w:highlight w:val="none"/>
                <w:vertAlign w:val="superscript"/>
              </w:rPr>
              <w:t>3</w:t>
            </w:r>
            <w:r>
              <w:rPr>
                <w:rFonts w:hint="eastAsia"/>
                <w:color w:val="auto"/>
                <w:highlight w:val="none"/>
              </w:rPr>
              <w:t>混凝土拌和机拌制。</w:t>
            </w:r>
            <w:r>
              <w:rPr>
                <w:rFonts w:hint="default" w:ascii="Times New Roman" w:hAnsi="Times New Roman" w:cs="Times New Roman"/>
                <w:bCs/>
                <w:color w:val="auto"/>
                <w:szCs w:val="32"/>
                <w:highlight w:val="none"/>
              </w:rPr>
              <w:t>混凝土的材料和拌制要求严格按照混凝土施工技术规范的规定执行。</w:t>
            </w:r>
            <w:r>
              <w:rPr>
                <w:rFonts w:hint="eastAsia" w:cs="Times New Roman"/>
                <w:bCs/>
                <w:color w:val="auto"/>
                <w:szCs w:val="32"/>
                <w:highlight w:val="none"/>
                <w:lang w:val="en-US" w:eastAsia="zh-CN"/>
              </w:rPr>
              <w:t>混凝土拌和好后，将其装入混凝土运输车中，运输车应具备良好的密封性，防止混凝土在运输过程中过于流动或脱水。到达施工场地后，按照需要进行卸料。</w:t>
            </w:r>
          </w:p>
          <w:p w14:paraId="5431E939">
            <w:pPr>
              <w:numPr>
                <w:ilvl w:val="0"/>
                <w:numId w:val="0"/>
              </w:numPr>
              <w:ind w:leftChars="200"/>
              <w:rPr>
                <w:rFonts w:hint="default" w:ascii="Times New Roman" w:hAnsi="Times New Roman" w:cs="Times New Roman"/>
                <w:b/>
                <w:bCs/>
                <w:color w:val="auto"/>
                <w:szCs w:val="24"/>
                <w:highlight w:val="none"/>
                <w:lang w:val="en-US" w:eastAsia="zh-CN"/>
              </w:rPr>
            </w:pPr>
            <w:r>
              <w:rPr>
                <w:rFonts w:hint="default" w:ascii="Times New Roman" w:hAnsi="Times New Roman" w:cs="Times New Roman"/>
                <w:b/>
                <w:bCs/>
                <w:color w:val="auto"/>
                <w:szCs w:val="24"/>
                <w:highlight w:val="none"/>
                <w:lang w:val="en-US" w:eastAsia="zh-CN"/>
              </w:rPr>
              <w:t>（4）砼浇筑</w:t>
            </w:r>
          </w:p>
          <w:p w14:paraId="1AA8FF5B">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highlight w:val="none"/>
              </w:rPr>
            </w:pPr>
            <w:r>
              <w:rPr>
                <w:rFonts w:hint="eastAsia"/>
                <w:color w:val="auto"/>
                <w:highlight w:val="none"/>
              </w:rPr>
              <w:t>机动翻斗车运输至浇筑点转溜槽入仓，混凝土罐车不能运至的地方用胶轮车人工入仓。砼浇筑模板采用钢模或木模，人工平仓，机械振捣。</w:t>
            </w:r>
            <w:r>
              <w:rPr>
                <w:rFonts w:hint="default" w:ascii="Times New Roman" w:hAnsi="Times New Roman" w:cs="Times New Roman"/>
                <w:bCs/>
                <w:color w:val="auto"/>
                <w:szCs w:val="24"/>
                <w:highlight w:val="none"/>
              </w:rPr>
              <w:t>建</w:t>
            </w:r>
            <w:r>
              <w:rPr>
                <w:rFonts w:hint="default" w:ascii="Times New Roman" w:hAnsi="Times New Roman" w:cs="Times New Roman"/>
                <w:color w:val="auto"/>
                <w:szCs w:val="24"/>
                <w:highlight w:val="none"/>
              </w:rPr>
              <w:t>筑物尺寸严格按设计要求控制，并认真进行检查校核，模板支撑牢固后，方可浇筑混凝土</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砼浇筑均</w:t>
            </w:r>
            <w:r>
              <w:rPr>
                <w:rFonts w:hint="default" w:ascii="Times New Roman" w:hAnsi="Times New Roman" w:cs="Times New Roman"/>
                <w:color w:val="auto"/>
                <w:szCs w:val="24"/>
                <w:highlight w:val="none"/>
              </w:rPr>
              <w:t>采用插入式电动振捣器施工，底板部分还要使用平板振捣器整平，脱模后及时进行养护，养护时间不少于</w:t>
            </w:r>
            <w:r>
              <w:rPr>
                <w:rFonts w:hint="default" w:ascii="Times New Roman" w:hAnsi="Times New Roman" w:eastAsia="TimesNewRomanPSMT" w:cs="Times New Roman"/>
                <w:color w:val="auto"/>
                <w:szCs w:val="24"/>
                <w:highlight w:val="none"/>
              </w:rPr>
              <w:t>14</w:t>
            </w:r>
            <w:r>
              <w:rPr>
                <w:rFonts w:hint="default" w:ascii="Times New Roman" w:hAnsi="Times New Roman" w:cs="Times New Roman"/>
                <w:color w:val="auto"/>
                <w:szCs w:val="24"/>
                <w:highlight w:val="none"/>
              </w:rPr>
              <w:t>天。</w:t>
            </w:r>
            <w:r>
              <w:rPr>
                <w:rFonts w:hint="default" w:ascii="Times New Roman" w:hAnsi="Times New Roman" w:cs="Times New Roman"/>
                <w:color w:val="auto"/>
                <w:highlight w:val="none"/>
              </w:rPr>
              <w:t>混凝土养护采用人工洒水养护，草袋遮盖。经过抹面处理后的混凝土8小时后湿润养护。若气温超过20℃，或遇中途下雨时，用塑料薄膜及时遮盖，防止脱水过快、开裂和雨水冲刷。</w:t>
            </w:r>
          </w:p>
          <w:p w14:paraId="193E7240">
            <w:pPr>
              <w:ind w:firstLine="48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混凝土浇筑前先对基础水平面和斜坡面做剥离清理工作，除去表面滞留水、泥浆、油脂等物。基础面验收、立模，验收、开仓，浇筑混凝土，拆模，养护。混凝土入仓严格按照该仓的施工设计所规定的浇筑方向、分层厚度、台阶宽度等顺序进行。浇入仓内的混凝土随浇随平仓，不得堆积。仓内若有骨料分离堆叠时，采用人工均匀地分布于砂浆较多处，禁止用水泥砂浆覆盖或用振捣器作为移动混凝土的工具，以免造成内部蜂窝和骨料集中现象。不合格的砼严禁入仓，拌置好的混凝土不得重新拌和。混凝土浇筑期间，如果表面泌水较多，及时清除，杜绝在模板上开孔赶水，带走灰浆。</w:t>
            </w:r>
          </w:p>
          <w:p w14:paraId="0C972255">
            <w:pPr>
              <w:ind w:firstLine="480"/>
              <w:rPr>
                <w:rFonts w:hint="default" w:ascii="Times New Roman" w:hAnsi="Times New Roman" w:cs="Times New Roman"/>
                <w:bCs/>
                <w:color w:val="auto"/>
                <w:szCs w:val="32"/>
                <w:highlight w:val="none"/>
              </w:rPr>
            </w:pPr>
            <w:r>
              <w:rPr>
                <w:rFonts w:hint="default" w:ascii="Times New Roman" w:hAnsi="Times New Roman" w:cs="Times New Roman"/>
                <w:bCs/>
                <w:color w:val="auto"/>
                <w:szCs w:val="32"/>
                <w:highlight w:val="none"/>
              </w:rPr>
              <w:t>控制砼各成分(水、骨料、水泥等)质量，确保砼质量符合设计要求。</w:t>
            </w:r>
          </w:p>
          <w:p w14:paraId="3B0DFC04">
            <w:pPr>
              <w:numPr>
                <w:ilvl w:val="0"/>
                <w:numId w:val="3"/>
              </w:numPr>
              <w:ind w:firstLine="482"/>
              <w:jc w:val="left"/>
              <w:rPr>
                <w:rFonts w:hint="default" w:ascii="Times New Roman" w:hAnsi="Times New Roman" w:eastAsia="宋体" w:cs="Times New Roman"/>
                <w:b/>
                <w:color w:val="auto"/>
                <w:szCs w:val="32"/>
                <w:highlight w:val="none"/>
                <w:lang w:val="en-US" w:eastAsia="zh-CN"/>
              </w:rPr>
            </w:pPr>
            <w:r>
              <w:rPr>
                <w:rFonts w:hint="eastAsia" w:cs="Times New Roman"/>
                <w:b/>
                <w:color w:val="auto"/>
                <w:szCs w:val="32"/>
                <w:highlight w:val="none"/>
                <w:lang w:val="en-US" w:eastAsia="zh-CN"/>
              </w:rPr>
              <w:t>堤防工程</w:t>
            </w:r>
          </w:p>
          <w:p w14:paraId="23E74932">
            <w:pPr>
              <w:spacing w:beforeLines="0" w:afterLines="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①堤防断面</w:t>
            </w:r>
          </w:p>
          <w:p w14:paraId="3DBF6CA9">
            <w:pPr>
              <w:spacing w:beforeLines="0" w:afterLines="0"/>
              <w:jc w:val="both"/>
              <w:rPr>
                <w:rFonts w:hint="default" w:eastAsia="宋体"/>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1 \* GB4 \* MERGEFORMAT </w:instrText>
            </w:r>
            <w:r>
              <w:rPr>
                <w:rFonts w:hint="eastAsia"/>
                <w:color w:val="auto"/>
                <w:highlight w:val="none"/>
                <w:lang w:val="en-US" w:eastAsia="zh-CN"/>
              </w:rPr>
              <w:fldChar w:fldCharType="separate"/>
            </w:r>
            <w:r>
              <w:rPr>
                <w:rFonts w:hint="eastAsia"/>
                <w:color w:val="auto"/>
                <w:highlight w:val="none"/>
                <w:lang w:val="en-US" w:eastAsia="zh-CN"/>
              </w:rPr>
              <w:t>㈠</w:t>
            </w:r>
            <w:r>
              <w:rPr>
                <w:rFonts w:hint="eastAsia"/>
                <w:color w:val="auto"/>
                <w:highlight w:val="none"/>
                <w:lang w:val="en-US" w:eastAsia="zh-CN"/>
              </w:rPr>
              <w:fldChar w:fldCharType="end"/>
            </w:r>
            <w:r>
              <w:rPr>
                <w:rFonts w:hint="eastAsia"/>
                <w:color w:val="auto"/>
                <w:highlight w:val="none"/>
                <w:lang w:val="en-US" w:eastAsia="zh-CN"/>
              </w:rPr>
              <w:t>石河镇二郎、福兴段：</w:t>
            </w:r>
          </w:p>
          <w:p w14:paraId="43E4AECF">
            <w:pPr>
              <w:spacing w:beforeLines="0" w:afterLines="0"/>
              <w:jc w:val="both"/>
              <w:rPr>
                <w:rFonts w:hint="default" w:ascii="Times New Roman" w:hAnsi="Times New Roman" w:cs="Times New Roman"/>
                <w:b/>
                <w:color w:val="auto"/>
                <w:szCs w:val="32"/>
                <w:highlight w:val="none"/>
              </w:rPr>
            </w:pPr>
            <w:r>
              <w:rPr>
                <w:rFonts w:hint="eastAsia"/>
                <w:color w:val="auto"/>
                <w:highlight w:val="none"/>
                <w:lang w:val="en-US" w:eastAsia="zh-CN"/>
              </w:rPr>
              <w:t>石河镇二郎、福兴段</w:t>
            </w:r>
            <w:r>
              <w:rPr>
                <w:rFonts w:hint="eastAsia"/>
                <w:color w:val="auto"/>
                <w:highlight w:val="none"/>
              </w:rPr>
              <w:t>新建堤防总长</w:t>
            </w:r>
            <w:r>
              <w:rPr>
                <w:rFonts w:hint="eastAsia"/>
                <w:color w:val="auto"/>
                <w:highlight w:val="none"/>
                <w:lang w:val="zh-CN"/>
              </w:rPr>
              <w:t>5065m，其中柳城河二郎段新建堤防</w:t>
            </w:r>
            <w:r>
              <w:rPr>
                <w:rFonts w:hint="eastAsia"/>
                <w:color w:val="auto"/>
                <w:highlight w:val="none"/>
              </w:rPr>
              <w:t>3651.65</w:t>
            </w:r>
            <w:r>
              <w:rPr>
                <w:rFonts w:hint="eastAsia"/>
                <w:color w:val="auto"/>
                <w:highlight w:val="none"/>
                <w:lang w:val="zh-CN"/>
              </w:rPr>
              <w:t>m（主河左岸上段931.79m，主河左岸下段390.00m，主河右岸1934.38m，河口段左岸200.35m，河口段右岸195.13m），福兴段新建堤防长</w:t>
            </w:r>
            <w:r>
              <w:rPr>
                <w:rFonts w:hint="eastAsia"/>
                <w:color w:val="auto"/>
                <w:highlight w:val="none"/>
              </w:rPr>
              <w:t>1413.35</w:t>
            </w:r>
            <w:r>
              <w:rPr>
                <w:rFonts w:hint="eastAsia"/>
                <w:color w:val="auto"/>
                <w:highlight w:val="none"/>
                <w:lang w:val="zh-CN"/>
              </w:rPr>
              <w:t>m（左岸117.46m，右岸1295.89m）</w:t>
            </w:r>
            <w:r>
              <w:rPr>
                <w:rFonts w:hint="eastAsia" w:hAnsi="宋体"/>
                <w:color w:val="auto"/>
                <w:szCs w:val="24"/>
                <w:highlight w:val="none"/>
              </w:rPr>
              <w:t>。</w:t>
            </w:r>
          </w:p>
          <w:p w14:paraId="50C78DB3">
            <w:pPr>
              <w:ind w:firstLine="480"/>
              <w:rPr>
                <w:rFonts w:hAnsi="宋体"/>
                <w:color w:val="auto"/>
                <w:szCs w:val="24"/>
                <w:highlight w:val="none"/>
              </w:rPr>
            </w:pPr>
            <w:r>
              <w:rPr>
                <w:rFonts w:hint="eastAsia"/>
                <w:color w:val="auto"/>
                <w:highlight w:val="none"/>
              </w:rPr>
              <w:t>二郎</w:t>
            </w:r>
            <w:r>
              <w:rPr>
                <w:rFonts w:hint="eastAsia"/>
                <w:color w:val="auto"/>
                <w:highlight w:val="none"/>
                <w:lang w:val="zh-CN"/>
              </w:rPr>
              <w:t>段</w:t>
            </w:r>
            <w:r>
              <w:rPr>
                <w:rFonts w:hAnsi="宋体"/>
                <w:color w:val="auto"/>
                <w:szCs w:val="24"/>
                <w:highlight w:val="none"/>
              </w:rPr>
              <w:t>防洪堤高</w:t>
            </w:r>
            <w:r>
              <w:rPr>
                <w:rFonts w:hint="eastAsia"/>
                <w:color w:val="auto"/>
                <w:szCs w:val="24"/>
                <w:highlight w:val="none"/>
              </w:rPr>
              <w:t>8.0m</w:t>
            </w:r>
            <w:r>
              <w:rPr>
                <w:rFonts w:hAnsi="宋体"/>
                <w:color w:val="auto"/>
                <w:szCs w:val="24"/>
                <w:highlight w:val="none"/>
              </w:rPr>
              <w:t>，</w:t>
            </w:r>
            <w:r>
              <w:rPr>
                <w:rFonts w:hint="eastAsia" w:hAnsi="宋体"/>
                <w:color w:val="auto"/>
                <w:szCs w:val="24"/>
                <w:highlight w:val="none"/>
              </w:rPr>
              <w:t>采用镇脚基础加斜坡式护岸的堤防型式，镇脚采用</w:t>
            </w:r>
            <w:r>
              <w:rPr>
                <w:color w:val="auto"/>
                <w:szCs w:val="24"/>
                <w:highlight w:val="none"/>
              </w:rPr>
              <w:t>C</w:t>
            </w:r>
            <w:r>
              <w:rPr>
                <w:rFonts w:hint="eastAsia"/>
                <w:color w:val="auto"/>
                <w:szCs w:val="24"/>
                <w:highlight w:val="none"/>
              </w:rPr>
              <w:t>25</w:t>
            </w:r>
            <w:r>
              <w:rPr>
                <w:rFonts w:hAnsi="宋体"/>
                <w:color w:val="auto"/>
                <w:szCs w:val="24"/>
                <w:highlight w:val="none"/>
              </w:rPr>
              <w:t>砼的</w:t>
            </w:r>
            <w:r>
              <w:rPr>
                <w:rFonts w:hint="eastAsia" w:hAnsi="宋体"/>
                <w:color w:val="auto"/>
                <w:szCs w:val="24"/>
                <w:highlight w:val="none"/>
              </w:rPr>
              <w:t>直墙重力式</w:t>
            </w:r>
            <w:r>
              <w:rPr>
                <w:rFonts w:hAnsi="宋体"/>
                <w:color w:val="auto"/>
                <w:szCs w:val="24"/>
                <w:highlight w:val="none"/>
              </w:rPr>
              <w:t>防洪墙形式，</w:t>
            </w:r>
            <w:r>
              <w:rPr>
                <w:rFonts w:hint="eastAsia" w:hAnsi="宋体"/>
                <w:color w:val="auto"/>
                <w:szCs w:val="24"/>
                <w:highlight w:val="none"/>
              </w:rPr>
              <w:t>镇脚顶宽1.5m，底宽1.5m，高3.0m</w:t>
            </w:r>
            <w:r>
              <w:rPr>
                <w:color w:val="auto"/>
                <w:highlight w:val="none"/>
              </w:rPr>
              <w:t>，</w:t>
            </w:r>
            <w:r>
              <w:rPr>
                <w:rFonts w:hint="eastAsia"/>
                <w:color w:val="auto"/>
                <w:highlight w:val="none"/>
              </w:rPr>
              <w:t>底部设20cm厚的C20砼垫层。镇脚至堤顶高5.0m，采用C25钢砼框格梁结构，堤防迎水面边坡坡比1:1.75，框格梁断面尺寸为0.3*0.4m，间距为3.0m，框格梁内砌筑C25钢砼预制六菱块，六菱块以下设5cmM10水泥砂浆</w:t>
            </w:r>
            <w:r>
              <w:rPr>
                <w:rFonts w:hint="eastAsia"/>
                <w:color w:val="auto"/>
                <w:highlight w:val="none"/>
                <w:lang w:eastAsia="zh-CN"/>
              </w:rPr>
              <w:t>，</w:t>
            </w:r>
            <w:r>
              <w:rPr>
                <w:rFonts w:hint="eastAsia"/>
                <w:color w:val="auto"/>
                <w:highlight w:val="none"/>
              </w:rPr>
              <w:t>水泥砂浆以下设20cm厚的碎石垫层。堤身采用土方开挖利用料填筑，压实度不低于0.93；堤顶宽3.0m，设C25砼防浪墙，墙顶宽30cm，墙高0.5m，墙顶高0.7m仿实木砼生态栏杆</w:t>
            </w:r>
            <w:r>
              <w:rPr>
                <w:rFonts w:hint="eastAsia"/>
                <w:color w:val="auto"/>
                <w:highlight w:val="none"/>
                <w:lang w:eastAsia="zh-CN"/>
              </w:rPr>
              <w:t>，</w:t>
            </w:r>
            <w:r>
              <w:rPr>
                <w:rFonts w:hint="eastAsia"/>
                <w:color w:val="auto"/>
                <w:highlight w:val="none"/>
              </w:rPr>
              <w:t>堤顶采用20cmC30砼路面，C30砼路面以下设20cm厚的碎石垫层，堤顶外侧采用30cm*30cmC30砼排水沟，排水沟顶部设雨水篦子。</w:t>
            </w:r>
          </w:p>
          <w:p w14:paraId="1F33C0F5">
            <w:pPr>
              <w:ind w:firstLine="480"/>
              <w:rPr>
                <w:color w:val="auto"/>
                <w:highlight w:val="none"/>
              </w:rPr>
            </w:pPr>
            <w:r>
              <w:rPr>
                <w:rFonts w:hint="eastAsia"/>
                <w:color w:val="auto"/>
                <w:highlight w:val="none"/>
              </w:rPr>
              <w:t>二郎左岸河口段堤防</w:t>
            </w:r>
            <w:r>
              <w:rPr>
                <w:rFonts w:hint="eastAsia" w:hAnsi="宋体"/>
                <w:color w:val="auto"/>
                <w:szCs w:val="24"/>
                <w:highlight w:val="none"/>
              </w:rPr>
              <w:t>采用</w:t>
            </w:r>
            <w:r>
              <w:rPr>
                <w:color w:val="auto"/>
                <w:szCs w:val="24"/>
                <w:highlight w:val="none"/>
              </w:rPr>
              <w:t>C</w:t>
            </w:r>
            <w:r>
              <w:rPr>
                <w:rFonts w:hint="eastAsia"/>
                <w:color w:val="auto"/>
                <w:szCs w:val="24"/>
                <w:highlight w:val="none"/>
              </w:rPr>
              <w:t>25</w:t>
            </w:r>
            <w:r>
              <w:rPr>
                <w:rFonts w:hAnsi="宋体"/>
                <w:color w:val="auto"/>
                <w:szCs w:val="24"/>
                <w:highlight w:val="none"/>
              </w:rPr>
              <w:t>砼的</w:t>
            </w:r>
            <w:r>
              <w:rPr>
                <w:rFonts w:hint="eastAsia" w:hAnsi="宋体"/>
                <w:color w:val="auto"/>
                <w:szCs w:val="24"/>
                <w:highlight w:val="none"/>
              </w:rPr>
              <w:t>仰斜式</w:t>
            </w:r>
            <w:r>
              <w:rPr>
                <w:rFonts w:hAnsi="宋体"/>
                <w:color w:val="auto"/>
                <w:szCs w:val="24"/>
                <w:highlight w:val="none"/>
              </w:rPr>
              <w:t>防洪墙形式，</w:t>
            </w:r>
            <w:r>
              <w:rPr>
                <w:rFonts w:hint="eastAsia" w:hAnsi="宋体"/>
                <w:color w:val="auto"/>
                <w:szCs w:val="24"/>
                <w:highlight w:val="none"/>
              </w:rPr>
              <w:t>堤</w:t>
            </w:r>
            <w:r>
              <w:rPr>
                <w:rFonts w:hAnsi="宋体"/>
                <w:color w:val="auto"/>
                <w:szCs w:val="24"/>
                <w:highlight w:val="none"/>
              </w:rPr>
              <w:t>顶宽为</w:t>
            </w:r>
            <w:r>
              <w:rPr>
                <w:rFonts w:hint="eastAsia"/>
                <w:color w:val="auto"/>
                <w:szCs w:val="24"/>
                <w:highlight w:val="none"/>
              </w:rPr>
              <w:t>0.8</w:t>
            </w:r>
            <w:r>
              <w:rPr>
                <w:color w:val="auto"/>
                <w:szCs w:val="24"/>
                <w:highlight w:val="none"/>
              </w:rPr>
              <w:t>m，</w:t>
            </w:r>
            <w:r>
              <w:rPr>
                <w:rFonts w:hint="eastAsia"/>
                <w:color w:val="auto"/>
                <w:highlight w:val="none"/>
              </w:rPr>
              <w:t>堤顶设高0.5m，厚30cm的C25砼防浪墙，防浪墙顶设高0.7m仿实木砼生态栏杆，堤顶采用20cmC30砼路面，C30砼路面以下设20cm厚的碎石垫层，堤顶外侧采用30cm*30cmC30砼排水沟，排水沟顶部设雨水篦子。</w:t>
            </w:r>
            <w:r>
              <w:rPr>
                <w:rFonts w:hint="eastAsia" w:hAnsi="宋体"/>
                <w:color w:val="auto"/>
                <w:szCs w:val="24"/>
                <w:highlight w:val="none"/>
              </w:rPr>
              <w:t>防洪墙</w:t>
            </w:r>
            <w:r>
              <w:rPr>
                <w:rFonts w:hAnsi="宋体"/>
                <w:color w:val="auto"/>
                <w:szCs w:val="24"/>
                <w:highlight w:val="none"/>
              </w:rPr>
              <w:t>迎水面设计坡比为1：0.</w:t>
            </w:r>
            <w:r>
              <w:rPr>
                <w:rFonts w:hint="eastAsia" w:hAnsi="宋体"/>
                <w:color w:val="auto"/>
                <w:szCs w:val="24"/>
                <w:highlight w:val="none"/>
              </w:rPr>
              <w:t>25</w:t>
            </w:r>
            <w:r>
              <w:rPr>
                <w:rFonts w:hAnsi="宋体"/>
                <w:color w:val="auto"/>
                <w:szCs w:val="24"/>
                <w:highlight w:val="none"/>
              </w:rPr>
              <w:t>，背坡</w:t>
            </w:r>
            <w:r>
              <w:rPr>
                <w:rFonts w:hint="eastAsia" w:hAnsi="宋体"/>
                <w:color w:val="auto"/>
                <w:szCs w:val="24"/>
                <w:highlight w:val="none"/>
              </w:rPr>
              <w:t>设计坡比</w:t>
            </w:r>
            <w:r>
              <w:rPr>
                <w:rFonts w:hAnsi="宋体"/>
                <w:color w:val="auto"/>
                <w:szCs w:val="24"/>
                <w:highlight w:val="none"/>
              </w:rPr>
              <w:t>1：</w:t>
            </w:r>
            <w:r>
              <w:rPr>
                <w:rFonts w:hint="eastAsia" w:hAnsi="宋体"/>
                <w:color w:val="auto"/>
                <w:szCs w:val="24"/>
                <w:highlight w:val="none"/>
              </w:rPr>
              <w:t>0.2</w:t>
            </w:r>
            <w:r>
              <w:rPr>
                <w:rFonts w:hAnsi="宋体"/>
                <w:color w:val="auto"/>
                <w:szCs w:val="24"/>
                <w:highlight w:val="none"/>
              </w:rPr>
              <w:t>，</w:t>
            </w:r>
            <w:r>
              <w:rPr>
                <w:rFonts w:hint="eastAsia" w:hAnsi="宋体"/>
                <w:color w:val="auto"/>
                <w:szCs w:val="24"/>
                <w:highlight w:val="none"/>
              </w:rPr>
              <w:t>堤身高度2.8m，堤身底宽1.50m，</w:t>
            </w:r>
            <w:r>
              <w:rPr>
                <w:rFonts w:hAnsi="宋体"/>
                <w:color w:val="auto"/>
                <w:szCs w:val="24"/>
                <w:highlight w:val="none"/>
              </w:rPr>
              <w:t>堤防设Φ</w:t>
            </w:r>
            <w:r>
              <w:rPr>
                <w:rFonts w:hint="eastAsia" w:hAnsi="宋体"/>
                <w:color w:val="auto"/>
                <w:szCs w:val="24"/>
                <w:highlight w:val="none"/>
              </w:rPr>
              <w:t>75</w:t>
            </w:r>
            <w:r>
              <w:rPr>
                <w:rFonts w:hAnsi="宋体"/>
                <w:color w:val="auto"/>
                <w:szCs w:val="24"/>
                <w:highlight w:val="none"/>
              </w:rPr>
              <w:t>PVC排水管，间距</w:t>
            </w:r>
            <w:r>
              <w:rPr>
                <w:rFonts w:hint="eastAsia" w:hAnsi="宋体"/>
                <w:color w:val="auto"/>
                <w:szCs w:val="24"/>
                <w:highlight w:val="none"/>
              </w:rPr>
              <w:t>1.5</w:t>
            </w:r>
            <w:r>
              <w:rPr>
                <w:rFonts w:hAnsi="宋体"/>
                <w:color w:val="auto"/>
                <w:szCs w:val="24"/>
                <w:highlight w:val="none"/>
              </w:rPr>
              <w:t>m，呈梅花状布设，排水管进水口端段设</w:t>
            </w:r>
            <w:r>
              <w:rPr>
                <w:rFonts w:hint="eastAsia" w:hAnsi="宋体"/>
                <w:color w:val="auto"/>
                <w:szCs w:val="24"/>
                <w:highlight w:val="none"/>
              </w:rPr>
              <w:t>反滤土工布包裹的砂砾石反滤包</w:t>
            </w:r>
            <w:r>
              <w:rPr>
                <w:rFonts w:hAnsi="宋体"/>
                <w:color w:val="auto"/>
                <w:szCs w:val="24"/>
                <w:highlight w:val="none"/>
              </w:rPr>
              <w:t>。堤轴线根据行洪要求确定，为适应不均匀沉降变形要求，防洪堤分段长度10.0m，</w:t>
            </w:r>
            <w:r>
              <w:rPr>
                <w:rFonts w:hint="eastAsia" w:hAnsi="宋体"/>
                <w:color w:val="auto"/>
                <w:szCs w:val="24"/>
                <w:highlight w:val="none"/>
              </w:rPr>
              <w:t>基底设80cm厚的大块石换填</w:t>
            </w:r>
            <w:r>
              <w:rPr>
                <w:rFonts w:hAnsi="宋体"/>
                <w:color w:val="auto"/>
                <w:szCs w:val="24"/>
                <w:highlight w:val="none"/>
              </w:rPr>
              <w:t>。</w:t>
            </w:r>
          </w:p>
          <w:p w14:paraId="3C45A786">
            <w:pPr>
              <w:ind w:firstLine="480"/>
              <w:rPr>
                <w:color w:val="auto"/>
                <w:highlight w:val="none"/>
              </w:rPr>
            </w:pPr>
            <w:r>
              <w:rPr>
                <w:rFonts w:hint="eastAsia"/>
                <w:color w:val="auto"/>
                <w:highlight w:val="none"/>
                <w:lang w:val="zh-CN"/>
              </w:rPr>
              <w:t>柳城河支流的福兴段新建堤防长</w:t>
            </w:r>
            <w:r>
              <w:rPr>
                <w:rFonts w:hint="eastAsia"/>
                <w:color w:val="auto"/>
                <w:highlight w:val="none"/>
              </w:rPr>
              <w:t>1413.35</w:t>
            </w:r>
            <w:r>
              <w:rPr>
                <w:rFonts w:hint="eastAsia"/>
                <w:color w:val="auto"/>
                <w:highlight w:val="none"/>
                <w:lang w:val="zh-CN"/>
              </w:rPr>
              <w:t>m（左岸117.46m，右岸1295.89m），</w:t>
            </w:r>
            <w:r>
              <w:rPr>
                <w:rFonts w:hint="eastAsia"/>
                <w:color w:val="auto"/>
                <w:highlight w:val="none"/>
              </w:rPr>
              <w:t>堤防主要位于福兴社区场镇处及上下游的耕地处，福兴段堤防分为左右岸。</w:t>
            </w:r>
          </w:p>
          <w:p w14:paraId="47760F00">
            <w:pPr>
              <w:ind w:firstLine="480"/>
              <w:rPr>
                <w:color w:val="auto"/>
                <w:highlight w:val="none"/>
              </w:rPr>
            </w:pPr>
            <w:r>
              <w:rPr>
                <w:rFonts w:hint="eastAsia"/>
                <w:color w:val="auto"/>
                <w:highlight w:val="none"/>
                <w:lang w:val="zh-CN"/>
              </w:rPr>
              <w:t>福兴段</w:t>
            </w:r>
            <w:r>
              <w:rPr>
                <w:rFonts w:hAnsi="宋体"/>
                <w:color w:val="auto"/>
                <w:szCs w:val="24"/>
                <w:highlight w:val="none"/>
              </w:rPr>
              <w:t>防洪堤高</w:t>
            </w:r>
            <w:r>
              <w:rPr>
                <w:rFonts w:hint="eastAsia"/>
                <w:color w:val="auto"/>
                <w:szCs w:val="24"/>
                <w:highlight w:val="none"/>
              </w:rPr>
              <w:t>6.0m</w:t>
            </w:r>
            <w:r>
              <w:rPr>
                <w:rFonts w:hAnsi="宋体"/>
                <w:color w:val="auto"/>
                <w:szCs w:val="24"/>
                <w:highlight w:val="none"/>
              </w:rPr>
              <w:t>，</w:t>
            </w:r>
            <w:r>
              <w:rPr>
                <w:rFonts w:hint="eastAsia" w:hAnsi="宋体"/>
                <w:color w:val="auto"/>
                <w:szCs w:val="24"/>
                <w:highlight w:val="none"/>
              </w:rPr>
              <w:t>采用镇脚基础加斜坡式护岸的堤防型式，镇脚采用</w:t>
            </w:r>
            <w:r>
              <w:rPr>
                <w:color w:val="auto"/>
                <w:szCs w:val="24"/>
                <w:highlight w:val="none"/>
              </w:rPr>
              <w:t>C</w:t>
            </w:r>
            <w:r>
              <w:rPr>
                <w:rFonts w:hint="eastAsia"/>
                <w:color w:val="auto"/>
                <w:szCs w:val="24"/>
                <w:highlight w:val="none"/>
              </w:rPr>
              <w:t>25</w:t>
            </w:r>
            <w:r>
              <w:rPr>
                <w:rFonts w:hAnsi="宋体"/>
                <w:color w:val="auto"/>
                <w:szCs w:val="24"/>
                <w:highlight w:val="none"/>
              </w:rPr>
              <w:t>砼的</w:t>
            </w:r>
            <w:r>
              <w:rPr>
                <w:rFonts w:hint="eastAsia" w:hAnsi="宋体"/>
                <w:color w:val="auto"/>
                <w:szCs w:val="24"/>
                <w:highlight w:val="none"/>
              </w:rPr>
              <w:t>直墙重力式</w:t>
            </w:r>
            <w:r>
              <w:rPr>
                <w:rFonts w:hAnsi="宋体"/>
                <w:color w:val="auto"/>
                <w:szCs w:val="24"/>
                <w:highlight w:val="none"/>
              </w:rPr>
              <w:t>防洪墙形式，</w:t>
            </w:r>
            <w:r>
              <w:rPr>
                <w:rFonts w:hint="eastAsia" w:hAnsi="宋体"/>
                <w:color w:val="auto"/>
                <w:szCs w:val="24"/>
                <w:highlight w:val="none"/>
              </w:rPr>
              <w:t>镇脚顶宽1.2m，底宽1.2m，高2.0m</w:t>
            </w:r>
            <w:r>
              <w:rPr>
                <w:color w:val="auto"/>
                <w:highlight w:val="none"/>
              </w:rPr>
              <w:t>，</w:t>
            </w:r>
            <w:r>
              <w:rPr>
                <w:rFonts w:hint="eastAsia"/>
                <w:color w:val="auto"/>
                <w:highlight w:val="none"/>
              </w:rPr>
              <w:t>底部设20cm厚的C20砼垫层。镇脚顶至堤顶高4.0m，采用C25钢砼框格梁结构，堤防迎水面边坡坡比1:1.75，框格梁断面尺寸为0.3*0.4m，间距为3.0m，框格梁内砌筑C25钢砼预制六菱块，六菱块以下设5cmM10水泥砂浆</w:t>
            </w:r>
            <w:r>
              <w:rPr>
                <w:rFonts w:hint="eastAsia"/>
                <w:color w:val="auto"/>
                <w:highlight w:val="none"/>
                <w:lang w:eastAsia="zh-CN"/>
              </w:rPr>
              <w:t>，</w:t>
            </w:r>
            <w:r>
              <w:rPr>
                <w:rFonts w:hint="eastAsia"/>
                <w:color w:val="auto"/>
                <w:highlight w:val="none"/>
              </w:rPr>
              <w:t>水泥砂浆以下设20cm厚的碎石垫层。堤身采用土方开挖利用料填筑，压实度不低于0.93，项目区40km范围内无允许开采的填筑料场，不足部分，可至九盆料场购买；堤顶宽3.0m，设C25砼防浪墙，墙顶宽30cm，墙高0.5m，墙顶高0.7m仿实木砼生态栏杆</w:t>
            </w:r>
            <w:r>
              <w:rPr>
                <w:rFonts w:hint="eastAsia"/>
                <w:color w:val="auto"/>
                <w:highlight w:val="none"/>
                <w:lang w:eastAsia="zh-CN"/>
              </w:rPr>
              <w:t>，</w:t>
            </w:r>
            <w:r>
              <w:rPr>
                <w:rFonts w:hint="eastAsia"/>
                <w:color w:val="auto"/>
                <w:highlight w:val="none"/>
              </w:rPr>
              <w:t>堤顶采用20cmC30砼路面，C30砼路面以下设20cm厚的碎石垫层，堤顶外侧采用30cm*30cmC30砼排水沟，排水沟顶部设雨水篦子。</w:t>
            </w:r>
          </w:p>
          <w:p w14:paraId="12304544">
            <w:pPr>
              <w:pStyle w:val="21"/>
              <w:ind w:firstLine="48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snapToGrid w:val="0"/>
                <w:color w:val="auto"/>
                <w:sz w:val="24"/>
                <w:szCs w:val="22"/>
                <w:highlight w:val="none"/>
                <w:lang w:val="en-US" w:eastAsia="zh-CN" w:bidi="ar-SA"/>
              </w:rPr>
              <w:t>护岸堤堤顶设高0.5m，厚30cm的C25砼防浪墙，防浪墙顶设高0.7m仿实木砼生态栏杆堤顶采用20cmC30砼路面，C30砼路面以下设20cm厚的碎石垫</w:t>
            </w:r>
            <w:r>
              <w:rPr>
                <w:rFonts w:hint="default" w:ascii="Times New Roman" w:hAnsi="Times New Roman" w:eastAsia="宋体" w:cs="Times New Roman"/>
                <w:color w:val="auto"/>
                <w:highlight w:val="none"/>
                <w:lang w:val="en-US" w:eastAsia="zh-CN"/>
              </w:rPr>
              <w:t>层，堤顶外侧采用30cm*30cmC30砼排水沟，排水沟顶部设雨水篦子。</w:t>
            </w:r>
          </w:p>
          <w:p w14:paraId="1D5D8110">
            <w:pPr>
              <w:pStyle w:val="21"/>
              <w:ind w:firstLine="480"/>
              <w:jc w:val="both"/>
              <w:rPr>
                <w:rFonts w:hint="eastAsia" w:cs="Times New Roman"/>
                <w:color w:val="auto"/>
                <w:szCs w:val="24"/>
                <w:highlight w:val="none"/>
                <w:lang w:val="en-US" w:eastAsia="zh-CN"/>
              </w:rPr>
            </w:pP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 2 \* GB4 \* MERGEFORMAT </w:instrText>
            </w:r>
            <w:r>
              <w:rPr>
                <w:rFonts w:hint="default" w:ascii="Times New Roman" w:hAnsi="Times New Roman" w:eastAsia="宋体" w:cs="Times New Roman"/>
                <w:color w:val="auto"/>
                <w:highlight w:val="none"/>
                <w:lang w:val="en-US" w:eastAsia="zh-CN"/>
              </w:rPr>
              <w:fldChar w:fldCharType="separate"/>
            </w:r>
            <w:r>
              <w:rPr>
                <w:color w:val="auto"/>
                <w:highlight w:val="none"/>
              </w:rPr>
              <w:t>㈡</w:t>
            </w:r>
            <w:r>
              <w:rPr>
                <w:rFonts w:hint="default" w:ascii="Times New Roman" w:hAnsi="Times New Roman" w:eastAsia="宋体" w:cs="Times New Roman"/>
                <w:color w:val="auto"/>
                <w:highlight w:val="none"/>
                <w:lang w:val="en-US" w:eastAsia="zh-CN"/>
              </w:rPr>
              <w:fldChar w:fldCharType="end"/>
            </w:r>
            <w:r>
              <w:rPr>
                <w:rFonts w:hint="eastAsia" w:cs="Times New Roman"/>
                <w:color w:val="auto"/>
                <w:szCs w:val="24"/>
                <w:highlight w:val="none"/>
                <w:lang w:val="en-US" w:eastAsia="zh-CN"/>
              </w:rPr>
              <w:t>石河镇石河镇段、双拱场段</w:t>
            </w:r>
          </w:p>
          <w:p w14:paraId="746AE613">
            <w:pPr>
              <w:pStyle w:val="21"/>
              <w:ind w:firstLine="480"/>
              <w:jc w:val="both"/>
              <w:rPr>
                <w:rFonts w:hint="eastAsia"/>
                <w:color w:val="auto"/>
                <w:highlight w:val="none"/>
                <w:lang w:eastAsia="zh-CN"/>
              </w:rPr>
            </w:pPr>
            <w:r>
              <w:rPr>
                <w:rFonts w:hint="eastAsia"/>
                <w:color w:val="auto"/>
                <w:highlight w:val="none"/>
                <w:lang w:eastAsia="zh-CN"/>
              </w:rPr>
              <w:t>新建护岸总长3710m，其中柳城河石河镇段新建护岸长2038m（左岸394m，右岸1644m）；柳城河双拱场段新建护岸长1672m（左岸823m，右岸849m）。</w:t>
            </w:r>
          </w:p>
          <w:p w14:paraId="1C069F86">
            <w:pPr>
              <w:pageBreakBefore w:val="0"/>
              <w:widowControl w:val="0"/>
              <w:kinsoku/>
              <w:wordWrap/>
              <w:overflowPunct/>
              <w:topLinePunct w:val="0"/>
              <w:bidi w:val="0"/>
              <w:snapToGrid/>
              <w:spacing w:line="360" w:lineRule="auto"/>
              <w:ind w:firstLine="480" w:firstLineChars="200"/>
              <w:jc w:val="both"/>
              <w:textAlignment w:val="auto"/>
              <w:outlineLvl w:val="9"/>
              <w:rPr>
                <w:rFonts w:hint="default" w:ascii="Times New Roman" w:hAnsi="Times New Roman" w:cs="Times New Roman"/>
                <w:color w:val="auto"/>
                <w:highlight w:val="none"/>
                <w:lang w:val="zh-CN"/>
              </w:rPr>
            </w:pPr>
            <w:r>
              <w:rPr>
                <w:color w:val="auto"/>
                <w:highlight w:val="none"/>
                <w:lang w:val="zh-CN"/>
              </w:rPr>
              <w:t>石河镇段新建护岸长2038m，左岸长394m，</w:t>
            </w:r>
            <w:r>
              <w:rPr>
                <w:color w:val="auto"/>
                <w:highlight w:val="none"/>
              </w:rPr>
              <w:t>起于张家大院子，止于朝门院子</w:t>
            </w:r>
            <w:r>
              <w:rPr>
                <w:color w:val="auto"/>
                <w:highlight w:val="none"/>
                <w:lang w:val="zh-CN"/>
              </w:rPr>
              <w:t>，右岸1644m，</w:t>
            </w:r>
            <w:r>
              <w:rPr>
                <w:color w:val="auto"/>
                <w:highlight w:val="none"/>
              </w:rPr>
              <w:t>起于罗汉山，止于赖家湾</w:t>
            </w:r>
            <w:r>
              <w:rPr>
                <w:rFonts w:hint="eastAsia"/>
                <w:color w:val="auto"/>
                <w:highlight w:val="none"/>
                <w:lang w:eastAsia="zh-CN"/>
              </w:rPr>
              <w:t>。</w:t>
            </w:r>
            <w:r>
              <w:rPr>
                <w:rFonts w:hint="eastAsia"/>
                <w:color w:val="auto"/>
                <w:highlight w:val="none"/>
                <w:lang w:val="en-US" w:eastAsia="zh-CN"/>
              </w:rPr>
              <w:t>对应桩号</w:t>
            </w:r>
            <w:r>
              <w:rPr>
                <w:rFonts w:hint="eastAsia" w:cs="Times New Roman"/>
                <w:color w:val="auto"/>
                <w:highlight w:val="none"/>
                <w:lang w:val="en-US" w:eastAsia="zh-CN"/>
              </w:rPr>
              <w:t>为</w:t>
            </w:r>
            <w:r>
              <w:rPr>
                <w:color w:val="auto"/>
                <w:highlight w:val="none"/>
              </w:rPr>
              <w:t>石Z0+447～石Z0+841、石Y0+428～石Y0+953、石Y0+965～石Y2+084段</w:t>
            </w:r>
            <w:r>
              <w:rPr>
                <w:rFonts w:hint="default" w:ascii="Times New Roman" w:hAnsi="Times New Roman" w:cs="Times New Roman"/>
                <w:color w:val="auto"/>
                <w:highlight w:val="none"/>
                <w:lang w:val="zh-CN"/>
              </w:rPr>
              <w:t>。</w:t>
            </w:r>
          </w:p>
          <w:p w14:paraId="26CF1A83">
            <w:pPr>
              <w:pageBreakBefore w:val="0"/>
              <w:widowControl w:val="0"/>
              <w:kinsoku/>
              <w:wordWrap/>
              <w:overflowPunct/>
              <w:topLinePunct w:val="0"/>
              <w:bidi w:val="0"/>
              <w:snapToGrid/>
              <w:spacing w:line="360" w:lineRule="auto"/>
              <w:ind w:firstLine="480" w:firstLineChars="200"/>
              <w:jc w:val="both"/>
              <w:textAlignment w:val="auto"/>
              <w:outlineLvl w:val="9"/>
              <w:rPr>
                <w:color w:val="auto"/>
                <w:highlight w:val="none"/>
              </w:rPr>
            </w:pPr>
            <w:r>
              <w:rPr>
                <w:rFonts w:hint="eastAsia" w:cs="Times New Roman"/>
                <w:color w:val="auto"/>
                <w:highlight w:val="none"/>
                <w:lang w:val="en-US" w:eastAsia="zh-CN"/>
              </w:rPr>
              <w:t>石河镇段</w:t>
            </w:r>
            <w:r>
              <w:rPr>
                <w:color w:val="auto"/>
                <w:highlight w:val="none"/>
              </w:rPr>
              <w:t>新建堤防为斜坡式，在P=20%水位以上0.5m新建堤顶步道，堤顶步道宽2.0m，临水侧设置防浪墙+青石栏杆。堤顶步道以上岸坡坡比结合现状地形采用不统一的稳定坡比与现状岸坡平顺衔接或维持现状，局部堤段由于现状地势较低，堤顶步道背水侧需土石压实填筑，坡比1:2，坡面采用草皮护坡（台湾二号草皮），背水侧坡脚修建C25砼排水沟。堤顶步道以下斜坡坡比1:1.75，坡面采用C25钢筋砼框格梁+空心</w:t>
            </w:r>
            <w:r>
              <w:rPr>
                <w:rFonts w:hint="eastAsia"/>
                <w:color w:val="auto"/>
                <w:highlight w:val="none"/>
              </w:rPr>
              <w:t>（实心）</w:t>
            </w:r>
            <w:r>
              <w:rPr>
                <w:color w:val="auto"/>
                <w:highlight w:val="none"/>
              </w:rPr>
              <w:t>六棱块+麦冬护坡；斜坡坡脚新建C25混凝土重力式挡墙，挡墙高2.0～3.5m，墙顶宽0.8m，墙背采用开挖料压实回填，墙身设排水孔，呈梅花型布设，排水管进水口设碎石反滤包；挡墙建基面置于基岩基础或块石挤压换填基础上，采用基岩基础的，嵌入岩基深度不小于0.6m。</w:t>
            </w:r>
          </w:p>
          <w:p w14:paraId="45DB19D1">
            <w:pPr>
              <w:ind w:firstLine="480"/>
              <w:rPr>
                <w:rFonts w:hint="eastAsia"/>
                <w:color w:val="auto"/>
                <w:highlight w:val="none"/>
              </w:rPr>
            </w:pPr>
            <w:r>
              <w:rPr>
                <w:color w:val="auto"/>
                <w:highlight w:val="none"/>
                <w:lang w:val="zh-CN"/>
              </w:rPr>
              <w:t>双拱场段新建护岸长1672m，左岸长823m，</w:t>
            </w:r>
            <w:r>
              <w:rPr>
                <w:color w:val="auto"/>
                <w:highlight w:val="none"/>
              </w:rPr>
              <w:t>起于小湾，止于阳河咀</w:t>
            </w:r>
            <w:r>
              <w:rPr>
                <w:color w:val="auto"/>
                <w:highlight w:val="none"/>
                <w:lang w:val="zh-CN"/>
              </w:rPr>
              <w:t>，右岸长849m，</w:t>
            </w:r>
            <w:r>
              <w:rPr>
                <w:color w:val="auto"/>
                <w:highlight w:val="none"/>
              </w:rPr>
              <w:t>起于小湾，止于阳河咀</w:t>
            </w:r>
            <w:r>
              <w:rPr>
                <w:rFonts w:hint="eastAsia"/>
                <w:color w:val="auto"/>
                <w:highlight w:val="none"/>
                <w:lang w:eastAsia="zh-CN"/>
              </w:rPr>
              <w:t>。</w:t>
            </w:r>
            <w:r>
              <w:rPr>
                <w:rFonts w:hint="eastAsia"/>
                <w:color w:val="auto"/>
                <w:highlight w:val="none"/>
                <w:lang w:val="en-US" w:eastAsia="zh-CN"/>
              </w:rPr>
              <w:t>对应</w:t>
            </w:r>
            <w:r>
              <w:rPr>
                <w:color w:val="auto"/>
                <w:highlight w:val="none"/>
              </w:rPr>
              <w:t>桩号</w:t>
            </w:r>
            <w:r>
              <w:rPr>
                <w:rFonts w:hint="eastAsia"/>
                <w:color w:val="auto"/>
                <w:highlight w:val="none"/>
                <w:lang w:val="en-US" w:eastAsia="zh-CN"/>
              </w:rPr>
              <w:t>为</w:t>
            </w:r>
            <w:r>
              <w:rPr>
                <w:color w:val="auto"/>
                <w:highlight w:val="none"/>
              </w:rPr>
              <w:t>双Z0+129～双Z0+393、双Z0+682～双Z1+241段、双Y0+123～双Y0+446、双Y0+712～双Y1+238段</w:t>
            </w:r>
            <w:r>
              <w:rPr>
                <w:rFonts w:hint="eastAsia"/>
                <w:color w:val="auto"/>
                <w:highlight w:val="none"/>
              </w:rPr>
              <w:t>。</w:t>
            </w:r>
          </w:p>
          <w:p w14:paraId="4B51F284">
            <w:pPr>
              <w:ind w:firstLine="480"/>
              <w:rPr>
                <w:rFonts w:hint="eastAsia"/>
                <w:color w:val="auto"/>
                <w:highlight w:val="none"/>
                <w:lang w:eastAsia="zh-CN"/>
              </w:rPr>
            </w:pPr>
            <w:r>
              <w:rPr>
                <w:color w:val="auto"/>
                <w:highlight w:val="none"/>
                <w:lang w:val="zh-CN"/>
              </w:rPr>
              <w:t>双拱场段</w:t>
            </w:r>
            <w:r>
              <w:rPr>
                <w:color w:val="auto"/>
                <w:highlight w:val="none"/>
              </w:rPr>
              <w:t>新建堤防为斜坡式，主要堤型为复合式堤型结构断面</w:t>
            </w:r>
            <w:r>
              <w:rPr>
                <w:rFonts w:hint="eastAsia"/>
                <w:color w:val="auto"/>
                <w:highlight w:val="none"/>
                <w:lang w:eastAsia="zh-CN"/>
              </w:rPr>
              <w:t>，</w:t>
            </w:r>
            <w:r>
              <w:rPr>
                <w:rFonts w:hint="eastAsia"/>
                <w:color w:val="auto"/>
                <w:highlight w:val="none"/>
                <w:lang w:val="en-US" w:eastAsia="zh-CN"/>
              </w:rPr>
              <w:t>石河镇段、双拱场段</w:t>
            </w:r>
            <w:r>
              <w:rPr>
                <w:color w:val="auto"/>
                <w:highlight w:val="none"/>
              </w:rPr>
              <w:t>坡式断面均为断面Ⅰ类型，即：2.0m~4.0m高C25砼镇脚+预制六棱块护坡+2.0m宽堤顶步道，护岸断面</w:t>
            </w:r>
            <w:r>
              <w:rPr>
                <w:rFonts w:hint="eastAsia"/>
                <w:color w:val="auto"/>
                <w:highlight w:val="none"/>
                <w:lang w:val="en-US" w:eastAsia="zh-CN"/>
              </w:rPr>
              <w:t>总</w:t>
            </w:r>
            <w:r>
              <w:rPr>
                <w:color w:val="auto"/>
                <w:highlight w:val="none"/>
              </w:rPr>
              <w:t>长3710m</w:t>
            </w:r>
            <w:r>
              <w:rPr>
                <w:rFonts w:hint="eastAsia"/>
                <w:color w:val="auto"/>
                <w:highlight w:val="none"/>
                <w:lang w:eastAsia="zh-CN"/>
              </w:rPr>
              <w:t>。</w:t>
            </w:r>
          </w:p>
          <w:p w14:paraId="7C470105">
            <w:pPr>
              <w:ind w:firstLine="480"/>
              <w:rPr>
                <w:color w:val="auto"/>
                <w:highlight w:val="none"/>
              </w:rPr>
            </w:pPr>
            <w:r>
              <w:rPr>
                <w:color w:val="auto"/>
                <w:highlight w:val="none"/>
                <w:lang w:val="zh-CN"/>
              </w:rPr>
              <w:t>双拱场段</w:t>
            </w:r>
            <w:r>
              <w:rPr>
                <w:color w:val="auto"/>
                <w:highlight w:val="none"/>
              </w:rPr>
              <w:t>在P=20%水位以上0.5m新建堤顶步道，堤顶步道宽2.0m。堤顶步道结构层从上至下分别为</w:t>
            </w:r>
            <w:r>
              <w:rPr>
                <w:rFonts w:hint="eastAsia"/>
                <w:color w:val="auto"/>
                <w:highlight w:val="none"/>
              </w:rPr>
              <w:t>0.06m透水砖（通体石英砂200*100）</w:t>
            </w:r>
            <w:r>
              <w:rPr>
                <w:color w:val="auto"/>
                <w:highlight w:val="none"/>
              </w:rPr>
              <w:t>，0.05m厚水泥砂浆，0.1m厚C20砼垫层，0.1m厚碎石垫层。背水侧设置路沿石，采用C25砼浇筑，截面尺寸为0.2m×0.31m，临水侧设置C30钢筋砼防浪墙</w:t>
            </w:r>
            <w:r>
              <w:rPr>
                <w:rFonts w:hint="eastAsia"/>
                <w:color w:val="auto"/>
                <w:highlight w:val="none"/>
              </w:rPr>
              <w:t>（</w:t>
            </w:r>
            <w:r>
              <w:rPr>
                <w:color w:val="auto"/>
                <w:highlight w:val="none"/>
              </w:rPr>
              <w:t>高0.5m</w:t>
            </w:r>
            <w:r>
              <w:rPr>
                <w:rFonts w:hint="eastAsia"/>
                <w:color w:val="auto"/>
                <w:highlight w:val="none"/>
              </w:rPr>
              <w:t>）</w:t>
            </w:r>
            <w:r>
              <w:rPr>
                <w:color w:val="auto"/>
                <w:highlight w:val="none"/>
              </w:rPr>
              <w:t>+青石栏杆</w:t>
            </w:r>
            <w:r>
              <w:rPr>
                <w:rFonts w:hint="eastAsia"/>
                <w:color w:val="auto"/>
                <w:highlight w:val="none"/>
              </w:rPr>
              <w:t>（</w:t>
            </w:r>
            <w:r>
              <w:rPr>
                <w:color w:val="auto"/>
                <w:highlight w:val="none"/>
              </w:rPr>
              <w:t>高0.7m</w:t>
            </w:r>
            <w:r>
              <w:rPr>
                <w:rFonts w:hint="eastAsia"/>
                <w:color w:val="auto"/>
                <w:highlight w:val="none"/>
              </w:rPr>
              <w:t>）</w:t>
            </w:r>
            <w:r>
              <w:rPr>
                <w:rFonts w:hint="eastAsia" w:ascii="Times New Roman" w:hAnsi="Times New Roman" w:eastAsia="宋体" w:cs="Times New Roman"/>
                <w:color w:val="auto"/>
                <w:highlight w:val="none"/>
                <w:lang w:val="en-US" w:eastAsia="zh-CN"/>
              </w:rPr>
              <w:t>。</w:t>
            </w:r>
            <w:r>
              <w:rPr>
                <w:color w:val="auto"/>
                <w:highlight w:val="none"/>
              </w:rPr>
              <w:t>坡面采用草皮护坡（台湾二号草皮），背水侧坡脚修建C25砼排水沟。堤顶步道以下斜坡坡比1:1.75，坡面采用C25钢筋砼框格梁+空心</w:t>
            </w:r>
            <w:r>
              <w:rPr>
                <w:rFonts w:hint="eastAsia"/>
                <w:color w:val="auto"/>
                <w:highlight w:val="none"/>
              </w:rPr>
              <w:t>（实心）</w:t>
            </w:r>
            <w:r>
              <w:rPr>
                <w:color w:val="auto"/>
                <w:highlight w:val="none"/>
              </w:rPr>
              <w:t>六棱块+麦冬护坡；斜坡坡脚新建C25混凝土重力式挡墙，挡墙高2.0～4.0m，墙顶宽0.8m，墙背采用开挖料压实回填，墙身设排水孔，呈梅花型布设，排水管进水口设碎石反滤包；挡墙建基面置于基岩基础或块石挤压换填基础上，采用基岩基础的，嵌入岩基深度不小于0.6m。</w:t>
            </w:r>
          </w:p>
          <w:p w14:paraId="02392113">
            <w:pPr>
              <w:pStyle w:val="21"/>
              <w:ind w:firstLine="48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w:t>
            </w:r>
            <w:r>
              <w:rPr>
                <w:rFonts w:hint="default" w:ascii="Times New Roman" w:hAnsi="Times New Roman" w:cs="Times New Roman"/>
                <w:color w:val="auto"/>
                <w:highlight w:val="none"/>
                <w:lang w:val="en-US" w:eastAsia="zh-CN"/>
              </w:rPr>
              <w:t>护坡</w:t>
            </w:r>
          </w:p>
          <w:p w14:paraId="69EC4F4F">
            <w:pPr>
              <w:pStyle w:val="21"/>
              <w:ind w:firstLine="480"/>
              <w:jc w:val="both"/>
              <w:rPr>
                <w:rFonts w:hint="eastAsia"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本项目计坡比不陡于1:1.75</w:t>
            </w:r>
            <w:r>
              <w:rPr>
                <w:rFonts w:hint="eastAsia" w:cs="Times New Roman"/>
                <w:color w:val="auto"/>
                <w:highlight w:val="none"/>
                <w:lang w:val="en-US" w:eastAsia="zh-CN"/>
              </w:rPr>
              <w:t>。</w:t>
            </w:r>
          </w:p>
          <w:p w14:paraId="6AE4214D">
            <w:pPr>
              <w:pStyle w:val="21"/>
              <w:ind w:firstLine="480"/>
              <w:jc w:val="both"/>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石河镇二郎、福兴段</w:t>
            </w:r>
            <w:r>
              <w:rPr>
                <w:rFonts w:hint="default" w:ascii="Times New Roman" w:hAnsi="Times New Roman" w:eastAsia="宋体" w:cs="Times New Roman"/>
                <w:color w:val="auto"/>
                <w:highlight w:val="none"/>
                <w:lang w:val="en-US" w:eastAsia="zh-CN"/>
              </w:rPr>
              <w:t>堤防镇脚至堤顶的护坡上设置C25钢砼框格梁，框格梁尺寸为0.3*0.4m，框格梁内采用浆砌C25钢砼预制六棱块护坡。</w:t>
            </w:r>
          </w:p>
          <w:p w14:paraId="4A1E552B">
            <w:pPr>
              <w:pStyle w:val="21"/>
              <w:ind w:firstLine="480"/>
              <w:jc w:val="both"/>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石河镇石河镇段、双拱场段</w:t>
            </w:r>
            <w:r>
              <w:rPr>
                <w:color w:val="auto"/>
                <w:highlight w:val="none"/>
              </w:rPr>
              <w:t>护坡采用C25砼框格梁+</w:t>
            </w:r>
            <w:r>
              <w:rPr>
                <w:rFonts w:hint="eastAsia"/>
                <w:color w:val="auto"/>
                <w:highlight w:val="none"/>
              </w:rPr>
              <w:t>预制</w:t>
            </w:r>
            <w:r>
              <w:rPr>
                <w:color w:val="auto"/>
                <w:highlight w:val="none"/>
              </w:rPr>
              <w:t>六棱块+麦冬护坡</w:t>
            </w:r>
            <w:r>
              <w:rPr>
                <w:rFonts w:hint="default" w:ascii="Times New Roman" w:hAnsi="Times New Roman" w:eastAsia="宋体" w:cs="Times New Roman"/>
                <w:color w:val="auto"/>
                <w:highlight w:val="none"/>
                <w:lang w:val="en-US" w:eastAsia="zh-CN"/>
              </w:rPr>
              <w:t>。</w:t>
            </w:r>
          </w:p>
          <w:p w14:paraId="355BA631">
            <w:pPr>
              <w:ind w:firstLine="480"/>
              <w:rPr>
                <w:color w:val="auto"/>
                <w:szCs w:val="22"/>
                <w:highlight w:val="none"/>
              </w:rPr>
            </w:pPr>
            <w:r>
              <w:rPr>
                <w:rFonts w:hint="eastAsia"/>
                <w:color w:val="auto"/>
                <w:szCs w:val="22"/>
                <w:highlight w:val="none"/>
                <w:lang w:val="en-US" w:eastAsia="zh-CN"/>
              </w:rPr>
              <w:t>麦冬护坡：采用</w:t>
            </w:r>
            <w:r>
              <w:rPr>
                <w:rFonts w:hint="eastAsia"/>
                <w:color w:val="auto"/>
                <w:szCs w:val="22"/>
                <w:highlight w:val="none"/>
              </w:rPr>
              <w:t>种植土覆盖</w:t>
            </w:r>
            <w:r>
              <w:rPr>
                <w:rFonts w:hint="eastAsia"/>
                <w:color w:val="auto"/>
                <w:szCs w:val="22"/>
                <w:highlight w:val="none"/>
                <w:lang w:eastAsia="zh-CN"/>
              </w:rPr>
              <w:t>。</w:t>
            </w:r>
            <w:r>
              <w:rPr>
                <w:rFonts w:hint="eastAsia"/>
                <w:color w:val="auto"/>
                <w:szCs w:val="22"/>
                <w:highlight w:val="none"/>
              </w:rPr>
              <w:t>坡面土石回填完毕，将种植土均匀覆盖于坡面上，种植土用人工胶轮车从临时堆料场运出，运距1.0km。</w:t>
            </w:r>
          </w:p>
          <w:p w14:paraId="18038291">
            <w:pPr>
              <w:ind w:firstLine="480"/>
              <w:rPr>
                <w:color w:val="auto"/>
                <w:szCs w:val="22"/>
                <w:highlight w:val="none"/>
              </w:rPr>
            </w:pPr>
            <w:r>
              <w:rPr>
                <w:rFonts w:hint="eastAsia"/>
                <w:color w:val="auto"/>
                <w:szCs w:val="22"/>
                <w:highlight w:val="none"/>
              </w:rPr>
              <w:t>草皮铺设采用种植草法。按1:2的比例散铺即2m</w:t>
            </w:r>
            <w:r>
              <w:rPr>
                <w:rFonts w:hint="eastAsia"/>
                <w:color w:val="auto"/>
                <w:szCs w:val="22"/>
                <w:highlight w:val="none"/>
                <w:vertAlign w:val="superscript"/>
              </w:rPr>
              <w:t>2</w:t>
            </w:r>
            <w:r>
              <w:rPr>
                <w:rFonts w:hint="eastAsia"/>
                <w:color w:val="auto"/>
                <w:szCs w:val="22"/>
                <w:highlight w:val="none"/>
              </w:rPr>
              <w:t>的坡面铺设1m</w:t>
            </w:r>
            <w:r>
              <w:rPr>
                <w:rFonts w:hint="eastAsia"/>
                <w:color w:val="auto"/>
                <w:szCs w:val="22"/>
                <w:highlight w:val="none"/>
                <w:vertAlign w:val="superscript"/>
              </w:rPr>
              <w:t>2</w:t>
            </w:r>
            <w:r>
              <w:rPr>
                <w:rFonts w:hint="eastAsia"/>
                <w:color w:val="auto"/>
                <w:szCs w:val="22"/>
                <w:highlight w:val="none"/>
              </w:rPr>
              <w:t>的草皮；施工期间及养护期间安排专职人员采用固岗或流动岗的形式加强对护坡的看管，减少人为破坏，提高草种的成活率；干旱季节采取洒水养护措施，保证撒播的草种有充足的水分；雨季和强降雨期间做好防雨布进行覆盖；加培的大堤土质成份单一，营养物质较少，采取施肥措施，保证草种有充足的营养，提高草种的成活率。</w:t>
            </w:r>
          </w:p>
          <w:p w14:paraId="07C9443E">
            <w:pPr>
              <w:pStyle w:val="21"/>
              <w:ind w:firstLine="48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③护脚</w:t>
            </w:r>
          </w:p>
          <w:p w14:paraId="2FAEBA38">
            <w:pPr>
              <w:pStyle w:val="21"/>
              <w:ind w:firstLine="48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设计资料，本项目对护脚采用大块石材料，块石料抗风化性能好，质地坚硬的岩石，无风化剥落和裂纹，外形大致呈方形；无尖角、薄边；厚度宜取20—30cm，石材表面的泥垢，水锈使用前应用水冲洗干净；饱和抗压强度不小于30MPa，容重不小于23KN/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，软化系数不小于0.75。</w:t>
            </w:r>
          </w:p>
          <w:p w14:paraId="5153C71E">
            <w:pPr>
              <w:pStyle w:val="21"/>
              <w:ind w:firstLine="48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fldChar w:fldCharType="begin"/>
            </w:r>
            <w:r>
              <w:rPr>
                <w:rFonts w:hint="default" w:ascii="Times New Roman" w:hAnsi="Times New Roman" w:eastAsia="宋体" w:cs="Times New Roman"/>
                <w:color w:val="auto"/>
                <w:highlight w:val="none"/>
                <w:lang w:val="en-US" w:eastAsia="zh-CN"/>
              </w:rPr>
              <w:instrText xml:space="preserve"> = 4 \* GB3 \* MERGEFORMAT </w:instrText>
            </w:r>
            <w:r>
              <w:rPr>
                <w:rFonts w:hint="default" w:ascii="Times New Roman" w:hAnsi="Times New Roman" w:eastAsia="宋体" w:cs="Times New Roman"/>
                <w:color w:val="auto"/>
                <w:highlight w:val="none"/>
                <w:lang w:val="en-US" w:eastAsia="zh-CN"/>
              </w:rPr>
              <w:fldChar w:fldCharType="separate"/>
            </w:r>
            <w:r>
              <w:rPr>
                <w:rFonts w:hint="default" w:ascii="Times New Roman" w:hAnsi="Times New Roman" w:cs="Times New Roman"/>
                <w:color w:val="auto"/>
                <w:highlight w:val="none"/>
              </w:rPr>
              <w:t>④</w:t>
            </w:r>
            <w:r>
              <w:rPr>
                <w:rFonts w:hint="default" w:ascii="Times New Roman" w:hAnsi="Times New Roman" w:eastAsia="宋体" w:cs="Times New Roman"/>
                <w:color w:val="auto"/>
                <w:highlight w:val="none"/>
                <w:lang w:val="en-US" w:eastAsia="zh-CN"/>
              </w:rPr>
              <w:fldChar w:fldCharType="end"/>
            </w:r>
            <w:r>
              <w:rPr>
                <w:rFonts w:hint="default" w:ascii="Times New Roman" w:hAnsi="Times New Roman" w:eastAsia="宋体" w:cs="Times New Roman"/>
                <w:color w:val="auto"/>
                <w:highlight w:val="none"/>
                <w:lang w:val="en-US" w:eastAsia="zh-CN"/>
              </w:rPr>
              <w:t>堤后背水坡设计</w:t>
            </w:r>
          </w:p>
          <w:p w14:paraId="7E1F9853">
            <w:pPr>
              <w:pStyle w:val="21"/>
              <w:ind w:firstLine="480"/>
              <w:jc w:val="both"/>
              <w:rPr>
                <w:rFonts w:hint="eastAsia"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本项目堤后为堤体填筑区</w:t>
            </w:r>
            <w:r>
              <w:rPr>
                <w:rFonts w:hint="eastAsia" w:ascii="Times New Roman" w:hAnsi="Times New Roman" w:eastAsia="宋体" w:cs="Times New Roman"/>
                <w:color w:val="auto"/>
                <w:highlight w:val="none"/>
                <w:lang w:val="en-US" w:eastAsia="zh-CN"/>
              </w:rPr>
              <w:t>域</w:t>
            </w:r>
            <w:r>
              <w:rPr>
                <w:rFonts w:hint="eastAsia" w:cs="Times New Roman"/>
                <w:color w:val="auto"/>
                <w:highlight w:val="none"/>
                <w:lang w:val="en-US" w:eastAsia="zh-CN"/>
              </w:rPr>
              <w:t>。</w:t>
            </w:r>
          </w:p>
          <w:p w14:paraId="5BC9249C">
            <w:pPr>
              <w:pStyle w:val="21"/>
              <w:ind w:firstLine="480"/>
              <w:jc w:val="both"/>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石河镇二郎、福兴段</w:t>
            </w:r>
            <w:r>
              <w:rPr>
                <w:rFonts w:hint="eastAsia" w:ascii="Times New Roman" w:hAnsi="Times New Roman" w:eastAsia="宋体" w:cs="Times New Roman"/>
                <w:color w:val="auto"/>
                <w:highlight w:val="none"/>
                <w:lang w:val="en-US" w:eastAsia="zh-CN"/>
              </w:rPr>
              <w:t>堤后背水坡高度在2m以内，背水坡的坡比按1:</w:t>
            </w:r>
            <w:r>
              <w:rPr>
                <w:rFonts w:hint="default"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设计。因为堤身回填而产生的部分河段堤后排涝问题通过在堤后新建排水渠，每隔400m~500m的低洼处埋设Φ300 PE管涵解决，为防止河水倒灌，穿堤管涵设置拍门。</w:t>
            </w:r>
          </w:p>
          <w:p w14:paraId="79B49825">
            <w:pPr>
              <w:pStyle w:val="21"/>
              <w:ind w:firstLine="480"/>
              <w:jc w:val="both"/>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石河镇石河镇段、双拱场段</w:t>
            </w:r>
            <w:r>
              <w:rPr>
                <w:color w:val="auto"/>
                <w:highlight w:val="none"/>
              </w:rPr>
              <w:t>堤后背水坡高度在3m以内，参照类似工程经验，背水坡的坡比按1:2设计，采用草皮护坡（台湾二号草皮）。因为堤身回填而产生的部分河段堤后排涝问题通过在堤后低洼处新建穿堤涵洞解决</w:t>
            </w:r>
            <w:r>
              <w:rPr>
                <w:rFonts w:hint="eastAsia" w:ascii="Times New Roman" w:hAnsi="Times New Roman" w:eastAsia="宋体" w:cs="Times New Roman"/>
                <w:color w:val="auto"/>
                <w:highlight w:val="none"/>
                <w:lang w:val="en-US" w:eastAsia="zh-CN"/>
              </w:rPr>
              <w:t>。</w:t>
            </w:r>
          </w:p>
          <w:p w14:paraId="28F86F34">
            <w:pPr>
              <w:numPr>
                <w:ilvl w:val="0"/>
                <w:numId w:val="3"/>
              </w:numPr>
              <w:ind w:left="0" w:leftChars="0" w:firstLine="482" w:firstLineChars="200"/>
              <w:rPr>
                <w:rFonts w:hint="eastAsia" w:cs="Times New Roman"/>
                <w:b/>
                <w:bCs/>
                <w:color w:val="auto"/>
                <w:highlight w:val="none"/>
                <w:lang w:val="en-US" w:eastAsia="zh-CN"/>
              </w:rPr>
            </w:pPr>
            <w:r>
              <w:rPr>
                <w:rFonts w:hint="eastAsia" w:cs="Times New Roman"/>
                <w:b/>
                <w:bCs/>
                <w:color w:val="auto"/>
                <w:highlight w:val="none"/>
                <w:lang w:val="en-US" w:eastAsia="zh-CN"/>
              </w:rPr>
              <w:t>排涝工程</w:t>
            </w:r>
          </w:p>
          <w:p w14:paraId="43656876">
            <w:pPr>
              <w:pStyle w:val="21"/>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auto"/>
                <w:highlight w:val="none"/>
                <w:lang w:eastAsia="zh-CN"/>
              </w:rPr>
            </w:pPr>
            <w:r>
              <w:rPr>
                <w:color w:val="auto"/>
                <w:highlight w:val="none"/>
              </w:rPr>
              <w:t>本</w:t>
            </w:r>
            <w:r>
              <w:rPr>
                <w:rFonts w:hint="eastAsia"/>
                <w:color w:val="auto"/>
                <w:highlight w:val="none"/>
                <w:lang w:val="en-US" w:eastAsia="zh-CN"/>
              </w:rPr>
              <w:t>项目</w:t>
            </w:r>
            <w:r>
              <w:rPr>
                <w:color w:val="auto"/>
                <w:highlight w:val="none"/>
              </w:rPr>
              <w:t>管涵设计</w:t>
            </w:r>
            <w:r>
              <w:rPr>
                <w:rFonts w:hint="eastAsia"/>
                <w:color w:val="auto"/>
                <w:highlight w:val="none"/>
              </w:rPr>
              <w:t>均用作堤后排水故</w:t>
            </w:r>
            <w:r>
              <w:rPr>
                <w:color w:val="auto"/>
                <w:highlight w:val="none"/>
              </w:rPr>
              <w:t>标准为</w:t>
            </w:r>
            <w:r>
              <w:rPr>
                <w:rFonts w:hint="eastAsia"/>
                <w:color w:val="auto"/>
                <w:highlight w:val="none"/>
              </w:rPr>
              <w:t>5</w:t>
            </w:r>
            <w:r>
              <w:rPr>
                <w:color w:val="auto"/>
                <w:highlight w:val="none"/>
              </w:rPr>
              <w:t>年一遇，均采用钢筋混凝土穿堤涵管排除洪水，按自由出流管涵设计</w:t>
            </w:r>
            <w:r>
              <w:rPr>
                <w:rFonts w:hint="eastAsia"/>
                <w:color w:val="auto"/>
                <w:highlight w:val="none"/>
                <w:lang w:eastAsia="zh-CN"/>
              </w:rPr>
              <w:t>。</w:t>
            </w:r>
          </w:p>
          <w:p w14:paraId="65CA01DC">
            <w:pPr>
              <w:pStyle w:val="21"/>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auto"/>
                <w:highlight w:val="none"/>
              </w:rPr>
            </w:pPr>
            <w:r>
              <w:rPr>
                <w:rFonts w:hint="eastAsia" w:cs="Times New Roman"/>
                <w:color w:val="auto"/>
                <w:highlight w:val="none"/>
                <w:lang w:val="en-US" w:eastAsia="zh-CN"/>
              </w:rPr>
              <w:t>石河镇二郎、福兴段</w:t>
            </w:r>
            <w:r>
              <w:rPr>
                <w:rFonts w:hint="eastAsia"/>
                <w:color w:val="auto"/>
                <w:highlight w:val="none"/>
                <w:lang w:eastAsia="zh-CN"/>
              </w:rPr>
              <w:t>在各段堤</w:t>
            </w:r>
            <w:r>
              <w:rPr>
                <w:rFonts w:hint="eastAsia"/>
                <w:color w:val="auto"/>
                <w:highlight w:val="none"/>
              </w:rPr>
              <w:t>防堤背后新建一条C20砼排水沟排涝，沟走向与堤背地势平行，从上往下游排至河道，二郎段排水沟为净空尺寸0..3*0.3m，壁厚为20cm的C20砼排水沟</w:t>
            </w:r>
            <w:r>
              <w:rPr>
                <w:rFonts w:hint="eastAsia"/>
                <w:color w:val="auto"/>
                <w:highlight w:val="none"/>
                <w:lang w:eastAsia="zh-CN"/>
              </w:rPr>
              <w:t>；</w:t>
            </w:r>
            <w:r>
              <w:rPr>
                <w:rFonts w:hint="eastAsia"/>
                <w:color w:val="auto"/>
                <w:highlight w:val="none"/>
              </w:rPr>
              <w:t>福兴段排水沟净空尺寸为0.3*0.3m，壁厚20cm的C20砼排水沟，平均每隔500m设Φ300PE管涵穿堤排入柳城河，堤内侧设拍门，防止河水倒灌</w:t>
            </w:r>
            <w:r>
              <w:rPr>
                <w:color w:val="auto"/>
                <w:highlight w:val="none"/>
              </w:rPr>
              <w:t>。</w:t>
            </w:r>
            <w:r>
              <w:rPr>
                <w:rFonts w:hint="eastAsia"/>
                <w:color w:val="auto"/>
                <w:highlight w:val="none"/>
              </w:rPr>
              <w:t>共涉及11处排涝管涵。</w:t>
            </w:r>
            <w:r>
              <w:rPr>
                <w:rFonts w:hint="eastAsia" w:cs="Times New Roman"/>
                <w:snapToGrid w:val="0"/>
                <w:color w:val="auto"/>
                <w:sz w:val="24"/>
                <w:szCs w:val="24"/>
                <w:highlight w:val="none"/>
                <w:lang w:val="en-US" w:eastAsia="zh-CN"/>
              </w:rPr>
              <w:t>其中，</w:t>
            </w:r>
            <w:r>
              <w:rPr>
                <w:rFonts w:hint="eastAsia" w:cs="Times New Roman"/>
                <w:color w:val="auto"/>
                <w:sz w:val="24"/>
                <w:szCs w:val="24"/>
                <w:highlight w:val="none"/>
                <w:lang w:val="en-US" w:eastAsia="zh-CN"/>
              </w:rPr>
              <w:t>二郎段新建</w:t>
            </w:r>
            <w:r>
              <w:rPr>
                <w:rFonts w:hint="default"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处</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福兴段新建5处。</w:t>
            </w:r>
          </w:p>
          <w:p w14:paraId="4D388D1E">
            <w:pPr>
              <w:pStyle w:val="21"/>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eastAsia"/>
                <w:color w:val="auto"/>
                <w:highlight w:val="none"/>
              </w:rPr>
            </w:pPr>
            <w:r>
              <w:rPr>
                <w:rFonts w:hint="eastAsia"/>
                <w:color w:val="auto"/>
                <w:highlight w:val="none"/>
                <w:lang w:val="en-US" w:eastAsia="zh-CN"/>
              </w:rPr>
              <w:t>石河镇石河镇段、双拱场段管涵</w:t>
            </w:r>
            <w:r>
              <w:rPr>
                <w:rFonts w:hint="eastAsia" w:eastAsia="宋体"/>
                <w:color w:val="auto"/>
                <w:highlight w:val="none"/>
                <w:lang w:val="en-US" w:eastAsia="zh-CN"/>
              </w:rPr>
              <w:t>规格为Φ500 II级钢筋砼管涵</w:t>
            </w:r>
            <w:r>
              <w:rPr>
                <w:rFonts w:hint="default" w:eastAsia="宋体"/>
                <w:color w:val="auto"/>
                <w:highlight w:val="none"/>
                <w:lang w:val="en-US" w:eastAsia="zh-CN"/>
              </w:rPr>
              <w:t>。</w:t>
            </w:r>
            <w:r>
              <w:rPr>
                <w:rFonts w:hint="eastAsia" w:eastAsia="宋体"/>
                <w:color w:val="auto"/>
                <w:highlight w:val="none"/>
                <w:lang w:val="en-US" w:eastAsia="zh-CN"/>
              </w:rPr>
              <w:t>共涉及15处排涝管涵，其中，石河镇段新建8处，双拱场新建7处。</w:t>
            </w:r>
          </w:p>
          <w:p w14:paraId="75BFF495">
            <w:pPr>
              <w:numPr>
                <w:ilvl w:val="0"/>
                <w:numId w:val="3"/>
              </w:numPr>
              <w:ind w:left="0" w:leftChars="0" w:firstLine="482" w:firstLineChars="200"/>
              <w:rPr>
                <w:rFonts w:hint="eastAsia" w:cs="Times New Roman"/>
                <w:b/>
                <w:bCs/>
                <w:color w:val="auto"/>
                <w:highlight w:val="none"/>
                <w:lang w:val="en-US" w:eastAsia="zh-CN"/>
              </w:rPr>
            </w:pPr>
            <w:r>
              <w:rPr>
                <w:rFonts w:hint="eastAsia" w:cs="Times New Roman"/>
                <w:b/>
                <w:bCs/>
                <w:color w:val="auto"/>
                <w:highlight w:val="none"/>
                <w:lang w:val="en-US" w:eastAsia="zh-CN"/>
              </w:rPr>
              <w:t>围堰拆除</w:t>
            </w:r>
          </w:p>
          <w:p w14:paraId="47C01633">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cs="Times New Roman"/>
                <w:snapToGrid w:val="0"/>
                <w:color w:val="auto"/>
                <w:kern w:val="0"/>
                <w:sz w:val="24"/>
                <w:szCs w:val="24"/>
                <w:highlight w:val="none"/>
                <w:lang w:val="en-US" w:eastAsia="zh-CN" w:bidi="ar"/>
              </w:rPr>
            </w:pPr>
            <w:r>
              <w:rPr>
                <w:rFonts w:hint="eastAsia" w:cs="Times New Roman"/>
                <w:color w:val="auto"/>
                <w:highlight w:val="none"/>
                <w:lang w:val="en-US" w:eastAsia="zh-CN"/>
              </w:rPr>
              <w:t>排涝工程结束后，人工</w:t>
            </w:r>
            <w:r>
              <w:rPr>
                <w:rFonts w:hint="default"/>
                <w:color w:val="auto"/>
                <w:sz w:val="24"/>
                <w:highlight w:val="none"/>
                <w:lang w:val="en-US" w:eastAsia="zh-CN"/>
              </w:rPr>
              <w:t>拆除围堰</w:t>
            </w:r>
            <w:r>
              <w:rPr>
                <w:rFonts w:hint="eastAsia"/>
                <w:color w:val="auto"/>
                <w:sz w:val="24"/>
                <w:highlight w:val="none"/>
                <w:lang w:val="en-US" w:eastAsia="zh-CN"/>
              </w:rPr>
              <w:t>，</w:t>
            </w:r>
            <w:r>
              <w:rPr>
                <w:rFonts w:hint="default" w:ascii="Times New Roman" w:hAnsi="Times New Roman" w:eastAsia="宋体" w:cs="Times New Roman"/>
                <w:color w:val="auto"/>
                <w:highlight w:val="none"/>
                <w:lang w:val="en-US" w:eastAsia="zh-CN"/>
              </w:rPr>
              <w:t>恢复河床；</w:t>
            </w:r>
            <w:r>
              <w:rPr>
                <w:rFonts w:hint="default" w:ascii="Times New Roman" w:hAnsi="Times New Roman" w:eastAsia="宋体" w:cs="Times New Roman"/>
                <w:snapToGrid w:val="0"/>
                <w:color w:val="auto"/>
                <w:kern w:val="0"/>
                <w:sz w:val="24"/>
                <w:szCs w:val="24"/>
                <w:highlight w:val="none"/>
                <w:lang w:val="en-US" w:eastAsia="zh-CN" w:bidi="ar"/>
              </w:rPr>
              <w:t>围堰拆除产生的土石方尽快回填，禁止堆放至河边影响河道水质</w:t>
            </w:r>
            <w:r>
              <w:rPr>
                <w:rFonts w:hint="eastAsia" w:cs="Times New Roman"/>
                <w:snapToGrid w:val="0"/>
                <w:color w:val="auto"/>
                <w:kern w:val="0"/>
                <w:sz w:val="24"/>
                <w:szCs w:val="24"/>
                <w:highlight w:val="none"/>
                <w:lang w:val="en-US" w:eastAsia="zh-CN" w:bidi="ar"/>
              </w:rPr>
              <w:t>。</w:t>
            </w:r>
          </w:p>
          <w:p w14:paraId="1C38293C">
            <w:pPr>
              <w:numPr>
                <w:ilvl w:val="0"/>
                <w:numId w:val="3"/>
              </w:numPr>
              <w:ind w:left="0" w:leftChars="0" w:firstLine="482" w:firstLineChars="200"/>
              <w:rPr>
                <w:rFonts w:hint="eastAsia" w:cs="Times New Roman"/>
                <w:b/>
                <w:bCs/>
                <w:color w:val="auto"/>
                <w:highlight w:val="none"/>
                <w:lang w:val="en-US" w:eastAsia="zh-CN"/>
              </w:rPr>
            </w:pPr>
            <w:r>
              <w:rPr>
                <w:rFonts w:hint="eastAsia" w:cs="Times New Roman"/>
                <w:b/>
                <w:bCs/>
                <w:color w:val="auto"/>
                <w:highlight w:val="none"/>
                <w:lang w:val="en-US" w:eastAsia="zh-CN"/>
              </w:rPr>
              <w:t>岸坡清理工程</w:t>
            </w:r>
          </w:p>
          <w:p w14:paraId="27CC35B6">
            <w:pPr>
              <w:pStyle w:val="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Times New Roman" w:hAnsi="Times New Roman" w:eastAsia="宋体"/>
                <w:b/>
                <w:color w:val="auto"/>
                <w:sz w:val="24"/>
                <w:highlight w:val="none"/>
                <w:lang w:val="en-US" w:eastAsia="zh-CN"/>
              </w:rPr>
            </w:pPr>
            <w:r>
              <w:rPr>
                <w:rFonts w:hint="eastAsia"/>
                <w:color w:val="auto"/>
                <w:highlight w:val="none"/>
                <w:lang w:val="en-US" w:eastAsia="zh-CN"/>
              </w:rPr>
              <w:t>石河镇石河镇段及双拱场段</w:t>
            </w:r>
            <w:r>
              <w:rPr>
                <w:rFonts w:hint="eastAsia"/>
                <w:color w:val="auto"/>
                <w:highlight w:val="none"/>
              </w:rPr>
              <w:t>除新</w:t>
            </w:r>
            <w:r>
              <w:rPr>
                <w:color w:val="auto"/>
                <w:highlight w:val="none"/>
              </w:rPr>
              <w:t>建护岸段以外河岸，主要河道两侧存在多</w:t>
            </w:r>
            <w:r>
              <w:rPr>
                <w:rFonts w:hint="eastAsia"/>
                <w:color w:val="auto"/>
                <w:highlight w:val="none"/>
                <w:lang w:eastAsia="zh-CN"/>
              </w:rPr>
              <w:t>处生活垃圾、建筑弃渣</w:t>
            </w:r>
            <w:r>
              <w:rPr>
                <w:color w:val="auto"/>
                <w:highlight w:val="none"/>
              </w:rPr>
              <w:t>等杂物，针对河岸上各种杂物进行清理。共清理河岸总长5436m，石河镇段长2786m（左岸1992m</w:t>
            </w:r>
            <w:r>
              <w:rPr>
                <w:rFonts w:hint="eastAsia"/>
                <w:color w:val="auto"/>
                <w:highlight w:val="none"/>
                <w:lang w:eastAsia="zh-CN"/>
              </w:rPr>
              <w:t>、</w:t>
            </w:r>
            <w:r>
              <w:rPr>
                <w:color w:val="auto"/>
                <w:highlight w:val="none"/>
              </w:rPr>
              <w:t>右岸317m）、双拱场段长2650m（左岸1582m</w:t>
            </w:r>
            <w:r>
              <w:rPr>
                <w:rFonts w:hint="eastAsia"/>
                <w:color w:val="auto"/>
                <w:highlight w:val="none"/>
                <w:lang w:eastAsia="zh-CN"/>
              </w:rPr>
              <w:t>、</w:t>
            </w:r>
            <w:r>
              <w:rPr>
                <w:color w:val="auto"/>
                <w:highlight w:val="none"/>
              </w:rPr>
              <w:t>右岸1453m）</w:t>
            </w:r>
            <w:r>
              <w:rPr>
                <w:rFonts w:hint="eastAsia"/>
                <w:color w:val="auto"/>
                <w:highlight w:val="none"/>
                <w:lang w:eastAsia="zh-CN"/>
              </w:rPr>
              <w:t>。</w:t>
            </w:r>
          </w:p>
          <w:p w14:paraId="35B7A9B0">
            <w:pPr>
              <w:pStyle w:val="4"/>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cs="Times New Roman"/>
                <w:snapToGrid w:val="0"/>
                <w:color w:val="auto"/>
                <w:kern w:val="0"/>
                <w:sz w:val="24"/>
                <w:szCs w:val="24"/>
                <w:highlight w:val="none"/>
                <w:lang w:val="en-US" w:eastAsia="zh-CN" w:bidi="ar"/>
              </w:rPr>
            </w:pPr>
            <w:r>
              <w:rPr>
                <w:rFonts w:hint="eastAsia"/>
                <w:color w:val="auto"/>
                <w:highlight w:val="none"/>
                <w:lang w:val="en-US" w:eastAsia="zh-CN"/>
              </w:rPr>
              <w:t>岸坡清理过程的</w:t>
            </w:r>
            <w:r>
              <w:rPr>
                <w:rFonts w:hint="eastAsia" w:eastAsia="宋体"/>
                <w:b w:val="0"/>
                <w:bCs w:val="0"/>
                <w:color w:val="auto"/>
                <w:highlight w:val="none"/>
                <w:lang w:val="en-US" w:eastAsia="zh-CN"/>
              </w:rPr>
              <w:t>生活垃圾交</w:t>
            </w:r>
            <w:r>
              <w:rPr>
                <w:rFonts w:hint="default" w:eastAsia="宋体"/>
                <w:b w:val="0"/>
                <w:bCs w:val="0"/>
                <w:color w:val="auto"/>
                <w:highlight w:val="none"/>
                <w:lang w:val="en-US" w:eastAsia="zh-CN"/>
              </w:rPr>
              <w:t>由环卫部门清运</w:t>
            </w:r>
            <w:r>
              <w:rPr>
                <w:rFonts w:hint="eastAsia" w:eastAsia="宋体"/>
                <w:b w:val="0"/>
                <w:bCs w:val="0"/>
                <w:color w:val="auto"/>
                <w:highlight w:val="none"/>
                <w:lang w:val="en-US" w:eastAsia="zh-CN"/>
              </w:rPr>
              <w:t>，建筑废渣</w:t>
            </w:r>
            <w:r>
              <w:rPr>
                <w:rFonts w:hint="default" w:eastAsia="宋体"/>
                <w:b w:val="0"/>
                <w:bCs w:val="0"/>
                <w:color w:val="auto"/>
                <w:highlight w:val="none"/>
                <w:lang w:val="en-US" w:eastAsia="zh-CN"/>
              </w:rPr>
              <w:t>作为弃渣运往市政规划的弃渣场</w:t>
            </w:r>
            <w:r>
              <w:rPr>
                <w:rFonts w:hint="eastAsia" w:eastAsia="宋体"/>
                <w:b w:val="0"/>
                <w:bCs w:val="0"/>
                <w:color w:val="auto"/>
                <w:highlight w:val="none"/>
                <w:lang w:val="en-US" w:eastAsia="zh-CN"/>
              </w:rPr>
              <w:t>。</w:t>
            </w:r>
          </w:p>
          <w:p w14:paraId="39996ED5">
            <w:pPr>
              <w:numPr>
                <w:ilvl w:val="0"/>
                <w:numId w:val="0"/>
              </w:numPr>
              <w:ind w:leftChars="20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eastAsia="zh-CN"/>
              </w:rPr>
              <w:t>（</w:t>
            </w:r>
            <w:r>
              <w:rPr>
                <w:rFonts w:hint="eastAsia" w:cs="Times New Roman"/>
                <w:b/>
                <w:bCs/>
                <w:color w:val="auto"/>
                <w:highlight w:val="none"/>
                <w:lang w:val="en-US" w:eastAsia="zh-CN"/>
              </w:rPr>
              <w:t>9</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下河梯步</w:t>
            </w:r>
            <w:r>
              <w:rPr>
                <w:rFonts w:hint="default" w:ascii="Times New Roman" w:hAnsi="Times New Roman" w:cs="Times New Roman"/>
                <w:b/>
                <w:bCs/>
                <w:color w:val="auto"/>
                <w:highlight w:val="none"/>
                <w:lang w:val="en-US" w:eastAsia="zh-CN"/>
              </w:rPr>
              <w:t>建设</w:t>
            </w:r>
          </w:p>
          <w:p w14:paraId="1D43AE2F">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val="0"/>
                <w:bCs w:val="0"/>
                <w:color w:val="auto"/>
                <w:highlight w:val="none"/>
                <w:lang w:val="en-US" w:eastAsia="zh-CN"/>
              </w:rPr>
            </w:pPr>
            <w:r>
              <w:rPr>
                <w:rFonts w:hint="eastAsia" w:cs="Times New Roman"/>
                <w:b w:val="0"/>
                <w:bCs w:val="0"/>
                <w:snapToGrid w:val="0"/>
                <w:color w:val="auto"/>
                <w:sz w:val="24"/>
                <w:szCs w:val="22"/>
                <w:highlight w:val="none"/>
                <w:lang w:val="en-US" w:eastAsia="zh-CN" w:bidi="ar-SA"/>
              </w:rPr>
              <w:t>石河镇二郎、福兴段</w:t>
            </w:r>
            <w:r>
              <w:rPr>
                <w:color w:val="auto"/>
                <w:highlight w:val="none"/>
              </w:rPr>
              <w:t>在新建</w:t>
            </w:r>
            <w:r>
              <w:rPr>
                <w:rFonts w:hint="eastAsia"/>
                <w:color w:val="auto"/>
                <w:highlight w:val="none"/>
              </w:rPr>
              <w:t>堤防处</w:t>
            </w:r>
            <w:r>
              <w:rPr>
                <w:color w:val="auto"/>
                <w:highlight w:val="none"/>
              </w:rPr>
              <w:t>间隔</w:t>
            </w:r>
            <w:r>
              <w:rPr>
                <w:rFonts w:hint="eastAsia"/>
                <w:color w:val="auto"/>
                <w:highlight w:val="none"/>
              </w:rPr>
              <w:t>300</w:t>
            </w:r>
            <w:r>
              <w:rPr>
                <w:color w:val="auto"/>
                <w:highlight w:val="none"/>
              </w:rPr>
              <w:t>m左右新建下河梯步，共新建梯步</w:t>
            </w:r>
            <w:r>
              <w:rPr>
                <w:rFonts w:hint="eastAsia"/>
                <w:color w:val="auto"/>
                <w:highlight w:val="none"/>
              </w:rPr>
              <w:t>10处</w:t>
            </w:r>
            <w:r>
              <w:rPr>
                <w:color w:val="auto"/>
                <w:highlight w:val="none"/>
              </w:rPr>
              <w:t>。</w:t>
            </w:r>
            <w:r>
              <w:rPr>
                <w:rFonts w:hint="eastAsia"/>
                <w:color w:val="auto"/>
                <w:highlight w:val="none"/>
              </w:rPr>
              <w:t>梯步</w:t>
            </w:r>
            <w:r>
              <w:rPr>
                <w:color w:val="auto"/>
                <w:highlight w:val="none"/>
              </w:rPr>
              <w:t>宽</w:t>
            </w:r>
            <w:r>
              <w:rPr>
                <w:rFonts w:hint="eastAsia"/>
                <w:color w:val="auto"/>
                <w:highlight w:val="none"/>
              </w:rPr>
              <w:t>2</w:t>
            </w:r>
            <w:r>
              <w:rPr>
                <w:color w:val="auto"/>
                <w:highlight w:val="none"/>
              </w:rPr>
              <w:t>m</w:t>
            </w:r>
            <w:r>
              <w:rPr>
                <w:rFonts w:hint="default" w:ascii="Times New Roman" w:hAnsi="Times New Roman" w:eastAsia="宋体" w:cs="Times New Roman"/>
                <w:b w:val="0"/>
                <w:bCs w:val="0"/>
                <w:color w:val="auto"/>
                <w:highlight w:val="none"/>
                <w:lang w:val="en-US" w:eastAsia="zh-CN"/>
              </w:rPr>
              <w:t>，采用</w:t>
            </w:r>
            <w:r>
              <w:rPr>
                <w:rFonts w:hint="eastAsia" w:ascii="Times New Roman" w:hAnsi="Times New Roman" w:eastAsia="宋体" w:cs="Times New Roman"/>
                <w:b w:val="0"/>
                <w:bCs w:val="0"/>
                <w:color w:val="auto"/>
                <w:highlight w:val="none"/>
                <w:lang w:val="en-US" w:eastAsia="zh-CN"/>
              </w:rPr>
              <w:t>C25砼</w:t>
            </w:r>
            <w:r>
              <w:rPr>
                <w:rFonts w:hint="default" w:ascii="Times New Roman" w:hAnsi="Times New Roman" w:eastAsia="宋体" w:cs="Times New Roman"/>
                <w:b w:val="0"/>
                <w:bCs w:val="0"/>
                <w:color w:val="auto"/>
                <w:highlight w:val="none"/>
                <w:lang w:val="en-US" w:eastAsia="zh-CN"/>
              </w:rPr>
              <w:t>现浇，下设</w:t>
            </w:r>
            <w:r>
              <w:rPr>
                <w:rFonts w:hint="eastAsia" w:ascii="Times New Roman" w:hAnsi="Times New Roman" w:eastAsia="宋体" w:cs="Times New Roman"/>
                <w:b w:val="0"/>
                <w:bCs w:val="0"/>
                <w:color w:val="auto"/>
                <w:highlight w:val="none"/>
                <w:lang w:val="en-US" w:eastAsia="zh-CN"/>
              </w:rPr>
              <w:t>20</w:t>
            </w:r>
            <w:r>
              <w:rPr>
                <w:rFonts w:hint="default" w:ascii="Times New Roman" w:hAnsi="Times New Roman" w:eastAsia="宋体" w:cs="Times New Roman"/>
                <w:b w:val="0"/>
                <w:bCs w:val="0"/>
                <w:color w:val="auto"/>
                <w:highlight w:val="none"/>
                <w:lang w:val="en-US" w:eastAsia="zh-CN"/>
              </w:rPr>
              <w:t>cm厚碎石垫层。</w:t>
            </w:r>
          </w:p>
          <w:p w14:paraId="12F39B2D">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bCs/>
                <w:color w:val="auto"/>
                <w:szCs w:val="32"/>
                <w:highlight w:val="none"/>
              </w:rPr>
            </w:pPr>
            <w:r>
              <w:rPr>
                <w:rFonts w:hint="eastAsia" w:cs="Times New Roman"/>
                <w:color w:val="auto"/>
                <w:highlight w:val="none"/>
                <w:lang w:val="en-US" w:eastAsia="zh-CN"/>
              </w:rPr>
              <w:t>石河镇石河镇段、双拱场段</w:t>
            </w:r>
            <w:r>
              <w:rPr>
                <w:color w:val="auto"/>
                <w:highlight w:val="none"/>
              </w:rPr>
              <w:t>在新建护岸段间隔200m左右新建下河梯步，共新建梯步20处。梯步宽2m，采用C25砼现浇，下设10cm厚碎石垫层</w:t>
            </w:r>
            <w:r>
              <w:rPr>
                <w:rFonts w:hint="default" w:ascii="Times New Roman" w:hAnsi="Times New Roman" w:cs="Times New Roman"/>
                <w:bCs/>
                <w:color w:val="auto"/>
                <w:szCs w:val="32"/>
                <w:highlight w:val="none"/>
              </w:rPr>
              <w:t>。</w:t>
            </w:r>
          </w:p>
          <w:p w14:paraId="736AF8A3">
            <w:pPr>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firstLine="482" w:firstLineChars="200"/>
              <w:textAlignment w:val="auto"/>
              <w:outlineLvl w:val="9"/>
              <w:rPr>
                <w:rFonts w:hint="eastAsia" w:ascii="Times New Roman" w:hAnsi="Times New Roman" w:eastAsia="宋体" w:cs="Times New Roman"/>
                <w:b/>
                <w:bCs/>
                <w:snapToGrid w:val="0"/>
                <w:color w:val="auto"/>
                <w:sz w:val="24"/>
                <w:szCs w:val="22"/>
                <w:highlight w:val="none"/>
                <w:lang w:val="en-US" w:eastAsia="zh-CN" w:bidi="ar-SA"/>
              </w:rPr>
            </w:pPr>
            <w:r>
              <w:rPr>
                <w:rFonts w:hint="eastAsia" w:ascii="Times New Roman" w:hAnsi="Times New Roman" w:eastAsia="宋体" w:cs="Times New Roman"/>
                <w:b/>
                <w:bCs/>
                <w:snapToGrid w:val="0"/>
                <w:color w:val="auto"/>
                <w:sz w:val="24"/>
                <w:szCs w:val="22"/>
                <w:highlight w:val="none"/>
                <w:lang w:val="en-US" w:eastAsia="zh-CN" w:bidi="ar-SA"/>
              </w:rPr>
              <w:t>（</w:t>
            </w:r>
            <w:r>
              <w:rPr>
                <w:rFonts w:hint="eastAsia" w:cs="Times New Roman"/>
                <w:b/>
                <w:bCs/>
                <w:snapToGrid w:val="0"/>
                <w:color w:val="auto"/>
                <w:sz w:val="24"/>
                <w:szCs w:val="22"/>
                <w:highlight w:val="none"/>
                <w:lang w:val="en-US" w:eastAsia="zh-CN" w:bidi="ar-SA"/>
              </w:rPr>
              <w:t>10</w:t>
            </w:r>
            <w:r>
              <w:rPr>
                <w:rFonts w:hint="eastAsia" w:ascii="Times New Roman" w:hAnsi="Times New Roman" w:eastAsia="宋体" w:cs="Times New Roman"/>
                <w:b/>
                <w:bCs/>
                <w:snapToGrid w:val="0"/>
                <w:color w:val="auto"/>
                <w:sz w:val="24"/>
                <w:szCs w:val="22"/>
                <w:highlight w:val="none"/>
                <w:lang w:val="en-US" w:eastAsia="zh-CN" w:bidi="ar-SA"/>
              </w:rPr>
              <w:t>）安全警示牌</w:t>
            </w:r>
          </w:p>
          <w:p w14:paraId="33A0AC1E">
            <w:pPr>
              <w:pStyle w:val="21"/>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color w:val="auto"/>
                <w:highlight w:val="none"/>
                <w:lang w:val="en-US" w:eastAsia="zh-CN"/>
              </w:rPr>
            </w:pPr>
            <w:r>
              <w:rPr>
                <w:rFonts w:hint="eastAsia" w:cs="Times New Roman"/>
                <w:b w:val="0"/>
                <w:bCs w:val="0"/>
                <w:color w:val="auto"/>
                <w:highlight w:val="none"/>
                <w:lang w:val="en-US" w:eastAsia="zh-CN"/>
              </w:rPr>
              <w:t>二郎、福兴段</w:t>
            </w:r>
            <w:r>
              <w:rPr>
                <w:rFonts w:hint="eastAsia" w:ascii="Times New Roman" w:hAnsi="Times New Roman" w:eastAsia="宋体" w:cs="Times New Roman"/>
                <w:b w:val="0"/>
                <w:bCs w:val="0"/>
                <w:color w:val="auto"/>
                <w:highlight w:val="none"/>
                <w:lang w:val="en-US" w:eastAsia="zh-CN"/>
              </w:rPr>
              <w:t>共安装8块</w:t>
            </w:r>
            <w:r>
              <w:rPr>
                <w:rFonts w:hint="default" w:ascii="Times New Roman" w:hAnsi="Times New Roman" w:eastAsia="宋体" w:cs="Times New Roman"/>
                <w:b w:val="0"/>
                <w:bCs w:val="0"/>
                <w:color w:val="auto"/>
                <w:highlight w:val="none"/>
                <w:lang w:val="en-US" w:eastAsia="zh-CN"/>
              </w:rPr>
              <w:t>安全警示牌</w:t>
            </w:r>
            <w:r>
              <w:rPr>
                <w:rFonts w:hint="eastAsia" w:cs="Times New Roman"/>
                <w:b w:val="0"/>
                <w:bCs w:val="0"/>
                <w:color w:val="auto"/>
                <w:highlight w:val="none"/>
                <w:lang w:val="en-US" w:eastAsia="zh-CN"/>
              </w:rPr>
              <w:t>，石河镇段、双拱场段</w:t>
            </w:r>
            <w:r>
              <w:rPr>
                <w:rFonts w:hint="eastAsia" w:ascii="Times New Roman" w:hAnsi="Times New Roman" w:eastAsia="宋体" w:cs="Times New Roman"/>
                <w:b w:val="0"/>
                <w:bCs w:val="0"/>
                <w:color w:val="auto"/>
                <w:highlight w:val="none"/>
                <w:lang w:val="en-US" w:eastAsia="zh-CN"/>
              </w:rPr>
              <w:t>共安装</w:t>
            </w:r>
            <w:r>
              <w:rPr>
                <w:rFonts w:hint="eastAsia" w:cs="Times New Roman"/>
                <w:b w:val="0"/>
                <w:bCs w:val="0"/>
                <w:color w:val="auto"/>
                <w:highlight w:val="none"/>
                <w:lang w:val="en-US" w:eastAsia="zh-CN"/>
              </w:rPr>
              <w:t>4块安全警示牌</w:t>
            </w:r>
            <w:r>
              <w:rPr>
                <w:rFonts w:hint="default" w:ascii="Times New Roman" w:hAnsi="Times New Roman" w:eastAsia="宋体" w:cs="Times New Roman"/>
                <w:b w:val="0"/>
                <w:bCs w:val="0"/>
                <w:color w:val="auto"/>
                <w:highlight w:val="none"/>
                <w:lang w:val="en-US" w:eastAsia="zh-CN"/>
              </w:rPr>
              <w:t>。</w:t>
            </w:r>
          </w:p>
          <w:p w14:paraId="0E39E6EC">
            <w:pPr>
              <w:numPr>
                <w:ilvl w:val="0"/>
                <w:numId w:val="0"/>
              </w:numPr>
              <w:ind w:left="480" w:left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eastAsia="zh-CN"/>
              </w:rPr>
              <w:t>（</w:t>
            </w:r>
            <w:r>
              <w:rPr>
                <w:rFonts w:hint="eastAsia" w:cs="Times New Roman"/>
                <w:b/>
                <w:bCs/>
                <w:color w:val="auto"/>
                <w:highlight w:val="none"/>
                <w:lang w:val="en-US" w:eastAsia="zh-CN"/>
              </w:rPr>
              <w:t>11</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疏浚工程施工</w:t>
            </w:r>
          </w:p>
          <w:p w14:paraId="50004524">
            <w:pPr>
              <w:ind w:firstLine="480"/>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1 \* GB3 \* MERGEFORMAT </w:instrText>
            </w:r>
            <w:r>
              <w:rPr>
                <w:rFonts w:hint="eastAsia"/>
                <w:color w:val="auto"/>
                <w:highlight w:val="none"/>
                <w:lang w:val="en-US" w:eastAsia="zh-CN"/>
              </w:rPr>
              <w:fldChar w:fldCharType="separate"/>
            </w:r>
            <w:r>
              <w:rPr>
                <w:color w:val="auto"/>
                <w:highlight w:val="none"/>
              </w:rPr>
              <w:t>①</w:t>
            </w:r>
            <w:r>
              <w:rPr>
                <w:rFonts w:hint="eastAsia"/>
                <w:color w:val="auto"/>
                <w:highlight w:val="none"/>
                <w:lang w:val="en-US" w:eastAsia="zh-CN"/>
              </w:rPr>
              <w:fldChar w:fldCharType="end"/>
            </w:r>
            <w:r>
              <w:rPr>
                <w:rFonts w:hint="eastAsia" w:cs="Times New Roman"/>
                <w:b w:val="0"/>
                <w:bCs w:val="0"/>
                <w:snapToGrid w:val="0"/>
                <w:color w:val="auto"/>
                <w:sz w:val="24"/>
                <w:szCs w:val="22"/>
                <w:highlight w:val="none"/>
                <w:lang w:val="en-US" w:eastAsia="zh-CN" w:bidi="ar-SA"/>
              </w:rPr>
              <w:t>石河镇二郎、福兴段</w:t>
            </w:r>
          </w:p>
          <w:p w14:paraId="4AE7ED07">
            <w:pPr>
              <w:ind w:firstLine="480"/>
              <w:rPr>
                <w:color w:val="auto"/>
                <w:highlight w:val="none"/>
              </w:rPr>
            </w:pPr>
            <w:r>
              <w:rPr>
                <w:rFonts w:hint="eastAsia"/>
                <w:color w:val="auto"/>
                <w:highlight w:val="none"/>
              </w:rPr>
              <w:t>清淤范围为本治理工程涉及的柳城河干流二郎社区和支流福兴社区河段范</w:t>
            </w:r>
            <w:r>
              <w:rPr>
                <w:rFonts w:hint="eastAsia" w:ascii="Times New Roman" w:hAnsi="Times New Roman" w:eastAsia="宋体" w:cs="Times New Roman"/>
                <w:color w:val="auto"/>
                <w:highlight w:val="none"/>
              </w:rPr>
              <w:t>围，清淤高程为设计河床高程，清淤长度为7.429km。</w:t>
            </w:r>
            <w:r>
              <w:rPr>
                <w:rFonts w:ascii="Times New Roman" w:hAnsi="Times New Roman" w:eastAsia="宋体" w:cs="Times New Roman"/>
                <w:color w:val="auto"/>
                <w:highlight w:val="none"/>
              </w:rPr>
              <w:t>清淤河段主要为二郎整治k0+000~k</w:t>
            </w:r>
            <w:r>
              <w:rPr>
                <w:rFonts w:hint="default" w:ascii="Times New Roman" w:hAnsi="Times New Roman" w:eastAsia="宋体" w:cs="Times New Roman"/>
                <w:color w:val="auto"/>
                <w:highlight w:val="none"/>
              </w:rPr>
              <w:t>5+</w:t>
            </w:r>
            <w:r>
              <w:rPr>
                <w:rFonts w:hint="default" w:ascii="Times New Roman" w:hAnsi="Times New Roman" w:eastAsia="宋体" w:cs="Times New Roman"/>
                <w:color w:val="auto"/>
                <w:highlight w:val="none"/>
                <w:lang w:val="en-US" w:eastAsia="zh-CN"/>
              </w:rPr>
              <w:t>634</w:t>
            </w:r>
            <w:r>
              <w:rPr>
                <w:rFonts w:ascii="Times New Roman" w:hAnsi="Times New Roman" w:eastAsia="宋体" w:cs="Times New Roman"/>
                <w:color w:val="auto"/>
                <w:highlight w:val="none"/>
              </w:rPr>
              <w:t>和</w:t>
            </w:r>
            <w:r>
              <w:rPr>
                <w:rFonts w:hint="eastAsia" w:cs="Times New Roman"/>
                <w:color w:val="auto"/>
                <w:highlight w:val="none"/>
                <w:lang w:eastAsia="zh-CN"/>
              </w:rPr>
              <w:t>福兴整治k0+000~k1+795</w:t>
            </w:r>
            <w:r>
              <w:rPr>
                <w:color w:val="auto"/>
                <w:highlight w:val="none"/>
              </w:rPr>
              <w:t>。</w:t>
            </w:r>
          </w:p>
          <w:p w14:paraId="3E6A4881">
            <w:pPr>
              <w:pStyle w:val="33"/>
              <w:ind w:firstLine="480"/>
              <w:rPr>
                <w:color w:val="auto"/>
                <w:highlight w:val="none"/>
              </w:rPr>
            </w:pPr>
            <w:r>
              <w:rPr>
                <w:color w:val="auto"/>
                <w:highlight w:val="none"/>
              </w:rPr>
              <w:t>二郎整治k0+000~</w:t>
            </w:r>
            <w:r>
              <w:rPr>
                <w:rFonts w:hint="eastAsia"/>
                <w:color w:val="auto"/>
                <w:highlight w:val="none"/>
                <w:lang w:eastAsia="zh-CN"/>
              </w:rPr>
              <w:t>k5+634</w:t>
            </w:r>
            <w:r>
              <w:rPr>
                <w:color w:val="auto"/>
                <w:highlight w:val="none"/>
              </w:rPr>
              <w:t>。长</w:t>
            </w:r>
            <w:r>
              <w:rPr>
                <w:rFonts w:hint="eastAsia"/>
                <w:color w:val="auto"/>
                <w:highlight w:val="none"/>
                <w:lang w:val="en-US" w:eastAsia="zh-CN"/>
              </w:rPr>
              <w:t>5634</w:t>
            </w:r>
            <w:r>
              <w:rPr>
                <w:color w:val="auto"/>
                <w:highlight w:val="none"/>
              </w:rPr>
              <w:t>m</w:t>
            </w:r>
            <w:r>
              <w:rPr>
                <w:rFonts w:hint="eastAsia"/>
                <w:color w:val="auto"/>
                <w:highlight w:val="none"/>
                <w:lang w:eastAsia="zh-CN"/>
              </w:rPr>
              <w:t>，</w:t>
            </w:r>
            <w:r>
              <w:rPr>
                <w:color w:val="auto"/>
                <w:highlight w:val="none"/>
              </w:rPr>
              <w:t>河宽25~30m</w:t>
            </w:r>
            <w:r>
              <w:rPr>
                <w:rFonts w:hint="eastAsia"/>
                <w:color w:val="auto"/>
                <w:highlight w:val="none"/>
                <w:lang w:eastAsia="zh-CN"/>
              </w:rPr>
              <w:t>。</w:t>
            </w:r>
            <w:r>
              <w:rPr>
                <w:color w:val="auto"/>
                <w:highlight w:val="none"/>
              </w:rPr>
              <w:t>乡村便道通至该河边段处，清淤机械和运输设备可就近下河作业。清淤在不影响河床稳定和岸坡稳定的情况下，</w:t>
            </w:r>
            <w:r>
              <w:rPr>
                <w:rFonts w:hint="eastAsia"/>
                <w:color w:val="auto"/>
                <w:highlight w:val="none"/>
                <w:lang w:eastAsia="zh-CN"/>
              </w:rPr>
              <w:t>平均清淤厚度0.50m，</w:t>
            </w:r>
            <w:r>
              <w:rPr>
                <w:rFonts w:hint="eastAsia"/>
                <w:color w:val="auto"/>
                <w:highlight w:val="none"/>
              </w:rPr>
              <w:t>清淤量为</w:t>
            </w:r>
            <w:r>
              <w:rPr>
                <w:rFonts w:hint="eastAsia"/>
                <w:color w:val="auto"/>
                <w:highlight w:val="none"/>
                <w:lang w:eastAsia="zh-CN"/>
              </w:rPr>
              <w:t>76059</w:t>
            </w:r>
            <w:r>
              <w:rPr>
                <w:color w:val="auto"/>
                <w:highlight w:val="none"/>
              </w:rPr>
              <w:t>m</w:t>
            </w:r>
            <w:r>
              <w:rPr>
                <w:color w:val="auto"/>
                <w:highlight w:val="none"/>
                <w:vertAlign w:val="superscript"/>
              </w:rPr>
              <w:t>3</w:t>
            </w:r>
            <w:r>
              <w:rPr>
                <w:color w:val="auto"/>
                <w:highlight w:val="none"/>
              </w:rPr>
              <w:t>。该段河床清淤纵向坡比1:10，横向坡比1:2.5~1:3，清淤边界离原始岸坡距离大于5m。</w:t>
            </w:r>
          </w:p>
          <w:p w14:paraId="59DFE80E">
            <w:pPr>
              <w:pStyle w:val="33"/>
              <w:ind w:firstLine="480"/>
              <w:rPr>
                <w:rFonts w:ascii="Times New Roman" w:hAnsi="Times New Roman" w:eastAsia="宋体" w:cs="Times New Roman"/>
                <w:color w:val="auto"/>
                <w:highlight w:val="none"/>
              </w:rPr>
            </w:pPr>
            <w:r>
              <w:rPr>
                <w:color w:val="auto"/>
                <w:highlight w:val="none"/>
              </w:rPr>
              <w:t>福兴清淤k0+000~</w:t>
            </w:r>
            <w:r>
              <w:rPr>
                <w:rFonts w:hint="eastAsia"/>
                <w:color w:val="auto"/>
                <w:highlight w:val="none"/>
                <w:lang w:eastAsia="zh-CN"/>
              </w:rPr>
              <w:t>k1+795</w:t>
            </w:r>
            <w:r>
              <w:rPr>
                <w:color w:val="auto"/>
                <w:highlight w:val="none"/>
              </w:rPr>
              <w:t>。长1795.00m</w:t>
            </w:r>
            <w:r>
              <w:rPr>
                <w:rFonts w:hint="eastAsia"/>
                <w:color w:val="auto"/>
                <w:highlight w:val="none"/>
                <w:lang w:eastAsia="zh-CN"/>
              </w:rPr>
              <w:t>，</w:t>
            </w:r>
            <w:r>
              <w:rPr>
                <w:color w:val="auto"/>
                <w:highlight w:val="none"/>
              </w:rPr>
              <w:t>河宽5~10m</w:t>
            </w:r>
            <w:r>
              <w:rPr>
                <w:rFonts w:hint="eastAsia"/>
                <w:color w:val="auto"/>
                <w:highlight w:val="none"/>
                <w:lang w:eastAsia="zh-CN"/>
              </w:rPr>
              <w:t>。</w:t>
            </w:r>
            <w:r>
              <w:rPr>
                <w:color w:val="auto"/>
                <w:highlight w:val="none"/>
              </w:rPr>
              <w:t>乡村便道通至该河边段处，清淤机械和运输设备可就近下河作业。清淤在不影响河床稳定和岸坡稳定的情况下，</w:t>
            </w:r>
            <w:r>
              <w:rPr>
                <w:rFonts w:hint="eastAsia"/>
                <w:color w:val="auto"/>
                <w:highlight w:val="none"/>
                <w:lang w:eastAsia="zh-CN"/>
              </w:rPr>
              <w:t>平均清淤厚度0.40m</w:t>
            </w:r>
            <w:r>
              <w:rPr>
                <w:color w:val="auto"/>
                <w:highlight w:val="none"/>
              </w:rPr>
              <w:t>，</w:t>
            </w:r>
            <w:r>
              <w:rPr>
                <w:rFonts w:hint="eastAsia"/>
                <w:color w:val="auto"/>
                <w:highlight w:val="none"/>
              </w:rPr>
              <w:t>清淤量为</w:t>
            </w:r>
            <w:r>
              <w:rPr>
                <w:rFonts w:hint="eastAsia"/>
                <w:color w:val="auto"/>
                <w:highlight w:val="none"/>
                <w:lang w:eastAsia="zh-CN"/>
              </w:rPr>
              <w:t>5026</w:t>
            </w:r>
            <w:r>
              <w:rPr>
                <w:color w:val="auto"/>
                <w:highlight w:val="none"/>
              </w:rPr>
              <w:t>m</w:t>
            </w:r>
            <w:r>
              <w:rPr>
                <w:color w:val="auto"/>
                <w:highlight w:val="none"/>
                <w:vertAlign w:val="superscript"/>
              </w:rPr>
              <w:t>3</w:t>
            </w:r>
            <w:r>
              <w:rPr>
                <w:color w:val="auto"/>
                <w:highlight w:val="none"/>
              </w:rPr>
              <w:t>。该段河床清淤纵向坡比1:10，横向坡比1:2.5~1:3，清淤边界离原始岸坡距离大于5m</w:t>
            </w:r>
            <w:r>
              <w:rPr>
                <w:rFonts w:ascii="Times New Roman" w:hAnsi="Times New Roman" w:eastAsia="宋体" w:cs="Times New Roman"/>
                <w:color w:val="auto"/>
                <w:highlight w:val="none"/>
              </w:rPr>
              <w:t>。</w:t>
            </w:r>
          </w:p>
          <w:p w14:paraId="6AE096A5">
            <w:pPr>
              <w:rPr>
                <w:rFonts w:hint="eastAsia" w:cs="Times New Roman"/>
                <w:color w:val="auto"/>
                <w:highlight w:val="none"/>
                <w:lang w:val="en-US" w:eastAsia="zh-CN"/>
              </w:rPr>
            </w:pPr>
            <w:r>
              <w:rPr>
                <w:rFonts w:hint="default" w:cs="Times New Roman"/>
                <w:color w:val="auto"/>
                <w:highlight w:val="none"/>
                <w:lang w:val="en-US" w:eastAsia="zh-CN"/>
              </w:rPr>
              <w:t>②</w:t>
            </w:r>
            <w:r>
              <w:rPr>
                <w:rFonts w:hint="eastAsia" w:cs="Times New Roman"/>
                <w:color w:val="auto"/>
                <w:highlight w:val="none"/>
                <w:lang w:val="en-US" w:eastAsia="zh-CN"/>
              </w:rPr>
              <w:t>石河镇石河镇段、双拱场段</w:t>
            </w:r>
          </w:p>
          <w:p w14:paraId="371AE8AC">
            <w:pPr>
              <w:ind w:firstLine="480"/>
              <w:rPr>
                <w:color w:val="auto"/>
                <w:highlight w:val="none"/>
              </w:rPr>
            </w:pPr>
            <w:r>
              <w:rPr>
                <w:rFonts w:hint="eastAsia"/>
                <w:color w:val="auto"/>
                <w:highlight w:val="none"/>
              </w:rPr>
              <w:t>清淤范围为本治理工程涉及的柳城河</w:t>
            </w:r>
            <w:r>
              <w:rPr>
                <w:color w:val="auto"/>
                <w:highlight w:val="none"/>
              </w:rPr>
              <w:t>石河镇段、双拱场段</w:t>
            </w:r>
            <w:r>
              <w:rPr>
                <w:rFonts w:hint="eastAsia"/>
                <w:color w:val="auto"/>
                <w:highlight w:val="none"/>
              </w:rPr>
              <w:t>范</w:t>
            </w:r>
            <w:r>
              <w:rPr>
                <w:rFonts w:hint="eastAsia" w:ascii="Times New Roman" w:hAnsi="Times New Roman" w:eastAsia="宋体" w:cs="Times New Roman"/>
                <w:color w:val="auto"/>
                <w:highlight w:val="none"/>
              </w:rPr>
              <w:t>围，清淤高程为设计河床高程，清淤长度为</w:t>
            </w:r>
            <w:r>
              <w:rPr>
                <w:rFonts w:hint="eastAsia" w:cs="Times New Roman"/>
                <w:color w:val="auto"/>
                <w:highlight w:val="none"/>
                <w:lang w:eastAsia="zh-CN"/>
              </w:rPr>
              <w:t>4.6km</w:t>
            </w:r>
            <w:r>
              <w:rPr>
                <w:rFonts w:hint="eastAsia" w:ascii="Times New Roman" w:hAnsi="Times New Roman" w:eastAsia="宋体" w:cs="Times New Roman"/>
                <w:color w:val="auto"/>
                <w:highlight w:val="none"/>
              </w:rPr>
              <w:t>。</w:t>
            </w:r>
            <w:r>
              <w:rPr>
                <w:rFonts w:hint="eastAsia" w:cs="Times New Roman"/>
                <w:color w:val="auto"/>
                <w:highlight w:val="none"/>
                <w:lang w:eastAsia="zh-CN"/>
              </w:rPr>
              <w:t>清淤河段主要为石0+000~石2+450和双0+000~双2+150</w:t>
            </w:r>
            <w:r>
              <w:rPr>
                <w:color w:val="auto"/>
                <w:highlight w:val="none"/>
              </w:rPr>
              <w:t>。</w:t>
            </w:r>
          </w:p>
          <w:p w14:paraId="46FE8DB7">
            <w:pPr>
              <w:ind w:firstLine="482"/>
              <w:rPr>
                <w:b w:val="0"/>
                <w:bCs w:val="0"/>
                <w:color w:val="auto"/>
                <w:highlight w:val="none"/>
              </w:rPr>
            </w:pPr>
            <w:r>
              <w:rPr>
                <w:b w:val="0"/>
                <w:bCs w:val="0"/>
                <w:color w:val="auto"/>
                <w:highlight w:val="none"/>
              </w:rPr>
              <w:t>石河镇段：</w:t>
            </w:r>
            <w:r>
              <w:rPr>
                <w:rFonts w:hint="eastAsia"/>
                <w:b w:val="0"/>
                <w:bCs w:val="0"/>
                <w:color w:val="auto"/>
                <w:highlight w:val="none"/>
                <w:lang w:val="en-US" w:eastAsia="zh-CN"/>
              </w:rPr>
              <w:t>清淤长度2450m</w:t>
            </w:r>
            <w:r>
              <w:rPr>
                <w:b w:val="0"/>
                <w:bCs w:val="0"/>
                <w:color w:val="auto"/>
                <w:highlight w:val="none"/>
              </w:rPr>
              <w:t>，平均河宽</w:t>
            </w:r>
            <w:r>
              <w:rPr>
                <w:rFonts w:hint="eastAsia"/>
                <w:b w:val="0"/>
                <w:bCs w:val="0"/>
                <w:color w:val="auto"/>
                <w:highlight w:val="none"/>
                <w:lang w:val="en-US" w:eastAsia="zh-CN"/>
              </w:rPr>
              <w:t>7</w:t>
            </w:r>
            <w:r>
              <w:rPr>
                <w:b w:val="0"/>
                <w:bCs w:val="0"/>
                <w:color w:val="auto"/>
                <w:highlight w:val="none"/>
              </w:rPr>
              <w:t>~15m</w:t>
            </w:r>
            <w:r>
              <w:rPr>
                <w:rFonts w:hint="eastAsia"/>
                <w:b w:val="0"/>
                <w:bCs w:val="0"/>
                <w:color w:val="auto"/>
                <w:highlight w:val="none"/>
                <w:lang w:eastAsia="zh-CN"/>
              </w:rPr>
              <w:t>。</w:t>
            </w:r>
            <w:r>
              <w:rPr>
                <w:b w:val="0"/>
                <w:bCs w:val="0"/>
                <w:color w:val="auto"/>
                <w:highlight w:val="none"/>
              </w:rPr>
              <w:t>乡村便道通至该河边段处，清淤机械和运输设备可就近下河作业。清淤在不影响河床稳定和岸坡稳定的情况下，</w:t>
            </w:r>
            <w:r>
              <w:rPr>
                <w:rFonts w:hint="eastAsia"/>
                <w:b w:val="0"/>
                <w:bCs w:val="0"/>
                <w:color w:val="auto"/>
                <w:highlight w:val="none"/>
                <w:lang w:eastAsia="zh-CN"/>
              </w:rPr>
              <w:t>平均清淤厚度0.</w:t>
            </w:r>
            <w:r>
              <w:rPr>
                <w:rFonts w:hint="eastAsia"/>
                <w:b w:val="0"/>
                <w:bCs w:val="0"/>
                <w:color w:val="auto"/>
                <w:highlight w:val="none"/>
                <w:lang w:val="en-US" w:eastAsia="zh-CN"/>
              </w:rPr>
              <w:t>22</w:t>
            </w:r>
            <w:r>
              <w:rPr>
                <w:rFonts w:hint="eastAsia"/>
                <w:b w:val="0"/>
                <w:bCs w:val="0"/>
                <w:color w:val="auto"/>
                <w:highlight w:val="none"/>
                <w:lang w:eastAsia="zh-CN"/>
              </w:rPr>
              <w:t>m，</w:t>
            </w:r>
            <w:r>
              <w:rPr>
                <w:b w:val="0"/>
                <w:bCs w:val="0"/>
                <w:color w:val="auto"/>
                <w:highlight w:val="none"/>
              </w:rPr>
              <w:t>石河镇段疏浚量约5451m</w:t>
            </w:r>
            <w:r>
              <w:rPr>
                <w:b w:val="0"/>
                <w:bCs w:val="0"/>
                <w:color w:val="auto"/>
                <w:highlight w:val="none"/>
                <w:vertAlign w:val="superscript"/>
              </w:rPr>
              <w:t>3</w:t>
            </w:r>
            <w:r>
              <w:rPr>
                <w:b w:val="0"/>
                <w:bCs w:val="0"/>
                <w:color w:val="auto"/>
                <w:highlight w:val="none"/>
              </w:rPr>
              <w:t>，疏浚边坡坡比不陡于1:3.0，清淤边界离原始岸坡距离大于5m。</w:t>
            </w:r>
          </w:p>
          <w:p w14:paraId="2D61E467">
            <w:pPr>
              <w:pStyle w:val="33"/>
              <w:ind w:firstLine="480"/>
              <w:rPr>
                <w:rFonts w:ascii="Times New Roman" w:hAnsi="Times New Roman" w:eastAsia="宋体" w:cs="Times New Roman"/>
                <w:b w:val="0"/>
                <w:bCs w:val="0"/>
                <w:color w:val="auto"/>
                <w:highlight w:val="none"/>
              </w:rPr>
            </w:pPr>
            <w:r>
              <w:rPr>
                <w:rFonts w:hint="eastAsia"/>
                <w:b w:val="0"/>
                <w:bCs w:val="0"/>
                <w:color w:val="auto"/>
                <w:highlight w:val="none"/>
                <w:lang w:val="en-US" w:eastAsia="zh-CN"/>
              </w:rPr>
              <w:t>双拱场段：清淤长度2150m</w:t>
            </w:r>
            <w:r>
              <w:rPr>
                <w:b w:val="0"/>
                <w:bCs w:val="0"/>
                <w:color w:val="auto"/>
                <w:highlight w:val="none"/>
              </w:rPr>
              <w:t>，平均</w:t>
            </w:r>
            <w:r>
              <w:rPr>
                <w:b w:val="0"/>
                <w:bCs w:val="0"/>
                <w:color w:val="auto"/>
                <w:highlight w:val="none"/>
                <w:lang w:val="zh-CN"/>
              </w:rPr>
              <w:t>河宽13~27m</w:t>
            </w:r>
            <w:r>
              <w:rPr>
                <w:rFonts w:hint="eastAsia"/>
                <w:b w:val="0"/>
                <w:bCs w:val="0"/>
                <w:color w:val="auto"/>
                <w:highlight w:val="none"/>
                <w:lang w:eastAsia="zh-CN"/>
              </w:rPr>
              <w:t>。</w:t>
            </w:r>
            <w:r>
              <w:rPr>
                <w:b w:val="0"/>
                <w:bCs w:val="0"/>
                <w:color w:val="auto"/>
                <w:highlight w:val="none"/>
              </w:rPr>
              <w:t>乡村便道通至该河边段处，清淤机械和运输设备可就近下河作业。清淤在不影响河床稳定和岸坡稳定的情况下，</w:t>
            </w:r>
            <w:r>
              <w:rPr>
                <w:rFonts w:hint="eastAsia"/>
                <w:b w:val="0"/>
                <w:bCs w:val="0"/>
                <w:color w:val="auto"/>
                <w:highlight w:val="none"/>
                <w:lang w:eastAsia="zh-CN"/>
              </w:rPr>
              <w:t>平均清淤厚度0.</w:t>
            </w:r>
            <w:r>
              <w:rPr>
                <w:rFonts w:hint="eastAsia"/>
                <w:b w:val="0"/>
                <w:bCs w:val="0"/>
                <w:color w:val="auto"/>
                <w:highlight w:val="none"/>
                <w:lang w:val="en-US" w:eastAsia="zh-CN"/>
              </w:rPr>
              <w:t>2</w:t>
            </w:r>
            <w:r>
              <w:rPr>
                <w:rFonts w:hint="eastAsia"/>
                <w:b w:val="0"/>
                <w:bCs w:val="0"/>
                <w:color w:val="auto"/>
                <w:highlight w:val="none"/>
                <w:lang w:eastAsia="zh-CN"/>
              </w:rPr>
              <w:t>0m</w:t>
            </w:r>
            <w:r>
              <w:rPr>
                <w:b w:val="0"/>
                <w:bCs w:val="0"/>
                <w:color w:val="auto"/>
                <w:highlight w:val="none"/>
              </w:rPr>
              <w:t>，双拱疏浚量约7291m</w:t>
            </w:r>
            <w:r>
              <w:rPr>
                <w:b w:val="0"/>
                <w:bCs w:val="0"/>
                <w:color w:val="auto"/>
                <w:highlight w:val="none"/>
                <w:vertAlign w:val="superscript"/>
              </w:rPr>
              <w:t>3</w:t>
            </w:r>
            <w:r>
              <w:rPr>
                <w:b w:val="0"/>
                <w:bCs w:val="0"/>
                <w:color w:val="auto"/>
                <w:highlight w:val="none"/>
              </w:rPr>
              <w:t>，疏浚边坡坡比不陡于1:3.0，清淤边界离原始岸坡距离大于5m</w:t>
            </w:r>
            <w:r>
              <w:rPr>
                <w:rFonts w:ascii="Times New Roman" w:hAnsi="Times New Roman" w:eastAsia="宋体" w:cs="Times New Roman"/>
                <w:b w:val="0"/>
                <w:bCs w:val="0"/>
                <w:color w:val="auto"/>
                <w:highlight w:val="none"/>
              </w:rPr>
              <w:t>。</w:t>
            </w:r>
          </w:p>
          <w:p w14:paraId="6F791B9B">
            <w:pPr>
              <w:rPr>
                <w:rFonts w:hint="eastAsia" w:cs="Times New Roman"/>
                <w:color w:val="auto"/>
                <w:highlight w:val="none"/>
                <w:lang w:val="en-US" w:eastAsia="zh-CN"/>
              </w:rPr>
            </w:pPr>
            <w:r>
              <w:rPr>
                <w:rFonts w:hint="eastAsia" w:ascii="Times New Roman" w:hAnsi="Times New Roman" w:eastAsia="宋体" w:cs="Times New Roman"/>
                <w:color w:val="auto"/>
                <w:highlight w:val="none"/>
              </w:rPr>
              <w:t>防洪堤修建完工后，应进行竣工清理，清除工程范围内的建筑垃圾、杂物及河道内的碍洪建筑物</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所有清淤范围与涉河建筑物及岸坡应预留10m长的保护距离不开挖</w:t>
            </w:r>
            <w:r>
              <w:rPr>
                <w:rFonts w:hint="eastAsia" w:eastAsia="宋体" w:cs="Times New Roman"/>
                <w:color w:val="auto"/>
                <w:highlight w:val="none"/>
                <w:lang w:eastAsia="zh-CN"/>
              </w:rPr>
              <w:t>。</w:t>
            </w:r>
          </w:p>
          <w:p w14:paraId="5163A941">
            <w:pPr>
              <w:keepNext w:val="0"/>
              <w:keepLines w:val="0"/>
              <w:widowControl/>
              <w:suppressLineNumbers w:val="0"/>
              <w:jc w:val="left"/>
              <w:rPr>
                <w:rFonts w:hint="default" w:ascii="Times New Roman" w:hAnsi="Times New Roman" w:cs="Times New Roman"/>
                <w:color w:val="auto"/>
                <w:highlight w:val="none"/>
              </w:rPr>
            </w:pPr>
            <w:r>
              <w:rPr>
                <w:rFonts w:hint="eastAsia" w:cs="Times New Roman"/>
                <w:color w:val="auto"/>
                <w:sz w:val="24"/>
                <w:szCs w:val="24"/>
                <w:highlight w:val="none"/>
                <w:lang w:val="en-US" w:eastAsia="zh-CN"/>
              </w:rPr>
              <w:t>可直接利用的部分由周边居民用于农田做肥料，</w:t>
            </w:r>
            <w:r>
              <w:rPr>
                <w:rFonts w:hint="eastAsia"/>
                <w:color w:val="auto"/>
                <w:sz w:val="24"/>
                <w:szCs w:val="24"/>
                <w:highlight w:val="none"/>
                <w:lang w:val="en-US" w:eastAsia="zh-CN"/>
              </w:rPr>
              <w:t>含砂石量多的疏浚砂石用于沿线低洼地区回填</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经晾干后的</w:t>
            </w:r>
            <w:r>
              <w:rPr>
                <w:rFonts w:hint="default" w:ascii="Times New Roman" w:hAnsi="Times New Roman" w:cs="Times New Roman"/>
                <w:color w:val="auto"/>
                <w:szCs w:val="24"/>
                <w:highlight w:val="none"/>
              </w:rPr>
              <w:t>不可直接利用料，采用5t自卸汽车运输至临时堆料场</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待堤防主体工程施工</w:t>
            </w:r>
            <w:r>
              <w:rPr>
                <w:rFonts w:hint="default" w:ascii="Times New Roman" w:hAnsi="Times New Roman" w:cs="Times New Roman"/>
                <w:color w:val="auto"/>
                <w:szCs w:val="24"/>
                <w:highlight w:val="none"/>
                <w:lang w:val="en-US" w:eastAsia="zh-CN"/>
              </w:rPr>
              <w:t>结束后，将经晾</w:t>
            </w:r>
            <w:r>
              <w:rPr>
                <w:rFonts w:hint="default" w:ascii="Times New Roman" w:hAnsi="Times New Roman" w:cs="Times New Roman"/>
                <w:color w:val="auto"/>
                <w:highlight w:val="none"/>
                <w:lang w:val="en-US" w:eastAsia="zh-CN"/>
              </w:rPr>
              <w:t>干后的</w:t>
            </w:r>
            <w:r>
              <w:rPr>
                <w:rFonts w:hint="default" w:ascii="Times New Roman" w:hAnsi="Times New Roman" w:cs="Times New Roman"/>
                <w:color w:val="auto"/>
                <w:highlight w:val="none"/>
              </w:rPr>
              <w:t>不可直接利用料作为弃渣运至规划的弃渣场。</w:t>
            </w:r>
          </w:p>
          <w:p w14:paraId="02FD442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此过程将产生</w:t>
            </w:r>
            <w:r>
              <w:rPr>
                <w:rFonts w:hint="eastAsia" w:cs="Times New Roman"/>
                <w:color w:val="auto"/>
                <w:highlight w:val="none"/>
                <w:lang w:val="en-US" w:eastAsia="zh-CN"/>
              </w:rPr>
              <w:t>臭气、</w:t>
            </w:r>
            <w:r>
              <w:rPr>
                <w:rFonts w:hint="default" w:ascii="Times New Roman" w:hAnsi="Times New Roman" w:cs="Times New Roman"/>
                <w:color w:val="auto"/>
                <w:highlight w:val="none"/>
              </w:rPr>
              <w:t>疏浚淤泥。</w:t>
            </w:r>
          </w:p>
          <w:p w14:paraId="0C021085">
            <w:pPr>
              <w:numPr>
                <w:ilvl w:val="0"/>
                <w:numId w:val="4"/>
              </w:numPr>
              <w:ind w:firstLine="480"/>
              <w:rPr>
                <w:rFonts w:hint="eastAsia" w:cs="Times New Roman"/>
                <w:b/>
                <w:bCs/>
                <w:color w:val="auto"/>
                <w:highlight w:val="none"/>
                <w:lang w:val="en-US" w:eastAsia="zh-CN"/>
              </w:rPr>
            </w:pPr>
            <w:r>
              <w:rPr>
                <w:rFonts w:hint="eastAsia" w:cs="Times New Roman"/>
                <w:b/>
                <w:bCs/>
                <w:color w:val="auto"/>
                <w:highlight w:val="none"/>
                <w:lang w:val="en-US" w:eastAsia="zh-CN"/>
              </w:rPr>
              <w:t>白蚁整治</w:t>
            </w:r>
          </w:p>
          <w:p w14:paraId="3C6D0F2B">
            <w:pPr>
              <w:pStyle w:val="4"/>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本项目对</w:t>
            </w:r>
            <w:r>
              <w:rPr>
                <w:rFonts w:hint="eastAsia"/>
                <w:color w:val="auto"/>
                <w:highlight w:val="none"/>
              </w:rPr>
              <w:t>柳城河</w:t>
            </w:r>
            <w:r>
              <w:rPr>
                <w:color w:val="auto"/>
                <w:highlight w:val="none"/>
              </w:rPr>
              <w:t>石河镇段、双拱场段</w:t>
            </w:r>
            <w:r>
              <w:rPr>
                <w:rFonts w:hint="eastAsia"/>
                <w:color w:val="auto"/>
                <w:highlight w:val="none"/>
              </w:rPr>
              <w:t>范</w:t>
            </w:r>
            <w:r>
              <w:rPr>
                <w:rFonts w:hint="eastAsia" w:ascii="Times New Roman" w:hAnsi="Times New Roman" w:eastAsia="宋体" w:cs="Times New Roman"/>
                <w:color w:val="auto"/>
                <w:highlight w:val="none"/>
              </w:rPr>
              <w:t>围</w:t>
            </w:r>
            <w:r>
              <w:rPr>
                <w:rFonts w:hint="eastAsia" w:eastAsia="宋体" w:cs="Times New Roman"/>
                <w:color w:val="auto"/>
                <w:highlight w:val="none"/>
                <w:lang w:eastAsia="zh-CN"/>
              </w:rPr>
              <w:t>、</w:t>
            </w:r>
            <w:r>
              <w:rPr>
                <w:rFonts w:hint="eastAsia" w:eastAsia="宋体" w:cs="Times New Roman"/>
                <w:color w:val="auto"/>
                <w:highlight w:val="none"/>
                <w:lang w:val="en-US" w:eastAsia="zh-CN"/>
              </w:rPr>
              <w:t>柳城河</w:t>
            </w:r>
            <w:r>
              <w:rPr>
                <w:rFonts w:hint="eastAsia" w:cs="Times New Roman"/>
                <w:b w:val="0"/>
                <w:bCs w:val="0"/>
                <w:snapToGrid w:val="0"/>
                <w:color w:val="auto"/>
                <w:sz w:val="24"/>
                <w:szCs w:val="22"/>
                <w:highlight w:val="none"/>
                <w:lang w:val="en-US" w:eastAsia="zh-CN" w:bidi="ar-SA"/>
              </w:rPr>
              <w:t>石河镇二郎、福兴段范围</w:t>
            </w:r>
            <w:r>
              <w:rPr>
                <w:rFonts w:hint="eastAsia" w:eastAsia="宋体" w:cs="Times New Roman"/>
                <w:color w:val="auto"/>
                <w:highlight w:val="none"/>
                <w:lang w:val="en-US" w:eastAsia="zh-CN"/>
              </w:rPr>
              <w:t>进行白蚁整治。</w:t>
            </w:r>
          </w:p>
          <w:p w14:paraId="44D00AD1">
            <w:pPr>
              <w:ind w:firstLine="480"/>
              <w:rPr>
                <w:color w:val="auto"/>
                <w:highlight w:val="none"/>
              </w:rPr>
            </w:pPr>
            <w:r>
              <w:rPr>
                <w:rFonts w:hint="eastAsia"/>
                <w:color w:val="auto"/>
                <w:highlight w:val="none"/>
              </w:rPr>
              <w:fldChar w:fldCharType="begin"/>
            </w:r>
            <w:r>
              <w:rPr>
                <w:rFonts w:hint="eastAsia"/>
                <w:color w:val="auto"/>
                <w:highlight w:val="none"/>
              </w:rPr>
              <w:instrText xml:space="preserve"> = 1 \* GB3 \* MERGEFORMAT </w:instrText>
            </w:r>
            <w:r>
              <w:rPr>
                <w:rFonts w:hint="eastAsia"/>
                <w:color w:val="auto"/>
                <w:highlight w:val="none"/>
              </w:rPr>
              <w:fldChar w:fldCharType="separate"/>
            </w:r>
            <w:r>
              <w:rPr>
                <w:color w:val="auto"/>
                <w:highlight w:val="none"/>
              </w:rPr>
              <w:t>①</w:t>
            </w:r>
            <w:r>
              <w:rPr>
                <w:rFonts w:hint="eastAsia"/>
                <w:color w:val="auto"/>
                <w:highlight w:val="none"/>
              </w:rPr>
              <w:fldChar w:fldCharType="end"/>
            </w:r>
            <w:r>
              <w:rPr>
                <w:rFonts w:hint="eastAsia"/>
                <w:color w:val="auto"/>
                <w:highlight w:val="none"/>
              </w:rPr>
              <w:t>人工清理主巢、副巢</w:t>
            </w:r>
          </w:p>
          <w:p w14:paraId="6EF236B5">
            <w:pPr>
              <w:ind w:firstLine="480"/>
              <w:rPr>
                <w:rFonts w:hint="default" w:ascii="Times New Roman" w:hAnsi="Times New Roman" w:cs="Times New Roman"/>
                <w:color w:val="auto"/>
                <w:highlight w:val="none"/>
              </w:rPr>
            </w:pPr>
            <w:r>
              <w:rPr>
                <w:rFonts w:hint="eastAsia"/>
                <w:color w:val="auto"/>
                <w:highlight w:val="none"/>
                <w:lang w:val="en-US" w:eastAsia="zh-CN"/>
              </w:rPr>
              <w:t>在</w:t>
            </w:r>
            <w:r>
              <w:rPr>
                <w:rFonts w:hint="eastAsia"/>
                <w:color w:val="auto"/>
                <w:highlight w:val="none"/>
              </w:rPr>
              <w:t>工程河段内堤防迎水坡</w:t>
            </w:r>
            <w:r>
              <w:rPr>
                <w:rFonts w:hint="eastAsia"/>
                <w:color w:val="auto"/>
                <w:highlight w:val="none"/>
                <w:lang w:eastAsia="zh-CN"/>
              </w:rPr>
              <w:t>，</w:t>
            </w:r>
            <w:r>
              <w:rPr>
                <w:rFonts w:hint="eastAsia"/>
                <w:color w:val="auto"/>
                <w:highlight w:val="none"/>
              </w:rPr>
              <w:t>根据白蚁活动留下的地表指征，并在其周围选择适宜开挖</w:t>
            </w:r>
            <w:r>
              <w:rPr>
                <w:rFonts w:hint="default" w:ascii="Times New Roman" w:hAnsi="Times New Roman" w:cs="Times New Roman"/>
                <w:color w:val="auto"/>
                <w:highlight w:val="none"/>
              </w:rPr>
              <w:t>点，并先用锄头清理表皮植被，露出约1m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的土壤，开挖找到白蚁在土壤内修筑的蚁路，并判别追踪方向，直至主蚁路</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清理主巢，捕捉蚁王蚁后，清理副巢。</w:t>
            </w:r>
          </w:p>
          <w:p w14:paraId="56FAF6D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②主、副巢杀药</w:t>
            </w:r>
          </w:p>
          <w:p w14:paraId="1A5BB6A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清除完白蚁主巢、副巢后，为了快速、彻底杀灭巢内残余白蚁，采取对主、副巢巢腔进行杀药，主要以喷洒水剂专杀白蚁药物为佳（吡虫啉悬浮乳剂）。</w:t>
            </w:r>
          </w:p>
          <w:p w14:paraId="7B85AF5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③地表施药</w:t>
            </w:r>
          </w:p>
          <w:p w14:paraId="36418895">
            <w:pPr>
              <w:ind w:firstLine="480"/>
              <w:rPr>
                <w:color w:val="auto"/>
                <w:highlight w:val="none"/>
              </w:rPr>
            </w:pPr>
            <w:r>
              <w:rPr>
                <w:rFonts w:hint="default" w:ascii="Times New Roman" w:hAnsi="Times New Roman" w:cs="Times New Roman"/>
                <w:color w:val="auto"/>
                <w:highlight w:val="none"/>
              </w:rPr>
              <w:t>对该段堤防迎</w:t>
            </w:r>
            <w:r>
              <w:rPr>
                <w:rFonts w:hint="eastAsia"/>
                <w:color w:val="auto"/>
                <w:highlight w:val="none"/>
              </w:rPr>
              <w:t>水坡面水位线以上范围内，采用机械或人工喷雾器</w:t>
            </w:r>
            <w:r>
              <w:rPr>
                <w:rFonts w:hint="eastAsia"/>
                <w:color w:val="auto"/>
                <w:highlight w:val="none"/>
                <w:lang w:eastAsia="zh-CN"/>
              </w:rPr>
              <w:t>，</w:t>
            </w:r>
            <w:r>
              <w:rPr>
                <w:rFonts w:hint="eastAsia"/>
                <w:color w:val="auto"/>
                <w:highlight w:val="none"/>
              </w:rPr>
              <w:t>使用高效低毒的环保灭蚁药物</w:t>
            </w:r>
            <w:r>
              <w:rPr>
                <w:rFonts w:hint="eastAsia"/>
                <w:color w:val="auto"/>
                <w:highlight w:val="none"/>
                <w:lang w:val="en-US" w:eastAsia="zh-CN"/>
              </w:rPr>
              <w:t>全面</w:t>
            </w:r>
            <w:r>
              <w:rPr>
                <w:rFonts w:hint="eastAsia"/>
                <w:color w:val="auto"/>
                <w:highlight w:val="none"/>
              </w:rPr>
              <w:t>覆盖喷洒，蚁害范围内无遗漏区域</w:t>
            </w:r>
            <w:r>
              <w:rPr>
                <w:rFonts w:hint="eastAsia"/>
                <w:color w:val="auto"/>
                <w:highlight w:val="none"/>
                <w:lang w:eastAsia="zh-CN"/>
              </w:rPr>
              <w:t>，</w:t>
            </w:r>
            <w:r>
              <w:rPr>
                <w:rFonts w:hint="eastAsia"/>
                <w:color w:val="auto"/>
                <w:highlight w:val="none"/>
              </w:rPr>
              <w:t>该药剂为慢性传染药物（吡虫啉悬浮乳剂）。</w:t>
            </w:r>
          </w:p>
          <w:p w14:paraId="48702EDE">
            <w:pPr>
              <w:ind w:firstLine="480"/>
              <w:rPr>
                <w:color w:val="auto"/>
                <w:highlight w:val="none"/>
              </w:rPr>
            </w:pPr>
            <w:r>
              <w:rPr>
                <w:rFonts w:hint="eastAsia"/>
                <w:color w:val="auto"/>
                <w:highlight w:val="none"/>
              </w:rPr>
              <w:fldChar w:fldCharType="begin"/>
            </w:r>
            <w:r>
              <w:rPr>
                <w:rFonts w:hint="eastAsia"/>
                <w:color w:val="auto"/>
                <w:highlight w:val="none"/>
              </w:rPr>
              <w:instrText xml:space="preserve"> = 4 \* GB3 \* MERGEFORMAT </w:instrText>
            </w:r>
            <w:r>
              <w:rPr>
                <w:rFonts w:hint="eastAsia"/>
                <w:color w:val="auto"/>
                <w:highlight w:val="none"/>
              </w:rPr>
              <w:fldChar w:fldCharType="separate"/>
            </w:r>
            <w:r>
              <w:rPr>
                <w:color w:val="auto"/>
                <w:highlight w:val="none"/>
              </w:rPr>
              <w:t>④</w:t>
            </w:r>
            <w:r>
              <w:rPr>
                <w:rFonts w:hint="eastAsia"/>
                <w:color w:val="auto"/>
                <w:highlight w:val="none"/>
              </w:rPr>
              <w:fldChar w:fldCharType="end"/>
            </w:r>
            <w:r>
              <w:rPr>
                <w:rFonts w:hint="eastAsia"/>
                <w:color w:val="auto"/>
                <w:highlight w:val="none"/>
              </w:rPr>
              <w:t>埋放诱杀包</w:t>
            </w:r>
          </w:p>
          <w:p w14:paraId="4BD78A1A">
            <w:pPr>
              <w:ind w:firstLine="480"/>
              <w:rPr>
                <w:color w:val="auto"/>
                <w:highlight w:val="none"/>
              </w:rPr>
            </w:pPr>
            <w:r>
              <w:rPr>
                <w:rFonts w:hint="eastAsia"/>
                <w:color w:val="auto"/>
                <w:highlight w:val="none"/>
              </w:rPr>
              <w:t>根据白蚁的交哺习性，在堤防大坝主体（视蚁害密集程度）投放或埋放堤坝白蚁诱杀包，引诱白蚁工蚁前来取食并带毒回巢，进行交哺传染。</w:t>
            </w:r>
          </w:p>
          <w:p w14:paraId="0DA00BF0">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ascii="Times New Roman" w:hAnsi="Times New Roman" w:cs="Times New Roman"/>
                <w:color w:val="auto"/>
                <w:highlight w:val="none"/>
                <w:lang w:val="en-US" w:eastAsia="zh-CN"/>
              </w:rPr>
            </w:pPr>
            <w:r>
              <w:rPr>
                <w:color w:val="auto"/>
                <w:highlight w:val="none"/>
              </w:rPr>
              <w:t>环评要求：控制药剂使用量；设置警示标识标牌；投放药剂后，</w:t>
            </w:r>
            <w:r>
              <w:rPr>
                <w:rFonts w:hint="eastAsia"/>
                <w:color w:val="auto"/>
                <w:highlight w:val="none"/>
                <w:lang w:val="en-US" w:eastAsia="zh-CN"/>
              </w:rPr>
              <w:t>加强水体监控</w:t>
            </w:r>
            <w:r>
              <w:rPr>
                <w:rFonts w:hint="eastAsia" w:ascii="Times New Roman" w:hAnsi="Times New Roman" w:cs="Times New Roman"/>
                <w:color w:val="auto"/>
                <w:highlight w:val="none"/>
                <w:lang w:val="en-US" w:eastAsia="zh-CN"/>
              </w:rPr>
              <w:t>。</w:t>
            </w:r>
          </w:p>
          <w:p w14:paraId="6564ED83">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cs="Times New Roman"/>
                <w:b/>
                <w:bCs/>
                <w:color w:val="auto"/>
                <w:highlight w:val="none"/>
                <w:lang w:val="en-US" w:eastAsia="zh-CN"/>
              </w:rPr>
            </w:pPr>
            <w:r>
              <w:rPr>
                <w:rFonts w:hint="eastAsia" w:cs="Times New Roman"/>
                <w:b/>
                <w:bCs/>
                <w:color w:val="auto"/>
                <w:highlight w:val="none"/>
                <w:lang w:val="en-US" w:eastAsia="zh-CN"/>
              </w:rPr>
              <w:t>2.9.2.2 清河镇段及杨家镇段</w:t>
            </w:r>
          </w:p>
          <w:p w14:paraId="5925F1D0">
            <w:pPr>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根据调查，该段施工包括土石方开挖、土方填筑、混凝土浇筑、三维土工网垫施工/草皮护坡、河道疏浚等。</w:t>
            </w:r>
          </w:p>
          <w:p w14:paraId="1FB66C6F">
            <w:pPr>
              <w:spacing w:line="360" w:lineRule="auto"/>
              <w:rPr>
                <w:b/>
                <w:bCs/>
                <w:color w:val="auto"/>
                <w:sz w:val="24"/>
                <w:highlight w:val="none"/>
              </w:rPr>
            </w:pPr>
            <w:r>
              <w:rPr>
                <w:rFonts w:hint="eastAsia"/>
                <w:b/>
                <w:bCs/>
                <w:color w:val="auto"/>
                <w:sz w:val="24"/>
                <w:highlight w:val="none"/>
                <w:lang w:val="en-US" w:eastAsia="zh-CN"/>
              </w:rPr>
              <w:t>（1）</w:t>
            </w:r>
            <w:r>
              <w:rPr>
                <w:b/>
                <w:bCs/>
                <w:color w:val="auto"/>
                <w:sz w:val="24"/>
                <w:highlight w:val="none"/>
              </w:rPr>
              <w:t>土石方开挖</w:t>
            </w:r>
          </w:p>
          <w:p w14:paraId="55518F61">
            <w:pPr>
              <w:spacing w:line="360" w:lineRule="auto"/>
              <w:ind w:firstLine="482"/>
              <w:rPr>
                <w:rFonts w:hint="eastAsia" w:eastAsia="宋体"/>
                <w:color w:val="auto"/>
                <w:sz w:val="24"/>
                <w:highlight w:val="none"/>
                <w:lang w:eastAsia="zh-CN"/>
              </w:rPr>
            </w:pPr>
            <w:r>
              <w:rPr>
                <w:rFonts w:hint="eastAsia"/>
                <w:color w:val="auto"/>
                <w:sz w:val="24"/>
                <w:highlight w:val="none"/>
              </w:rPr>
              <w:t>土方开挖施工顺序为：施工测量放样→分坡段人工配合机械清理表层植被及松散砂砾石层→机械推、挖、装运挖至设计坡面以上20cm时人工开挖脚槽→人工开挖设计坡面以上20cm保护层、排水沟及导滤沟、机械配合出渣→坡面修整。堤防工程基础开挖主要由机械施工辅以人工修整</w:t>
            </w:r>
            <w:r>
              <w:rPr>
                <w:rFonts w:hint="eastAsia"/>
                <w:color w:val="auto"/>
                <w:sz w:val="24"/>
                <w:highlight w:val="none"/>
                <w:lang w:eastAsia="zh-CN"/>
              </w:rPr>
              <w:t>。</w:t>
            </w:r>
          </w:p>
          <w:p w14:paraId="21AF9CF9">
            <w:pPr>
              <w:spacing w:line="360" w:lineRule="auto"/>
              <w:ind w:firstLine="482"/>
              <w:rPr>
                <w:rFonts w:hint="eastAsia"/>
                <w:color w:val="auto"/>
                <w:sz w:val="24"/>
                <w:highlight w:val="none"/>
                <w:lang w:eastAsia="zh-CN"/>
              </w:rPr>
            </w:pPr>
            <w:r>
              <w:rPr>
                <w:rFonts w:hint="eastAsia"/>
                <w:color w:val="auto"/>
                <w:sz w:val="24"/>
                <w:highlight w:val="none"/>
              </w:rPr>
              <w:t>堤身边坡开挖与现有道路挡墙之间预留1.0m安全保护距离，且开挖坡比不陡于1:2.0。本项目</w:t>
            </w:r>
            <w:r>
              <w:rPr>
                <w:color w:val="auto"/>
                <w:sz w:val="24"/>
                <w:highlight w:val="none"/>
              </w:rPr>
              <w:t>土石方开挖不涉水施工</w:t>
            </w:r>
            <w:r>
              <w:rPr>
                <w:rFonts w:hint="eastAsia"/>
                <w:color w:val="auto"/>
                <w:sz w:val="24"/>
                <w:highlight w:val="none"/>
                <w:lang w:eastAsia="zh-CN"/>
              </w:rPr>
              <w:t>。</w:t>
            </w:r>
          </w:p>
          <w:p w14:paraId="5EE523FD">
            <w:pPr>
              <w:spacing w:line="360" w:lineRule="auto"/>
              <w:ind w:firstLine="482"/>
              <w:rPr>
                <w:color w:val="auto"/>
                <w:sz w:val="24"/>
                <w:highlight w:val="none"/>
              </w:rPr>
            </w:pPr>
            <w:r>
              <w:rPr>
                <w:color w:val="auto"/>
                <w:sz w:val="24"/>
                <w:highlight w:val="none"/>
              </w:rPr>
              <w:t>此过程将产生土石方弃渣</w:t>
            </w:r>
            <w:r>
              <w:rPr>
                <w:rFonts w:hint="eastAsia"/>
                <w:color w:val="auto"/>
                <w:sz w:val="24"/>
                <w:highlight w:val="none"/>
              </w:rPr>
              <w:t>、噪声、扬尘</w:t>
            </w:r>
            <w:r>
              <w:rPr>
                <w:color w:val="auto"/>
                <w:sz w:val="24"/>
                <w:highlight w:val="none"/>
              </w:rPr>
              <w:t>。</w:t>
            </w:r>
          </w:p>
          <w:p w14:paraId="3A0B27E8">
            <w:pPr>
              <w:spacing w:line="360" w:lineRule="auto"/>
              <w:rPr>
                <w:b/>
                <w:color w:val="auto"/>
                <w:sz w:val="24"/>
                <w:highlight w:val="none"/>
              </w:rPr>
            </w:pPr>
            <w:r>
              <w:rPr>
                <w:b/>
                <w:color w:val="auto"/>
                <w:sz w:val="24"/>
                <w:highlight w:val="none"/>
              </w:rPr>
              <w:t>（2）土石方填筑</w:t>
            </w:r>
          </w:p>
          <w:p w14:paraId="368F913C">
            <w:pPr>
              <w:spacing w:line="360" w:lineRule="auto"/>
              <w:ind w:firstLine="482"/>
              <w:rPr>
                <w:rFonts w:hint="eastAsia"/>
                <w:color w:val="auto"/>
                <w:sz w:val="24"/>
                <w:highlight w:val="none"/>
              </w:rPr>
            </w:pPr>
            <w:r>
              <w:rPr>
                <w:rFonts w:hint="eastAsia"/>
                <w:color w:val="auto"/>
                <w:sz w:val="24"/>
                <w:highlight w:val="none"/>
                <w:lang w:val="en-US" w:eastAsia="zh-CN"/>
              </w:rPr>
              <w:t>项目</w:t>
            </w:r>
            <w:r>
              <w:rPr>
                <w:rFonts w:hint="eastAsia"/>
                <w:color w:val="auto"/>
                <w:sz w:val="24"/>
                <w:highlight w:val="none"/>
              </w:rPr>
              <w:t>土方回填为局部堤后回填。现场摊铺采用人工配合挖机施工。振动碾碾压，手扶式振动碾辅助，分成碾压厚度50cm，相邻碾压面重叠20cm，局部碾压不到的部位采用打夯机振实。筑堤料的铺筑采用“综合法”，振动碾按“进退错距法”顺水流方向行走，速度控制在1.20km/h左右。对于小基槽回填，因不具备大型机械施工，采用电夯或人工分层夯实。</w:t>
            </w:r>
          </w:p>
          <w:p w14:paraId="641C9865">
            <w:pPr>
              <w:spacing w:line="360" w:lineRule="auto"/>
              <w:ind w:firstLine="482"/>
              <w:rPr>
                <w:rFonts w:hint="default" w:eastAsia="宋体"/>
                <w:color w:val="auto"/>
                <w:sz w:val="24"/>
                <w:highlight w:val="none"/>
                <w:lang w:val="en-US" w:eastAsia="zh-CN"/>
              </w:rPr>
            </w:pPr>
            <w:r>
              <w:rPr>
                <w:rFonts w:hint="eastAsia"/>
                <w:color w:val="auto"/>
                <w:sz w:val="24"/>
                <w:highlight w:val="none"/>
                <w:lang w:val="en-US" w:eastAsia="zh-CN"/>
              </w:rPr>
              <w:t>该过程有运输车辆及设备噪声、运输扬尘及施工粉尘。</w:t>
            </w:r>
          </w:p>
          <w:p w14:paraId="2EDAAAEA">
            <w:pPr>
              <w:spacing w:line="360" w:lineRule="auto"/>
              <w:ind w:firstLine="482"/>
              <w:rPr>
                <w:rFonts w:hint="default"/>
                <w:b/>
                <w:color w:val="auto"/>
                <w:sz w:val="24"/>
                <w:highlight w:val="none"/>
                <w:lang w:val="en-US" w:eastAsia="zh-CN"/>
              </w:rPr>
            </w:pPr>
            <w:r>
              <w:rPr>
                <w:b/>
                <w:color w:val="auto"/>
                <w:sz w:val="24"/>
                <w:highlight w:val="none"/>
              </w:rPr>
              <w:t>（3）混凝</w:t>
            </w:r>
            <w:r>
              <w:rPr>
                <w:rFonts w:hint="eastAsia"/>
                <w:b/>
                <w:color w:val="auto"/>
                <w:sz w:val="24"/>
                <w:highlight w:val="none"/>
                <w:lang w:val="en-US" w:eastAsia="zh-CN"/>
              </w:rPr>
              <w:t>浇筑及混凝土拌和</w:t>
            </w:r>
          </w:p>
          <w:p w14:paraId="075BD881">
            <w:pPr>
              <w:spacing w:line="360" w:lineRule="auto"/>
              <w:ind w:firstLine="482"/>
              <w:rPr>
                <w:rFonts w:hint="default"/>
                <w:color w:val="auto"/>
                <w:sz w:val="24"/>
                <w:highlight w:val="none"/>
                <w:lang w:val="en-US" w:eastAsia="zh-CN"/>
              </w:rPr>
            </w:pPr>
            <w:r>
              <w:rPr>
                <w:rFonts w:hint="eastAsia"/>
                <w:color w:val="auto"/>
                <w:sz w:val="24"/>
                <w:highlight w:val="none"/>
                <w:lang w:val="en-US" w:eastAsia="zh-CN"/>
              </w:rPr>
              <w:t>·混凝土浇筑</w:t>
            </w:r>
          </w:p>
          <w:p w14:paraId="18D24B2D">
            <w:pPr>
              <w:spacing w:line="360" w:lineRule="auto"/>
              <w:ind w:firstLine="482"/>
              <w:rPr>
                <w:rFonts w:hint="eastAsia" w:eastAsia="宋体"/>
                <w:color w:val="auto"/>
                <w:sz w:val="24"/>
                <w:highlight w:val="none"/>
                <w:lang w:eastAsia="zh-CN"/>
              </w:rPr>
            </w:pPr>
            <w:r>
              <w:rPr>
                <w:rFonts w:hint="eastAsia"/>
                <w:color w:val="auto"/>
                <w:sz w:val="24"/>
                <w:highlight w:val="none"/>
                <w:lang w:val="en-US" w:eastAsia="zh-CN"/>
              </w:rPr>
              <w:t>根据建设单位提供的资料，项目</w:t>
            </w:r>
            <w:r>
              <w:rPr>
                <w:rFonts w:hint="eastAsia"/>
                <w:color w:val="auto"/>
                <w:sz w:val="24"/>
                <w:highlight w:val="none"/>
              </w:rPr>
              <w:t>堤基、堤身混凝土、框格及路面等</w:t>
            </w:r>
            <w:r>
              <w:rPr>
                <w:rFonts w:hint="eastAsia"/>
                <w:color w:val="auto"/>
                <w:sz w:val="24"/>
                <w:highlight w:val="none"/>
                <w:lang w:val="en-US" w:eastAsia="zh-CN"/>
              </w:rPr>
              <w:t>采用商品混凝土浇筑。</w:t>
            </w:r>
            <w:r>
              <w:rPr>
                <w:color w:val="auto"/>
                <w:sz w:val="24"/>
                <w:highlight w:val="none"/>
              </w:rPr>
              <w:t>浇筑模板采用钢模。</w:t>
            </w:r>
            <w:r>
              <w:rPr>
                <w:rFonts w:hint="eastAsia"/>
                <w:color w:val="auto"/>
                <w:sz w:val="24"/>
                <w:highlight w:val="none"/>
                <w:lang w:val="en-US" w:eastAsia="zh-CN"/>
              </w:rPr>
              <w:t>施工场地布置</w:t>
            </w:r>
            <w:r>
              <w:rPr>
                <w:color w:val="auto"/>
                <w:sz w:val="24"/>
                <w:highlight w:val="none"/>
              </w:rPr>
              <w:t>钢筋加工棚</w:t>
            </w:r>
            <w:r>
              <w:rPr>
                <w:rFonts w:hint="eastAsia"/>
                <w:color w:val="auto"/>
                <w:sz w:val="24"/>
                <w:highlight w:val="none"/>
                <w:lang w:eastAsia="zh-CN"/>
              </w:rPr>
              <w:t>。</w:t>
            </w:r>
          </w:p>
          <w:p w14:paraId="2DE27237">
            <w:pPr>
              <w:spacing w:line="360" w:lineRule="auto"/>
              <w:ind w:firstLine="482"/>
              <w:rPr>
                <w:rFonts w:hint="eastAsia"/>
                <w:color w:val="auto"/>
                <w:sz w:val="24"/>
                <w:highlight w:val="none"/>
                <w:lang w:val="en-US" w:eastAsia="zh-CN"/>
              </w:rPr>
            </w:pPr>
            <w:r>
              <w:rPr>
                <w:rFonts w:hint="eastAsia"/>
                <w:color w:val="auto"/>
                <w:sz w:val="24"/>
                <w:highlight w:val="none"/>
                <w:lang w:val="en-US" w:eastAsia="zh-CN"/>
              </w:rPr>
              <w:t>基础混凝土浇筑采用人力胶轮车运输转溜槽入仓，插入式振捣器振捣。面板混凝土采用滑模浇筑，人力胶轮车运输配溜槽入仓，表面式振捣器振捣。</w:t>
            </w:r>
          </w:p>
          <w:p w14:paraId="7C1225B1">
            <w:pPr>
              <w:spacing w:line="360" w:lineRule="auto"/>
              <w:ind w:firstLine="482"/>
              <w:rPr>
                <w:rFonts w:hint="eastAsia"/>
                <w:color w:val="auto"/>
                <w:sz w:val="24"/>
                <w:highlight w:val="none"/>
                <w:lang w:val="en-US" w:eastAsia="zh-CN"/>
              </w:rPr>
            </w:pPr>
            <w:r>
              <w:rPr>
                <w:rFonts w:hint="eastAsia"/>
                <w:color w:val="auto"/>
                <w:sz w:val="24"/>
                <w:highlight w:val="none"/>
                <w:lang w:val="en-US" w:eastAsia="zh-CN"/>
              </w:rPr>
              <w:t>混凝土养护：混凝土浇筑后根据气候情况，采取人工洒水养护。</w:t>
            </w:r>
          </w:p>
          <w:p w14:paraId="60522B3C">
            <w:pPr>
              <w:spacing w:line="360" w:lineRule="auto"/>
              <w:ind w:firstLine="482"/>
              <w:rPr>
                <w:rFonts w:hint="eastAsia"/>
                <w:color w:val="auto"/>
                <w:sz w:val="24"/>
                <w:highlight w:val="none"/>
                <w:lang w:val="en-US" w:eastAsia="zh-CN"/>
              </w:rPr>
            </w:pPr>
            <w:r>
              <w:rPr>
                <w:rFonts w:hint="eastAsia"/>
                <w:color w:val="auto"/>
                <w:sz w:val="24"/>
                <w:highlight w:val="none"/>
                <w:lang w:val="en-US" w:eastAsia="zh-CN"/>
              </w:rPr>
              <w:t>·混凝土搅拌</w:t>
            </w:r>
          </w:p>
          <w:p w14:paraId="5B539703">
            <w:pPr>
              <w:spacing w:line="360" w:lineRule="auto"/>
              <w:ind w:firstLine="482"/>
              <w:rPr>
                <w:rFonts w:hint="eastAsia"/>
                <w:color w:val="auto"/>
                <w:sz w:val="24"/>
                <w:highlight w:val="none"/>
                <w:lang w:val="en-US" w:eastAsia="zh-CN"/>
              </w:rPr>
            </w:pPr>
            <w:r>
              <w:rPr>
                <w:rFonts w:hint="eastAsia"/>
                <w:color w:val="auto"/>
                <w:sz w:val="24"/>
                <w:highlight w:val="none"/>
                <w:lang w:val="en-US" w:eastAsia="zh-CN"/>
              </w:rPr>
              <w:t>项目分别在清河镇施工营地、杨家镇施工营地设置混凝土拌和机，制作水泥砂浆。主要用于施工中的局部修补、小型基础、地坪找平、二次结构等。</w:t>
            </w:r>
          </w:p>
          <w:p w14:paraId="1437AFC8">
            <w:pPr>
              <w:spacing w:line="360" w:lineRule="auto"/>
              <w:ind w:firstLine="0"/>
              <w:rPr>
                <w:rFonts w:hint="default"/>
                <w:color w:val="auto"/>
                <w:sz w:val="24"/>
                <w:highlight w:val="none"/>
                <w:lang w:val="en-US" w:eastAsia="zh-CN"/>
              </w:rPr>
            </w:pPr>
            <w:r>
              <w:rPr>
                <w:rFonts w:hint="eastAsia"/>
                <w:color w:val="auto"/>
                <w:sz w:val="24"/>
                <w:highlight w:val="none"/>
                <w:lang w:val="en-US" w:eastAsia="zh-CN"/>
              </w:rPr>
              <w:t>项目养护采用洒水方式。养护用水量小，主要通过蒸发损耗。因此，本次评价不考虑养护废水。该工序主要有设备噪声、粉尘产生。</w:t>
            </w:r>
          </w:p>
          <w:p w14:paraId="2B28D590">
            <w:pPr>
              <w:numPr>
                <w:ilvl w:val="0"/>
                <w:numId w:val="0"/>
              </w:numPr>
              <w:spacing w:line="360" w:lineRule="auto"/>
              <w:ind w:firstLine="482"/>
              <w:rPr>
                <w:rFonts w:hint="eastAsia"/>
                <w:b/>
                <w:color w:val="auto"/>
                <w:sz w:val="24"/>
                <w:highlight w:val="none"/>
                <w:lang w:val="en-US" w:eastAsia="zh-CN"/>
              </w:rPr>
            </w:pPr>
            <w:r>
              <w:rPr>
                <w:rFonts w:hint="eastAsia"/>
                <w:b/>
                <w:color w:val="auto"/>
                <w:sz w:val="24"/>
                <w:highlight w:val="none"/>
                <w:lang w:val="en-US" w:eastAsia="zh-CN"/>
              </w:rPr>
              <w:t>（4）管</w:t>
            </w:r>
            <w:r>
              <w:rPr>
                <w:rFonts w:hint="eastAsia"/>
                <w:b/>
                <w:color w:val="auto"/>
                <w:sz w:val="24"/>
                <w:highlight w:val="none"/>
              </w:rPr>
              <w:t>涵、</w:t>
            </w:r>
            <w:r>
              <w:rPr>
                <w:rFonts w:hint="eastAsia"/>
                <w:b/>
                <w:color w:val="auto"/>
                <w:sz w:val="24"/>
                <w:highlight w:val="none"/>
                <w:lang w:val="en-US" w:eastAsia="zh-CN"/>
              </w:rPr>
              <w:t>人行桥及桥涵</w:t>
            </w:r>
          </w:p>
          <w:p w14:paraId="44DDC9B6">
            <w:pPr>
              <w:numPr>
                <w:ilvl w:val="0"/>
                <w:numId w:val="0"/>
              </w:numPr>
              <w:spacing w:line="360" w:lineRule="auto"/>
              <w:ind w:firstLine="0"/>
              <w:rPr>
                <w:rFonts w:hint="default"/>
                <w:b/>
                <w:color w:val="auto"/>
                <w:sz w:val="24"/>
                <w:highlight w:val="none"/>
                <w:lang w:val="en-US" w:eastAsia="zh-CN"/>
              </w:rPr>
            </w:pPr>
            <w:r>
              <w:rPr>
                <w:rFonts w:hint="eastAsia"/>
                <w:b/>
                <w:color w:val="auto"/>
                <w:sz w:val="24"/>
                <w:highlight w:val="none"/>
                <w:lang w:val="en-US" w:eastAsia="zh-CN"/>
              </w:rPr>
              <w:t xml:space="preserve">    </w:t>
            </w:r>
            <w:r>
              <w:rPr>
                <w:rFonts w:hint="eastAsia"/>
                <w:b w:val="0"/>
                <w:bCs/>
                <w:color w:val="auto"/>
                <w:sz w:val="24"/>
                <w:highlight w:val="none"/>
                <w:lang w:val="en-US" w:eastAsia="zh-CN"/>
              </w:rPr>
              <w:t>·管涵</w:t>
            </w:r>
          </w:p>
          <w:p w14:paraId="2C51E09C">
            <w:pPr>
              <w:spacing w:line="360" w:lineRule="auto"/>
              <w:ind w:firstLine="482"/>
              <w:rPr>
                <w:rFonts w:hint="eastAsia"/>
                <w:bCs/>
                <w:color w:val="auto"/>
                <w:sz w:val="24"/>
                <w:highlight w:val="none"/>
                <w:lang w:val="en-US" w:eastAsia="zh-CN"/>
              </w:rPr>
            </w:pPr>
            <w:r>
              <w:rPr>
                <w:rFonts w:hint="eastAsia"/>
                <w:bCs/>
                <w:color w:val="auto"/>
                <w:sz w:val="24"/>
                <w:highlight w:val="none"/>
                <w:lang w:val="en-US" w:eastAsia="zh-CN"/>
              </w:rPr>
              <w:t>该段涉及14座管涵（清河镇10处、杨家镇4处）施工。根据调查，项目采用钢筋混凝土穿堤涵管。新建堤防段穿堤管涵采用明挖法施工，现有堤防采用顶管施工。</w:t>
            </w:r>
          </w:p>
          <w:p w14:paraId="0484439E">
            <w:pPr>
              <w:spacing w:line="360" w:lineRule="auto"/>
              <w:ind w:firstLine="482"/>
              <w:rPr>
                <w:rFonts w:hint="eastAsia"/>
                <w:bCs/>
                <w:color w:val="auto"/>
                <w:sz w:val="24"/>
                <w:highlight w:val="none"/>
                <w:lang w:val="en-US" w:eastAsia="zh-CN"/>
              </w:rPr>
            </w:pPr>
            <w:r>
              <w:rPr>
                <w:rFonts w:hint="eastAsia"/>
                <w:bCs/>
                <w:color w:val="auto"/>
                <w:sz w:val="24"/>
                <w:highlight w:val="none"/>
                <w:lang w:val="en-US" w:eastAsia="zh-CN"/>
              </w:rPr>
              <w:t>该工序有设备噪声、施工弃渣、闭水试验废水。</w:t>
            </w:r>
          </w:p>
          <w:p w14:paraId="23573F42">
            <w:pPr>
              <w:spacing w:line="360" w:lineRule="auto"/>
              <w:ind w:firstLine="482"/>
              <w:rPr>
                <w:rFonts w:hint="eastAsia"/>
                <w:bCs/>
                <w:color w:val="auto"/>
                <w:sz w:val="24"/>
                <w:highlight w:val="none"/>
                <w:lang w:val="en-US" w:eastAsia="zh-CN"/>
              </w:rPr>
            </w:pPr>
            <w:r>
              <w:rPr>
                <w:rFonts w:hint="eastAsia"/>
                <w:bCs/>
                <w:color w:val="auto"/>
                <w:sz w:val="24"/>
                <w:highlight w:val="none"/>
                <w:lang w:val="en-US" w:eastAsia="zh-CN"/>
              </w:rPr>
              <w:t>·人行桥及桥涵</w:t>
            </w:r>
          </w:p>
          <w:p w14:paraId="50AA68EB">
            <w:pPr>
              <w:keepNext w:val="0"/>
              <w:keepLines w:val="0"/>
              <w:widowControl/>
              <w:suppressLineNumbers w:val="0"/>
              <w:ind w:firstLine="482"/>
              <w:rPr>
                <w:rFonts w:hint="eastAsia" w:ascii="Times New Roman" w:hAnsi="Times New Roman" w:eastAsia="宋体" w:cs="Times New Roman"/>
                <w:bCs/>
                <w:color w:val="auto"/>
                <w:highlight w:val="none"/>
                <w:lang w:val="en-US" w:eastAsia="zh-CN"/>
              </w:rPr>
            </w:pPr>
            <w:r>
              <w:rPr>
                <w:rFonts w:hint="eastAsia"/>
                <w:bCs/>
                <w:color w:val="auto"/>
                <w:sz w:val="24"/>
                <w:highlight w:val="none"/>
                <w:lang w:val="en-US" w:eastAsia="zh-CN"/>
              </w:rPr>
              <w:t>人行</w:t>
            </w:r>
            <w:r>
              <w:rPr>
                <w:rFonts w:hint="eastAsia" w:ascii="Times New Roman" w:hAnsi="Times New Roman" w:eastAsia="宋体" w:cs="Times New Roman"/>
                <w:bCs/>
                <w:color w:val="auto"/>
                <w:sz w:val="24"/>
                <w:highlight w:val="none"/>
                <w:lang w:val="en-US" w:eastAsia="zh-CN"/>
              </w:rPr>
              <w:t>桥工程工艺流程主要分为场地平整、桩基施工、墩柱和盖梁、上部结构安装、桥面与附属施工等内容</w:t>
            </w:r>
            <w:r>
              <w:rPr>
                <w:rFonts w:hint="eastAsia" w:ascii="Times New Roman" w:hAnsi="Times New Roman" w:eastAsia="宋体" w:cs="Times New Roman"/>
                <w:bCs/>
                <w:color w:val="auto"/>
                <w:highlight w:val="none"/>
                <w:lang w:val="en-US" w:eastAsia="zh-CN"/>
              </w:rPr>
              <w:t>。</w:t>
            </w:r>
          </w:p>
          <w:p w14:paraId="2E255764">
            <w:pPr>
              <w:pStyle w:val="10"/>
              <w:keepNext w:val="0"/>
              <w:keepLines w:val="0"/>
              <w:widowControl w:val="0"/>
              <w:suppressLineNumbers w:val="0"/>
              <w:spacing w:beforeAutospacing="0" w:afterAutospacing="0"/>
              <w:rPr>
                <w:color w:val="auto"/>
                <w:highlight w:val="none"/>
              </w:rPr>
            </w:pPr>
            <w:r>
              <w:rPr>
                <w:rFonts w:hint="eastAsia" w:ascii="Times New Roman" w:hAnsi="Times New Roman" w:eastAsia="宋体" w:cs="Times New Roman"/>
                <w:bCs/>
                <w:color w:val="auto"/>
                <w:highlight w:val="none"/>
                <w:lang w:val="en-US" w:eastAsia="zh-CN"/>
              </w:rPr>
              <w:t>桥涵工程工艺流程主要包括场地平整、涵洞基坑处理及浇筑、洞身施工、洞口与回填等部分。</w:t>
            </w:r>
            <w:r>
              <w:rPr>
                <w:color w:val="auto"/>
                <w:highlight w:val="none"/>
              </w:rPr>
              <w:t>机械开挖配合人工清底，软弱地基采用换填土或抛石挤淤法</w:t>
            </w:r>
            <w:r>
              <w:rPr>
                <w:rFonts w:hint="eastAsia"/>
                <w:color w:val="auto"/>
                <w:highlight w:val="none"/>
                <w:lang w:eastAsia="zh-CN"/>
              </w:rPr>
              <w:t>。</w:t>
            </w:r>
          </w:p>
          <w:p w14:paraId="1FDD27EF">
            <w:pPr>
              <w:spacing w:line="360" w:lineRule="auto"/>
              <w:ind w:firstLine="482"/>
              <w:rPr>
                <w:rFonts w:hint="eastAsia"/>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该过程会产生施工扬尘、焊接烟尘、基坑渗水、场地清理固废、施工噪声等。基坑渗水经沉淀后</w:t>
            </w:r>
            <w:r>
              <w:rPr>
                <w:rFonts w:hint="default" w:ascii="Times New Roman" w:hAnsi="Times New Roman" w:cs="Times New Roman"/>
                <w:color w:val="auto"/>
                <w:sz w:val="24"/>
                <w:szCs w:val="24"/>
                <w:highlight w:val="none"/>
                <w:lang w:val="fr-FR" w:eastAsia="zh-CN"/>
              </w:rPr>
              <w:t>排入河流</w:t>
            </w:r>
            <w:r>
              <w:rPr>
                <w:rFonts w:hint="eastAsia"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highlight w:val="none"/>
              </w:rPr>
              <w:t>焊接烟尘配备净化设备</w:t>
            </w:r>
            <w:r>
              <w:rPr>
                <w:rFonts w:hint="eastAsia" w:ascii="Times New Roman" w:hAnsi="Times New Roman" w:eastAsia="宋体" w:cs="Times New Roman"/>
                <w:bCs/>
                <w:color w:val="auto"/>
                <w:highlight w:val="none"/>
                <w:lang w:eastAsia="zh-CN"/>
              </w:rPr>
              <w:t>。</w:t>
            </w:r>
            <w:r>
              <w:rPr>
                <w:rFonts w:hint="eastAsia" w:ascii="Times New Roman" w:hAnsi="Times New Roman" w:eastAsia="宋体" w:cs="Times New Roman"/>
                <w:bCs/>
                <w:color w:val="auto"/>
                <w:highlight w:val="none"/>
                <w:lang w:val="en-US" w:eastAsia="zh-CN"/>
              </w:rPr>
              <w:t>废钢筋回收利用，建筑垃圾分类清运处理。</w:t>
            </w:r>
          </w:p>
          <w:p w14:paraId="0CDF92FF">
            <w:pPr>
              <w:spacing w:line="360" w:lineRule="auto"/>
              <w:ind w:firstLine="482"/>
              <w:rPr>
                <w:rFonts w:hint="eastAsia"/>
                <w:bCs/>
                <w:color w:val="auto"/>
                <w:sz w:val="24"/>
                <w:highlight w:val="none"/>
                <w:lang w:val="en-US" w:eastAsia="zh-CN"/>
              </w:rPr>
            </w:pPr>
            <w:r>
              <w:rPr>
                <w:rFonts w:hint="eastAsia"/>
                <w:bCs/>
                <w:color w:val="auto"/>
                <w:sz w:val="24"/>
                <w:highlight w:val="none"/>
                <w:lang w:val="en-US" w:eastAsia="zh-CN"/>
              </w:rPr>
              <w:t>该段涉及人行桥2座（清河镇1座、杨家镇1座）、桥涵2座（清河镇1座、杨家镇1座）。</w:t>
            </w:r>
            <w:r>
              <w:rPr>
                <w:rFonts w:hint="eastAsia" w:hAnsi="宋体"/>
                <w:color w:val="auto"/>
                <w:kern w:val="0"/>
                <w:sz w:val="24"/>
                <w:highlight w:val="none"/>
                <w:lang w:val="en-US" w:eastAsia="zh-CN"/>
              </w:rPr>
              <w:t>项目桥涵及人行桥的桥墩均布置在河道两侧岸坡。</w:t>
            </w:r>
          </w:p>
          <w:p w14:paraId="5F407D7E">
            <w:pPr>
              <w:spacing w:line="360" w:lineRule="auto"/>
              <w:ind w:firstLine="482"/>
              <w:rPr>
                <w:rFonts w:hint="eastAsia"/>
                <w:bCs/>
                <w:color w:val="auto"/>
                <w:sz w:val="24"/>
                <w:highlight w:val="none"/>
                <w:lang w:val="en-US" w:eastAsia="zh-CN"/>
              </w:rPr>
            </w:pPr>
            <w:r>
              <w:rPr>
                <w:rFonts w:hint="eastAsia"/>
                <w:bCs/>
                <w:color w:val="auto"/>
                <w:sz w:val="24"/>
                <w:highlight w:val="none"/>
                <w:lang w:val="en-US" w:eastAsia="zh-CN"/>
              </w:rPr>
              <w:t>清河镇</w:t>
            </w:r>
            <w:r>
              <w:rPr>
                <w:rFonts w:hint="default" w:ascii="Times New Roman" w:hAnsi="宋体" w:eastAsia="宋体" w:cs="Times New Roman"/>
                <w:b w:val="0"/>
                <w:color w:val="auto"/>
                <w:kern w:val="0"/>
                <w:sz w:val="24"/>
                <w:szCs w:val="24"/>
                <w:highlight w:val="none"/>
                <w:lang w:val="en-US" w:eastAsia="zh-CN" w:bidi="ar-SA"/>
              </w:rPr>
              <w:t>主河道支流桥涵</w:t>
            </w:r>
            <w:r>
              <w:rPr>
                <w:rFonts w:hint="eastAsia" w:ascii="Times New Roman" w:hAnsi="宋体" w:eastAsia="宋体" w:cs="Times New Roman"/>
                <w:b w:val="0"/>
                <w:color w:val="auto"/>
                <w:kern w:val="0"/>
                <w:sz w:val="24"/>
                <w:szCs w:val="24"/>
                <w:highlight w:val="none"/>
                <w:lang w:val="en-US" w:eastAsia="zh-CN" w:bidi="ar-SA"/>
              </w:rPr>
              <w:t>和杨家镇桥涵均</w:t>
            </w:r>
            <w:r>
              <w:rPr>
                <w:rFonts w:hint="eastAsia"/>
                <w:bCs/>
                <w:color w:val="auto"/>
                <w:sz w:val="24"/>
                <w:highlight w:val="none"/>
                <w:lang w:val="en-US" w:eastAsia="zh-CN"/>
              </w:rPr>
              <w:t>采用单跨简支梁板桥结构，净跨6m，桥板连接堤顶路面，采用π形梁结构，桥面宽3m，板厚0.12m，梁尺寸0.25m×0.60m（宽×高）；两侧桥墩采用C20重力式挡墙，面坡竖直，背坡1:0.5，顶宽0.5m，埋深1m，墙总高2.5m~7.24m；底板上下游分别与原河道衔接，采用0.2m厚C20砼。底板高程289.40m。</w:t>
            </w:r>
          </w:p>
          <w:p w14:paraId="01D94FFC">
            <w:pPr>
              <w:spacing w:line="360" w:lineRule="auto"/>
              <w:ind w:firstLine="482"/>
              <w:rPr>
                <w:rFonts w:hint="eastAsia"/>
                <w:bCs/>
                <w:color w:val="auto"/>
                <w:sz w:val="24"/>
                <w:highlight w:val="none"/>
                <w:lang w:val="en-US" w:eastAsia="zh-CN"/>
              </w:rPr>
            </w:pPr>
            <w:r>
              <w:rPr>
                <w:rFonts w:hint="eastAsia"/>
                <w:bCs/>
                <w:color w:val="auto"/>
                <w:sz w:val="24"/>
                <w:highlight w:val="none"/>
                <w:lang w:val="en-US" w:eastAsia="zh-CN"/>
              </w:rPr>
              <w:t>清河镇田家沟支流人行桥采用单跨简支梁板桥结构，净跨4m，桥板连接田家沟右岸新建亲水步道，采用π形梁结构，桥面宽2m，板厚0.12m，梁尺寸0.2m×0.50m（宽×高）；两侧桥墩采用C20重力式挡墙，面坡1:0.1，背坡1:0.4，顶宽0.5m，埋深1m~1.25m，墙总高1.2m~4.0m；底板上下游分别与原河道衔接，采用0.2m厚C20砼，底板高程290.50m~290.92m。</w:t>
            </w:r>
          </w:p>
          <w:p w14:paraId="72F3C562">
            <w:pPr>
              <w:spacing w:line="360" w:lineRule="auto"/>
              <w:ind w:firstLine="482"/>
              <w:rPr>
                <w:color w:val="auto"/>
                <w:highlight w:val="none"/>
              </w:rPr>
            </w:pPr>
            <w:r>
              <w:rPr>
                <w:rFonts w:hint="default" w:hAnsi="宋体"/>
                <w:color w:val="auto"/>
                <w:kern w:val="0"/>
                <w:sz w:val="24"/>
                <w:highlight w:val="none"/>
                <w:lang w:val="en-US" w:eastAsia="zh-CN"/>
              </w:rPr>
              <w:t>姜家沟支流人行桥采用单跨简支梁板桥结构，净跨4m，桥板连接主河道新建亲水马道，简支板结构，桥面宽2m，板厚0.12m，梁尺寸0.2m×0.50m（宽×高）；两侧桥墩采用C20重力式挡墙，面坡1:0.1，背坡1:0.4，顶宽0.6m，埋深1m~1.25m，墙高2.0m~4.0m</w:t>
            </w:r>
            <w:r>
              <w:rPr>
                <w:rFonts w:hint="eastAsia" w:hAnsi="宋体"/>
                <w:color w:val="auto"/>
                <w:kern w:val="0"/>
                <w:sz w:val="24"/>
                <w:highlight w:val="none"/>
                <w:lang w:val="en-US" w:eastAsia="zh-CN"/>
              </w:rPr>
              <w:t>。</w:t>
            </w:r>
          </w:p>
          <w:p w14:paraId="665B02BB">
            <w:pPr>
              <w:spacing w:line="360" w:lineRule="auto"/>
              <w:ind w:left="0" w:leftChars="0" w:firstLine="482" w:firstLineChars="200"/>
              <w:rPr>
                <w:rFonts w:hint="eastAsia"/>
                <w:b/>
                <w:bCs/>
                <w:color w:val="auto"/>
                <w:sz w:val="24"/>
                <w:highlight w:val="none"/>
                <w:lang w:val="en-US" w:eastAsia="zh-CN"/>
              </w:rPr>
            </w:pPr>
            <w:r>
              <w:rPr>
                <w:rFonts w:hint="eastAsia"/>
                <w:b/>
                <w:bCs/>
                <w:color w:val="auto"/>
                <w:sz w:val="24"/>
                <w:highlight w:val="none"/>
                <w:lang w:val="en-US" w:eastAsia="zh-CN"/>
              </w:rPr>
              <w:t>（5）护坡</w:t>
            </w:r>
          </w:p>
          <w:p w14:paraId="245BE20D">
            <w:pPr>
              <w:spacing w:line="360" w:lineRule="auto"/>
              <w:rPr>
                <w:rFonts w:hint="default"/>
                <w:b/>
                <w:bCs/>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根据建设单位提供的资料，项目护坡采用三维土工网垫+草皮护坡。</w:t>
            </w:r>
          </w:p>
          <w:p w14:paraId="2943F80F">
            <w:pPr>
              <w:spacing w:line="360" w:lineRule="auto"/>
              <w:ind w:firstLine="482"/>
              <w:rPr>
                <w:rFonts w:hint="eastAsia"/>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三维土工网垫施工+草皮护坡</w:t>
            </w:r>
            <w:r>
              <w:rPr>
                <w:rFonts w:hint="eastAsia"/>
                <w:color w:val="auto"/>
                <w:sz w:val="24"/>
                <w:highlight w:val="none"/>
                <w:lang w:val="en-US" w:eastAsia="zh-CN"/>
              </w:rPr>
              <w:t>施工程序如下：护坡平整→三维土工网垫安装→种植土覆盖→草皮护坡。</w:t>
            </w:r>
          </w:p>
          <w:p w14:paraId="15BAD992">
            <w:pPr>
              <w:spacing w:line="360" w:lineRule="auto"/>
              <w:ind w:firstLine="482"/>
              <w:rPr>
                <w:rFonts w:hint="eastAsia"/>
                <w:color w:val="auto"/>
                <w:sz w:val="24"/>
                <w:highlight w:val="none"/>
                <w:lang w:val="en-US" w:eastAsia="zh-CN"/>
              </w:rPr>
            </w:pPr>
            <w:r>
              <w:rPr>
                <w:rFonts w:hint="eastAsia"/>
                <w:color w:val="auto"/>
                <w:sz w:val="24"/>
                <w:highlight w:val="none"/>
                <w:lang w:val="en-US" w:eastAsia="zh-CN"/>
              </w:rPr>
              <w:t>护坡平整：坡面根据图纸采用机械配合人工进行整形、平整。</w:t>
            </w:r>
          </w:p>
          <w:p w14:paraId="1906935A">
            <w:pPr>
              <w:spacing w:line="360" w:lineRule="auto"/>
              <w:ind w:firstLine="482"/>
              <w:rPr>
                <w:rFonts w:hint="eastAsia"/>
                <w:color w:val="auto"/>
                <w:sz w:val="24"/>
                <w:highlight w:val="none"/>
                <w:lang w:val="en-US" w:eastAsia="zh-CN"/>
              </w:rPr>
            </w:pPr>
            <w:r>
              <w:rPr>
                <w:rFonts w:hint="eastAsia"/>
                <w:color w:val="auto"/>
                <w:sz w:val="24"/>
                <w:highlight w:val="none"/>
                <w:lang w:val="en-US" w:eastAsia="zh-CN"/>
              </w:rPr>
              <w:t>三维土工网垫安装：三维土工网垫购买后利用汽车运至工作面附件，采用人工进行转运及安装。</w:t>
            </w:r>
          </w:p>
          <w:p w14:paraId="331D7939">
            <w:pPr>
              <w:spacing w:line="360" w:lineRule="auto"/>
              <w:ind w:firstLine="482"/>
              <w:rPr>
                <w:rFonts w:hint="eastAsia"/>
                <w:color w:val="auto"/>
                <w:sz w:val="24"/>
                <w:highlight w:val="none"/>
                <w:lang w:val="en-US" w:eastAsia="zh-CN"/>
              </w:rPr>
            </w:pPr>
            <w:r>
              <w:rPr>
                <w:rFonts w:hint="eastAsia"/>
                <w:color w:val="auto"/>
                <w:sz w:val="24"/>
                <w:highlight w:val="none"/>
                <w:lang w:val="en-US" w:eastAsia="zh-CN"/>
              </w:rPr>
              <w:t>种植土覆盖：坡面土石回填完毕，将种植土均匀覆盖于坡面上。</w:t>
            </w:r>
          </w:p>
          <w:p w14:paraId="34BF8659">
            <w:pPr>
              <w:spacing w:line="360" w:lineRule="auto"/>
              <w:ind w:firstLine="482"/>
              <w:rPr>
                <w:rFonts w:hint="eastAsia"/>
                <w:color w:val="auto"/>
                <w:sz w:val="24"/>
                <w:highlight w:val="none"/>
                <w:lang w:val="en-US" w:eastAsia="zh-CN"/>
              </w:rPr>
            </w:pPr>
            <w:r>
              <w:rPr>
                <w:rFonts w:hint="eastAsia"/>
                <w:color w:val="auto"/>
                <w:sz w:val="24"/>
                <w:highlight w:val="none"/>
                <w:lang w:val="en-US" w:eastAsia="zh-CN"/>
              </w:rPr>
              <w:t>草皮铺设：采用种植草法。按1:2的比例散铺即2m</w:t>
            </w:r>
            <w:r>
              <w:rPr>
                <w:rFonts w:hint="eastAsia"/>
                <w:color w:val="auto"/>
                <w:sz w:val="24"/>
                <w:highlight w:val="none"/>
                <w:vertAlign w:val="superscript"/>
                <w:lang w:val="en-US" w:eastAsia="zh-CN"/>
              </w:rPr>
              <w:t>2</w:t>
            </w:r>
            <w:r>
              <w:rPr>
                <w:rFonts w:hint="eastAsia"/>
                <w:color w:val="auto"/>
                <w:sz w:val="24"/>
                <w:highlight w:val="none"/>
                <w:lang w:val="en-US" w:eastAsia="zh-CN"/>
              </w:rPr>
              <w:t>的坡面铺设1m</w:t>
            </w:r>
            <w:r>
              <w:rPr>
                <w:rFonts w:hint="eastAsia"/>
                <w:color w:val="auto"/>
                <w:sz w:val="24"/>
                <w:highlight w:val="none"/>
                <w:vertAlign w:val="superscript"/>
                <w:lang w:val="en-US" w:eastAsia="zh-CN"/>
              </w:rPr>
              <w:t>2</w:t>
            </w:r>
            <w:r>
              <w:rPr>
                <w:rFonts w:hint="eastAsia"/>
                <w:color w:val="auto"/>
                <w:sz w:val="24"/>
                <w:highlight w:val="none"/>
                <w:lang w:val="en-US" w:eastAsia="zh-CN"/>
              </w:rPr>
              <w:t>的草皮。</w:t>
            </w:r>
          </w:p>
          <w:p w14:paraId="050E5616">
            <w:pPr>
              <w:spacing w:line="360" w:lineRule="auto"/>
              <w:rPr>
                <w:rFonts w:hint="eastAsia"/>
                <w:b/>
                <w:bCs/>
                <w:color w:val="auto"/>
                <w:sz w:val="24"/>
                <w:highlight w:val="none"/>
              </w:rPr>
            </w:pPr>
            <w:r>
              <w:rPr>
                <w:rFonts w:hint="eastAsia"/>
                <w:b/>
                <w:bCs/>
                <w:color w:val="auto"/>
                <w:sz w:val="24"/>
                <w:highlight w:val="none"/>
                <w:lang w:val="en-US" w:eastAsia="zh-CN"/>
              </w:rPr>
              <w:t>（6）</w:t>
            </w:r>
            <w:r>
              <w:rPr>
                <w:rFonts w:hint="eastAsia"/>
                <w:b/>
                <w:bCs/>
                <w:color w:val="auto"/>
                <w:sz w:val="24"/>
                <w:highlight w:val="none"/>
              </w:rPr>
              <w:t>河道</w:t>
            </w:r>
            <w:r>
              <w:rPr>
                <w:b/>
                <w:bCs/>
                <w:color w:val="auto"/>
                <w:sz w:val="24"/>
                <w:highlight w:val="none"/>
              </w:rPr>
              <w:t>疏浚</w:t>
            </w:r>
          </w:p>
          <w:p w14:paraId="0AE10BED">
            <w:pPr>
              <w:spacing w:line="360" w:lineRule="auto"/>
              <w:ind w:firstLine="480"/>
              <w:rPr>
                <w:rFonts w:hint="default" w:eastAsia="宋体"/>
                <w:color w:val="auto"/>
                <w:sz w:val="24"/>
                <w:highlight w:val="none"/>
                <w:lang w:val="en-US" w:eastAsia="zh-CN"/>
              </w:rPr>
            </w:pPr>
            <w:r>
              <w:rPr>
                <w:rFonts w:hint="eastAsia"/>
                <w:color w:val="auto"/>
                <w:sz w:val="24"/>
                <w:highlight w:val="none"/>
                <w:lang w:val="en-US" w:eastAsia="zh-CN"/>
              </w:rPr>
              <w:t>根据建设单位提供的资料，</w:t>
            </w:r>
            <w:r>
              <w:rPr>
                <w:rFonts w:hint="eastAsia" w:ascii="Times New Roman" w:hAnsi="宋体" w:eastAsia="宋体" w:cs="Times New Roman"/>
                <w:b w:val="0"/>
                <w:color w:val="auto"/>
                <w:kern w:val="0"/>
                <w:sz w:val="24"/>
                <w:szCs w:val="24"/>
                <w:highlight w:val="none"/>
                <w:lang w:val="en-US" w:eastAsia="zh-CN" w:bidi="ar-SA"/>
              </w:rPr>
              <w:t>清河镇</w:t>
            </w:r>
            <w:r>
              <w:rPr>
                <w:rFonts w:hint="eastAsia" w:hAnsi="宋体" w:eastAsia="宋体" w:cs="Times New Roman"/>
                <w:b w:val="0"/>
                <w:color w:val="auto"/>
                <w:kern w:val="0"/>
                <w:sz w:val="24"/>
                <w:szCs w:val="24"/>
                <w:highlight w:val="none"/>
                <w:lang w:val="en-US" w:eastAsia="zh-CN" w:bidi="ar-SA"/>
              </w:rPr>
              <w:t>段</w:t>
            </w:r>
            <w:r>
              <w:rPr>
                <w:rFonts w:hint="default" w:ascii="Times New Roman" w:hAnsi="Times New Roman" w:cs="Times New Roman"/>
                <w:b w:val="0"/>
                <w:bCs/>
                <w:snapToGrid w:val="0"/>
                <w:color w:val="auto"/>
                <w:sz w:val="24"/>
                <w:szCs w:val="24"/>
                <w:highlight w:val="none"/>
              </w:rPr>
              <w:t>清淤范围为</w:t>
            </w:r>
            <w:r>
              <w:rPr>
                <w:rFonts w:hint="eastAsia" w:hAnsi="Times New Roman" w:cs="Times New Roman"/>
                <w:b w:val="0"/>
                <w:bCs/>
                <w:snapToGrid w:val="0"/>
                <w:color w:val="auto"/>
                <w:sz w:val="24"/>
                <w:szCs w:val="24"/>
                <w:highlight w:val="none"/>
                <w:lang w:val="en-US" w:eastAsia="zh-CN"/>
              </w:rPr>
              <w:t>本</w:t>
            </w:r>
            <w:r>
              <w:rPr>
                <w:b w:val="0"/>
                <w:bCs/>
                <w:color w:val="auto"/>
                <w:sz w:val="24"/>
                <w:szCs w:val="24"/>
                <w:highlight w:val="none"/>
              </w:rPr>
              <w:t>河段全段</w:t>
            </w:r>
            <w:r>
              <w:rPr>
                <w:rFonts w:hint="eastAsia"/>
                <w:b w:val="0"/>
                <w:bCs/>
                <w:color w:val="auto"/>
                <w:sz w:val="24"/>
                <w:szCs w:val="24"/>
                <w:highlight w:val="none"/>
                <w:lang w:val="en-US" w:eastAsia="zh-CN"/>
              </w:rPr>
              <w:t>河段范围</w:t>
            </w:r>
            <w:r>
              <w:rPr>
                <w:b w:val="0"/>
                <w:bCs/>
                <w:color w:val="auto"/>
                <w:sz w:val="24"/>
                <w:szCs w:val="24"/>
                <w:highlight w:val="none"/>
              </w:rPr>
              <w:t>，</w:t>
            </w:r>
            <w:r>
              <w:rPr>
                <w:rFonts w:hint="eastAsia"/>
                <w:b w:val="0"/>
                <w:bCs/>
                <w:color w:val="auto"/>
                <w:sz w:val="24"/>
                <w:szCs w:val="24"/>
                <w:highlight w:val="none"/>
                <w:lang w:val="en-US" w:eastAsia="zh-CN"/>
              </w:rPr>
              <w:t>清淤长度为4133</w:t>
            </w:r>
            <w:r>
              <w:rPr>
                <w:b w:val="0"/>
                <w:bCs/>
                <w:color w:val="auto"/>
                <w:sz w:val="24"/>
                <w:szCs w:val="24"/>
                <w:highlight w:val="none"/>
              </w:rPr>
              <w:t>m</w:t>
            </w:r>
            <w:r>
              <w:rPr>
                <w:rFonts w:hint="eastAsia"/>
                <w:b w:val="0"/>
                <w:bCs/>
                <w:color w:val="auto"/>
                <w:sz w:val="24"/>
                <w:szCs w:val="24"/>
                <w:highlight w:val="none"/>
                <w:lang w:val="en-US" w:eastAsia="zh-CN"/>
              </w:rPr>
              <w:t>。</w:t>
            </w:r>
            <w:r>
              <w:rPr>
                <w:b w:val="0"/>
                <w:bCs/>
                <w:color w:val="auto"/>
                <w:sz w:val="24"/>
                <w:szCs w:val="24"/>
                <w:highlight w:val="none"/>
              </w:rPr>
              <w:t>治理对象包括干流段和支流段两部分</w:t>
            </w:r>
            <w:r>
              <w:rPr>
                <w:rFonts w:hint="eastAsia"/>
                <w:b w:val="0"/>
                <w:bCs/>
                <w:color w:val="auto"/>
                <w:sz w:val="24"/>
                <w:szCs w:val="24"/>
                <w:highlight w:val="none"/>
              </w:rPr>
              <w:t>，</w:t>
            </w:r>
            <w:r>
              <w:rPr>
                <w:b w:val="0"/>
                <w:bCs/>
                <w:color w:val="auto"/>
                <w:sz w:val="24"/>
                <w:szCs w:val="24"/>
                <w:highlight w:val="none"/>
              </w:rPr>
              <w:t>其中东柳河干流段治理长度</w:t>
            </w:r>
            <w:r>
              <w:rPr>
                <w:rFonts w:hint="eastAsia"/>
                <w:b w:val="0"/>
                <w:bCs/>
                <w:color w:val="auto"/>
                <w:sz w:val="24"/>
                <w:szCs w:val="24"/>
                <w:highlight w:val="none"/>
              </w:rPr>
              <w:t>3808</w:t>
            </w:r>
            <w:r>
              <w:rPr>
                <w:b w:val="0"/>
                <w:bCs/>
                <w:color w:val="auto"/>
                <w:sz w:val="24"/>
                <w:szCs w:val="24"/>
                <w:highlight w:val="none"/>
              </w:rPr>
              <w:t>m，起于</w:t>
            </w:r>
            <w:r>
              <w:rPr>
                <w:rFonts w:hint="eastAsia"/>
                <w:b w:val="0"/>
                <w:bCs/>
                <w:color w:val="auto"/>
                <w:sz w:val="24"/>
                <w:szCs w:val="24"/>
                <w:highlight w:val="none"/>
              </w:rPr>
              <w:t>4#公路桥</w:t>
            </w:r>
            <w:r>
              <w:rPr>
                <w:b w:val="0"/>
                <w:bCs/>
                <w:color w:val="auto"/>
                <w:sz w:val="24"/>
                <w:szCs w:val="24"/>
                <w:highlight w:val="none"/>
              </w:rPr>
              <w:t>止于刘家河拦水堰；田家沟支流段治理长度</w:t>
            </w:r>
            <w:r>
              <w:rPr>
                <w:rFonts w:hint="eastAsia"/>
                <w:b w:val="0"/>
                <w:bCs/>
                <w:color w:val="auto"/>
                <w:sz w:val="24"/>
                <w:szCs w:val="24"/>
                <w:highlight w:val="none"/>
              </w:rPr>
              <w:t>325m，起于5#公路桥上游约200m处止于汇合口处</w:t>
            </w:r>
            <w:r>
              <w:rPr>
                <w:rFonts w:hint="eastAsia" w:ascii="Times New Roman" w:hAnsi="宋体" w:eastAsia="宋体" w:cs="Times New Roman"/>
                <w:b w:val="0"/>
                <w:color w:val="auto"/>
                <w:kern w:val="0"/>
                <w:sz w:val="24"/>
                <w:szCs w:val="24"/>
                <w:highlight w:val="none"/>
                <w:lang w:val="en-US" w:eastAsia="zh-CN" w:bidi="ar-SA"/>
              </w:rPr>
              <w:t>，疏浚量约</w:t>
            </w:r>
            <w:r>
              <w:rPr>
                <w:rFonts w:hint="eastAsia" w:cs="Times New Roman"/>
                <w:b w:val="0"/>
                <w:color w:val="auto"/>
                <w:kern w:val="0"/>
                <w:sz w:val="24"/>
                <w:szCs w:val="24"/>
                <w:highlight w:val="none"/>
                <w:lang w:val="en-US" w:eastAsia="zh-CN" w:bidi="ar-SA"/>
              </w:rPr>
              <w:t>16532</w:t>
            </w:r>
            <w:r>
              <w:rPr>
                <w:rFonts w:hint="eastAsia" w:ascii="Times New Roman" w:hAnsi="宋体" w:eastAsia="宋体" w:cs="Times New Roman"/>
                <w:b w:val="0"/>
                <w:color w:val="auto"/>
                <w:kern w:val="0"/>
                <w:sz w:val="24"/>
                <w:szCs w:val="24"/>
                <w:highlight w:val="none"/>
                <w:lang w:val="en-US" w:eastAsia="zh-CN" w:bidi="ar-SA"/>
              </w:rPr>
              <w:t>m</w:t>
            </w:r>
            <w:r>
              <w:rPr>
                <w:rFonts w:hint="eastAsia" w:ascii="Times New Roman" w:hAnsi="宋体" w:eastAsia="宋体" w:cs="Times New Roman"/>
                <w:b w:val="0"/>
                <w:color w:val="auto"/>
                <w:kern w:val="0"/>
                <w:sz w:val="24"/>
                <w:szCs w:val="24"/>
                <w:highlight w:val="none"/>
                <w:vertAlign w:val="superscript"/>
                <w:lang w:val="en-US" w:eastAsia="zh-CN" w:bidi="ar-SA"/>
              </w:rPr>
              <w:t>3</w:t>
            </w:r>
            <w:r>
              <w:rPr>
                <w:rFonts w:hint="eastAsia" w:ascii="Times New Roman" w:hAnsi="宋体" w:eastAsia="宋体" w:cs="Times New Roman"/>
                <w:b w:val="0"/>
                <w:color w:val="auto"/>
                <w:kern w:val="0"/>
                <w:sz w:val="24"/>
                <w:szCs w:val="24"/>
                <w:highlight w:val="none"/>
                <w:lang w:val="en-US" w:eastAsia="zh-CN" w:bidi="ar-SA"/>
              </w:rPr>
              <w:t>。</w:t>
            </w:r>
            <w:r>
              <w:rPr>
                <w:rFonts w:hint="eastAsia" w:hAnsi="宋体"/>
                <w:color w:val="auto"/>
                <w:kern w:val="0"/>
                <w:sz w:val="24"/>
                <w:szCs w:val="24"/>
                <w:highlight w:val="none"/>
                <w:lang w:val="en-US" w:eastAsia="zh-CN"/>
              </w:rPr>
              <w:t>杨家镇段</w:t>
            </w:r>
            <w:r>
              <w:rPr>
                <w:rFonts w:hint="default" w:ascii="Times New Roman" w:hAnsi="Times New Roman" w:cs="Times New Roman"/>
                <w:b w:val="0"/>
                <w:bCs/>
                <w:snapToGrid w:val="0"/>
                <w:color w:val="auto"/>
                <w:sz w:val="24"/>
                <w:szCs w:val="24"/>
                <w:highlight w:val="none"/>
              </w:rPr>
              <w:t>清淤范围为</w:t>
            </w:r>
            <w:r>
              <w:rPr>
                <w:rFonts w:hint="eastAsia" w:cs="Times New Roman"/>
                <w:b w:val="0"/>
                <w:bCs/>
                <w:snapToGrid w:val="0"/>
                <w:color w:val="auto"/>
                <w:sz w:val="24"/>
                <w:szCs w:val="24"/>
                <w:highlight w:val="none"/>
                <w:lang w:val="en-US" w:eastAsia="zh-CN"/>
              </w:rPr>
              <w:t>本</w:t>
            </w:r>
            <w:r>
              <w:rPr>
                <w:b w:val="0"/>
                <w:bCs/>
                <w:color w:val="auto"/>
                <w:sz w:val="24"/>
                <w:szCs w:val="24"/>
                <w:highlight w:val="none"/>
              </w:rPr>
              <w:t>河段全段</w:t>
            </w:r>
            <w:r>
              <w:rPr>
                <w:rFonts w:hint="eastAsia"/>
                <w:b w:val="0"/>
                <w:bCs/>
                <w:color w:val="auto"/>
                <w:sz w:val="24"/>
                <w:szCs w:val="24"/>
                <w:highlight w:val="none"/>
                <w:lang w:val="en-US" w:eastAsia="zh-CN"/>
              </w:rPr>
              <w:t>河段范围</w:t>
            </w:r>
            <w:r>
              <w:rPr>
                <w:b w:val="0"/>
                <w:bCs/>
                <w:color w:val="auto"/>
                <w:sz w:val="24"/>
                <w:szCs w:val="24"/>
                <w:highlight w:val="none"/>
              </w:rPr>
              <w:t>，</w:t>
            </w:r>
            <w:r>
              <w:rPr>
                <w:rFonts w:hint="eastAsia"/>
                <w:b w:val="0"/>
                <w:bCs/>
                <w:color w:val="auto"/>
                <w:sz w:val="24"/>
                <w:szCs w:val="24"/>
                <w:highlight w:val="none"/>
                <w:lang w:val="en-US" w:eastAsia="zh-CN"/>
              </w:rPr>
              <w:t>清淤长度为</w:t>
            </w:r>
            <w:r>
              <w:rPr>
                <w:rFonts w:hint="eastAsia"/>
                <w:b w:val="0"/>
                <w:bCs/>
                <w:color w:val="auto"/>
                <w:sz w:val="24"/>
                <w:szCs w:val="24"/>
                <w:highlight w:val="none"/>
              </w:rPr>
              <w:t>5125m，其中干流段起于G5515公路桥上游872m处，止于杨家镇污水处理厂，河道中心治理长度4772m；清溪沟支流段起于入河口上游189m处止于入河口处</w:t>
            </w:r>
            <w:r>
              <w:rPr>
                <w:rFonts w:hint="eastAsia"/>
                <w:b w:val="0"/>
                <w:bCs/>
                <w:color w:val="auto"/>
                <w:sz w:val="24"/>
                <w:szCs w:val="24"/>
                <w:highlight w:val="none"/>
                <w:lang w:eastAsia="zh-CN"/>
              </w:rPr>
              <w:t>，</w:t>
            </w:r>
            <w:r>
              <w:rPr>
                <w:rFonts w:hint="eastAsia"/>
                <w:b w:val="0"/>
                <w:bCs/>
                <w:color w:val="auto"/>
                <w:sz w:val="24"/>
                <w:szCs w:val="24"/>
                <w:highlight w:val="none"/>
              </w:rPr>
              <w:t>河道中心治理长度189m</w:t>
            </w:r>
            <w:r>
              <w:rPr>
                <w:rFonts w:hint="eastAsia"/>
                <w:b w:val="0"/>
                <w:bCs/>
                <w:color w:val="auto"/>
                <w:sz w:val="24"/>
                <w:szCs w:val="24"/>
                <w:highlight w:val="none"/>
                <w:lang w:eastAsia="zh-CN"/>
              </w:rPr>
              <w:t>；</w:t>
            </w:r>
            <w:r>
              <w:rPr>
                <w:rFonts w:hint="eastAsia"/>
                <w:b w:val="0"/>
                <w:bCs/>
                <w:color w:val="auto"/>
                <w:sz w:val="24"/>
                <w:szCs w:val="24"/>
                <w:highlight w:val="none"/>
              </w:rPr>
              <w:t>蚂蟥沟支流段起于入河口上游164m处</w:t>
            </w:r>
            <w:r>
              <w:rPr>
                <w:rFonts w:hint="eastAsia"/>
                <w:b w:val="0"/>
                <w:bCs/>
                <w:color w:val="auto"/>
                <w:sz w:val="24"/>
                <w:szCs w:val="24"/>
                <w:highlight w:val="none"/>
                <w:lang w:eastAsia="zh-CN"/>
              </w:rPr>
              <w:t>，</w:t>
            </w:r>
            <w:r>
              <w:rPr>
                <w:rFonts w:hint="eastAsia"/>
                <w:b w:val="0"/>
                <w:bCs/>
                <w:color w:val="auto"/>
                <w:sz w:val="24"/>
                <w:szCs w:val="24"/>
                <w:highlight w:val="none"/>
              </w:rPr>
              <w:t>止于入河口处</w:t>
            </w:r>
            <w:r>
              <w:rPr>
                <w:rFonts w:hint="eastAsia"/>
                <w:b w:val="0"/>
                <w:bCs/>
                <w:color w:val="auto"/>
                <w:sz w:val="24"/>
                <w:szCs w:val="24"/>
                <w:highlight w:val="none"/>
                <w:lang w:eastAsia="zh-CN"/>
              </w:rPr>
              <w:t>，</w:t>
            </w:r>
            <w:r>
              <w:rPr>
                <w:rFonts w:hint="eastAsia"/>
                <w:b w:val="0"/>
                <w:bCs/>
                <w:color w:val="auto"/>
                <w:sz w:val="24"/>
                <w:szCs w:val="24"/>
                <w:highlight w:val="none"/>
              </w:rPr>
              <w:t>河道中心治理长度164m</w:t>
            </w:r>
            <w:r>
              <w:rPr>
                <w:rFonts w:hint="eastAsia" w:ascii="Times New Roman" w:hAnsi="Times New Roman" w:eastAsia="宋体"/>
                <w:b w:val="0"/>
                <w:bCs/>
                <w:color w:val="auto"/>
                <w:sz w:val="24"/>
                <w:szCs w:val="24"/>
                <w:highlight w:val="none"/>
              </w:rPr>
              <w:t>。</w:t>
            </w:r>
            <w:r>
              <w:rPr>
                <w:rFonts w:hint="eastAsia" w:hAnsi="宋体"/>
                <w:color w:val="auto"/>
                <w:kern w:val="0"/>
                <w:sz w:val="24"/>
                <w:szCs w:val="24"/>
                <w:highlight w:val="none"/>
              </w:rPr>
              <w:t>疏浚量约</w:t>
            </w:r>
            <w:r>
              <w:rPr>
                <w:rFonts w:hint="eastAsia" w:hAnsi="宋体"/>
                <w:color w:val="auto"/>
                <w:kern w:val="0"/>
                <w:sz w:val="24"/>
                <w:szCs w:val="24"/>
                <w:highlight w:val="none"/>
                <w:lang w:val="en-US" w:eastAsia="zh-CN"/>
              </w:rPr>
              <w:t>20500</w:t>
            </w:r>
            <w:r>
              <w:rPr>
                <w:rFonts w:hint="eastAsia" w:hAnsi="宋体"/>
                <w:color w:val="auto"/>
                <w:kern w:val="0"/>
                <w:sz w:val="24"/>
                <w:szCs w:val="24"/>
                <w:highlight w:val="none"/>
              </w:rPr>
              <w:t>m</w:t>
            </w:r>
            <w:r>
              <w:rPr>
                <w:rFonts w:hint="eastAsia" w:hAnsi="宋体"/>
                <w:color w:val="auto"/>
                <w:kern w:val="0"/>
                <w:sz w:val="24"/>
                <w:szCs w:val="24"/>
                <w:highlight w:val="none"/>
                <w:vertAlign w:val="superscript"/>
              </w:rPr>
              <w:t>3</w:t>
            </w:r>
            <w:r>
              <w:rPr>
                <w:rFonts w:hint="eastAsia" w:hAnsi="宋体"/>
                <w:color w:val="auto"/>
                <w:kern w:val="0"/>
                <w:sz w:val="24"/>
                <w:szCs w:val="24"/>
                <w:highlight w:val="none"/>
              </w:rPr>
              <w:t>。</w:t>
            </w:r>
          </w:p>
          <w:p w14:paraId="4D1B334B">
            <w:pPr>
              <w:widowControl/>
              <w:spacing w:line="360" w:lineRule="auto"/>
              <w:ind w:firstLine="480"/>
              <w:jc w:val="left"/>
              <w:rPr>
                <w:rFonts w:hint="eastAsia"/>
                <w:color w:val="auto"/>
                <w:sz w:val="24"/>
                <w:highlight w:val="none"/>
                <w:lang w:val="en-US" w:eastAsia="zh-CN"/>
              </w:rPr>
            </w:pPr>
            <w:r>
              <w:rPr>
                <w:color w:val="auto"/>
                <w:sz w:val="24"/>
                <w:highlight w:val="none"/>
              </w:rPr>
              <w:t>河道边坡有杂树、树枝、生活垃圾众多，河底枯枝烂根很多，且部分河底及岸滩沉积厚度不等的瓦砾、建筑垃圾等。</w:t>
            </w:r>
            <w:r>
              <w:rPr>
                <w:rFonts w:hint="eastAsia"/>
                <w:color w:val="auto"/>
                <w:sz w:val="24"/>
                <w:highlight w:val="none"/>
                <w:lang w:val="en-US" w:eastAsia="zh-CN"/>
              </w:rPr>
              <w:t>该段清淤采用人工和设备相结合方式。首先，人工乘坐木船清理漂浮在水面杂物。其次，根据河道情况，采用泵船清淤和挖掘相结合方式。</w:t>
            </w:r>
          </w:p>
          <w:p w14:paraId="48A07B7B">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cs="Times New Roman"/>
                <w:color w:val="auto"/>
                <w:highlight w:val="none"/>
                <w:lang w:val="en-US" w:eastAsia="zh-CN"/>
              </w:rPr>
            </w:pPr>
            <w:r>
              <w:rPr>
                <w:color w:val="auto"/>
                <w:sz w:val="24"/>
                <w:highlight w:val="none"/>
              </w:rPr>
              <w:t>此过程将产生疏浚淤泥。</w:t>
            </w:r>
            <w:r>
              <w:rPr>
                <w:rFonts w:hint="eastAsia"/>
                <w:color w:val="auto"/>
                <w:sz w:val="24"/>
                <w:highlight w:val="none"/>
                <w:lang w:val="en-US" w:eastAsia="zh-CN"/>
              </w:rPr>
              <w:t>清淤污泥经砂石含量多的淤泥用于河道沿岸地势低洼处回填；含泥量高的疏浚淤泥用于护坡种植土回用。底泥干化、堆存过程中会产生恶臭。</w:t>
            </w:r>
          </w:p>
          <w:p w14:paraId="3D65CC23">
            <w:pPr>
              <w:numPr>
                <w:ilvl w:val="0"/>
                <w:numId w:val="0"/>
              </w:numPr>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2.9.3</w:t>
            </w:r>
            <w:r>
              <w:rPr>
                <w:rFonts w:hint="default" w:ascii="Times New Roman" w:hAnsi="Times New Roman" w:cs="Times New Roman"/>
                <w:b/>
                <w:bCs/>
                <w:color w:val="auto"/>
                <w:highlight w:val="none"/>
                <w:lang w:val="en-US" w:eastAsia="zh-CN"/>
              </w:rPr>
              <w:t>施工结束</w:t>
            </w:r>
          </w:p>
          <w:p w14:paraId="4F4998F3">
            <w:pPr>
              <w:numPr>
                <w:ilvl w:val="0"/>
                <w:numId w:val="0"/>
              </w:numPr>
              <w:ind w:left="480" w:leftChars="0"/>
              <w:rPr>
                <w:rFonts w:hint="default" w:ascii="Times New Roman" w:hAnsi="Times New Roman" w:cs="Times New Roman"/>
                <w:b/>
                <w:bCs/>
                <w:color w:val="auto"/>
                <w:highlight w:val="none"/>
                <w:lang w:val="en-US" w:eastAsia="zh-CN"/>
              </w:rPr>
            </w:pPr>
            <w:r>
              <w:rPr>
                <w:rFonts w:hint="default" w:ascii="Times New Roman" w:hAnsi="Times New Roman" w:cs="Times New Roman"/>
                <w:b w:val="0"/>
                <w:bCs w:val="0"/>
                <w:color w:val="auto"/>
                <w:highlight w:val="none"/>
                <w:lang w:val="en-US" w:eastAsia="zh-CN"/>
              </w:rPr>
              <w:t>项目</w:t>
            </w:r>
            <w:r>
              <w:rPr>
                <w:rFonts w:hint="default" w:ascii="Times New Roman" w:hAnsi="Times New Roman" w:cs="Times New Roman"/>
                <w:b w:val="0"/>
                <w:bCs w:val="0"/>
                <w:color w:val="auto"/>
                <w:sz w:val="24"/>
                <w:szCs w:val="24"/>
                <w:highlight w:val="none"/>
              </w:rPr>
              <w:t>施</w:t>
            </w:r>
            <w:r>
              <w:rPr>
                <w:rFonts w:hint="default" w:ascii="Times New Roman" w:hAnsi="Times New Roman" w:cs="Times New Roman"/>
                <w:color w:val="auto"/>
                <w:sz w:val="24"/>
                <w:szCs w:val="24"/>
                <w:highlight w:val="none"/>
              </w:rPr>
              <w:t>工结束后，</w:t>
            </w:r>
            <w:r>
              <w:rPr>
                <w:rFonts w:hint="default" w:ascii="Times New Roman" w:hAnsi="Times New Roman" w:cs="Times New Roman"/>
                <w:color w:val="auto"/>
                <w:sz w:val="24"/>
                <w:szCs w:val="24"/>
                <w:highlight w:val="none"/>
                <w:lang w:val="en-US" w:eastAsia="zh-CN"/>
              </w:rPr>
              <w:t>拆除</w:t>
            </w:r>
            <w:r>
              <w:rPr>
                <w:rFonts w:hint="eastAsia" w:cs="Times New Roman"/>
                <w:color w:val="auto"/>
                <w:sz w:val="24"/>
                <w:szCs w:val="24"/>
                <w:highlight w:val="none"/>
                <w:lang w:eastAsia="zh-CN"/>
              </w:rPr>
              <w:t>施工道路</w:t>
            </w:r>
            <w:r>
              <w:rPr>
                <w:rFonts w:hint="default" w:ascii="Times New Roman" w:hAnsi="Times New Roman" w:cs="Times New Roman"/>
                <w:color w:val="auto"/>
                <w:sz w:val="24"/>
                <w:szCs w:val="24"/>
                <w:highlight w:val="none"/>
              </w:rPr>
              <w:t>。</w:t>
            </w:r>
          </w:p>
          <w:p w14:paraId="6A86D8E9">
            <w:pPr>
              <w:numPr>
                <w:ilvl w:val="0"/>
                <w:numId w:val="0"/>
              </w:numPr>
              <w:rPr>
                <w:rFonts w:hint="default" w:ascii="Times New Roman" w:hAnsi="Times New Roman" w:cs="Times New Roman"/>
                <w:b/>
                <w:bCs/>
                <w:color w:val="auto"/>
                <w:highlight w:val="none"/>
              </w:rPr>
            </w:pPr>
            <w:r>
              <w:rPr>
                <w:rFonts w:hint="eastAsia" w:cs="Times New Roman"/>
                <w:b/>
                <w:bCs/>
                <w:color w:val="auto"/>
                <w:highlight w:val="none"/>
                <w:lang w:val="en-US" w:eastAsia="zh-CN"/>
              </w:rPr>
              <w:t>2.9.4</w:t>
            </w:r>
            <w:r>
              <w:rPr>
                <w:rFonts w:hint="default" w:ascii="Times New Roman" w:hAnsi="Times New Roman" w:cs="Times New Roman"/>
                <w:b/>
                <w:bCs/>
                <w:color w:val="auto"/>
                <w:highlight w:val="none"/>
              </w:rPr>
              <w:t>工程验收</w:t>
            </w:r>
          </w:p>
          <w:p w14:paraId="12DE50E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项目竣工验收后投入使用。</w:t>
            </w:r>
          </w:p>
          <w:p w14:paraId="3C3893E4">
            <w:pPr>
              <w:ind w:left="0" w:leftChars="0" w:firstLine="0" w:firstLineChar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2.10产污环节</w:t>
            </w:r>
          </w:p>
          <w:p w14:paraId="4C6625B6">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fldChar w:fldCharType="begin"/>
            </w:r>
            <w:r>
              <w:rPr>
                <w:rFonts w:hint="default" w:ascii="Times New Roman" w:hAnsi="Times New Roman" w:cs="Times New Roman"/>
                <w:b/>
                <w:bCs/>
                <w:color w:val="auto"/>
                <w:highlight w:val="none"/>
                <w:lang w:val="en-US" w:eastAsia="zh-CN"/>
              </w:rPr>
              <w:instrText xml:space="preserve"> = 1 \* GB1 \* MERGEFORMAT </w:instrText>
            </w:r>
            <w:r>
              <w:rPr>
                <w:rFonts w:hint="default" w:ascii="Times New Roman" w:hAnsi="Times New Roman" w:cs="Times New Roman"/>
                <w:b/>
                <w:bCs/>
                <w:color w:val="auto"/>
                <w:highlight w:val="none"/>
                <w:lang w:val="en-US" w:eastAsia="zh-CN"/>
              </w:rPr>
              <w:fldChar w:fldCharType="separate"/>
            </w:r>
            <w:r>
              <w:rPr>
                <w:rFonts w:hint="default" w:ascii="Times New Roman" w:hAnsi="Times New Roman" w:cs="Times New Roman"/>
                <w:b/>
                <w:bCs/>
                <w:color w:val="auto"/>
                <w:highlight w:val="none"/>
              </w:rPr>
              <w:t>⒈</w:t>
            </w:r>
            <w:r>
              <w:rPr>
                <w:rFonts w:hint="default" w:ascii="Times New Roman" w:hAnsi="Times New Roman" w:cs="Times New Roman"/>
                <w:b/>
                <w:bCs/>
                <w:color w:val="auto"/>
                <w:highlight w:val="none"/>
                <w:lang w:val="en-US" w:eastAsia="zh-CN"/>
              </w:rPr>
              <w:fldChar w:fldCharType="end"/>
            </w:r>
            <w:r>
              <w:rPr>
                <w:rFonts w:hint="default" w:ascii="Times New Roman" w:hAnsi="Times New Roman" w:cs="Times New Roman"/>
                <w:b/>
                <w:bCs/>
                <w:color w:val="auto"/>
                <w:highlight w:val="none"/>
                <w:lang w:val="en-US" w:eastAsia="zh-CN"/>
              </w:rPr>
              <w:t>施工期：</w:t>
            </w:r>
          </w:p>
          <w:p w14:paraId="15E0B127">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val="0"/>
                <w:bCs w:val="0"/>
                <w:color w:val="auto"/>
                <w:highlight w:val="none"/>
                <w:lang w:val="en-US" w:eastAsia="zh-CN"/>
              </w:rPr>
              <w:t>（1）生态：施工期主要生态影响为项目占地及堤防等地面施工，将会扰动地表、破坏植被，从而影响动物生态环境；河道疏浚等涉水施工将会对水生生态环境产生影响</w:t>
            </w:r>
            <w:r>
              <w:rPr>
                <w:rFonts w:hint="default" w:ascii="Times New Roman" w:hAnsi="Times New Roman" w:eastAsia="宋体" w:cs="Times New Roman"/>
                <w:color w:val="auto"/>
                <w:sz w:val="24"/>
                <w:szCs w:val="24"/>
                <w:highlight w:val="none"/>
                <w:lang w:eastAsia="zh-CN"/>
              </w:rPr>
              <w:t>。</w:t>
            </w:r>
          </w:p>
          <w:p w14:paraId="5C919607">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废气：</w:t>
            </w:r>
            <w:r>
              <w:rPr>
                <w:rFonts w:hint="default" w:ascii="Times New Roman" w:hAnsi="Times New Roman" w:cs="Times New Roman"/>
                <w:bCs/>
                <w:color w:val="auto"/>
                <w:highlight w:val="none"/>
              </w:rPr>
              <w:t>扬尘（</w:t>
            </w:r>
            <w:r>
              <w:rPr>
                <w:rFonts w:hint="default" w:ascii="Times New Roman" w:hAnsi="Times New Roman" w:cs="Times New Roman"/>
                <w:bCs/>
                <w:color w:val="auto"/>
                <w:szCs w:val="24"/>
                <w:highlight w:val="none"/>
              </w:rPr>
              <w:t>施工场地产生的扬尘、</w:t>
            </w:r>
            <w:r>
              <w:rPr>
                <w:rFonts w:hint="default" w:ascii="Times New Roman" w:hAnsi="Times New Roman" w:cs="Times New Roman"/>
                <w:color w:val="auto"/>
                <w:szCs w:val="24"/>
                <w:highlight w:val="none"/>
              </w:rPr>
              <w:t>车辆运输扬尘、堆料场扬尘）</w:t>
            </w:r>
            <w:r>
              <w:rPr>
                <w:rFonts w:hint="default" w:ascii="Times New Roman" w:hAnsi="Times New Roman" w:cs="Times New Roman"/>
                <w:bCs/>
                <w:color w:val="auto"/>
                <w:szCs w:val="24"/>
                <w:highlight w:val="none"/>
              </w:rPr>
              <w:t>、混凝土</w:t>
            </w:r>
            <w:r>
              <w:rPr>
                <w:rFonts w:hint="default" w:ascii="Times New Roman" w:hAnsi="Times New Roman" w:cs="Times New Roman"/>
                <w:bCs/>
                <w:color w:val="auto"/>
                <w:szCs w:val="24"/>
                <w:highlight w:val="none"/>
                <w:lang w:eastAsia="zh-CN"/>
              </w:rPr>
              <w:t>拌和</w:t>
            </w:r>
            <w:r>
              <w:rPr>
                <w:rFonts w:hint="default" w:ascii="Times New Roman" w:hAnsi="Times New Roman" w:cs="Times New Roman"/>
                <w:bCs/>
                <w:color w:val="auto"/>
                <w:szCs w:val="24"/>
                <w:highlight w:val="none"/>
              </w:rPr>
              <w:t>粉尘、</w:t>
            </w:r>
            <w:r>
              <w:rPr>
                <w:rFonts w:hint="eastAsia" w:cs="Times New Roman"/>
                <w:bCs/>
                <w:color w:val="auto"/>
                <w:szCs w:val="24"/>
                <w:highlight w:val="none"/>
                <w:lang w:eastAsia="zh-CN"/>
              </w:rPr>
              <w:t>燃油施工机具和车辆尾气</w:t>
            </w:r>
            <w:r>
              <w:rPr>
                <w:rFonts w:hint="default" w:ascii="Times New Roman" w:hAnsi="Times New Roman" w:cs="Times New Roman"/>
                <w:bCs/>
                <w:color w:val="auto"/>
                <w:szCs w:val="24"/>
                <w:highlight w:val="none"/>
                <w:lang w:eastAsia="zh-CN"/>
              </w:rPr>
              <w:t>，</w:t>
            </w:r>
            <w:r>
              <w:rPr>
                <w:rFonts w:hint="default" w:ascii="Times New Roman" w:hAnsi="Times New Roman" w:eastAsia="宋体" w:cs="Times New Roman"/>
                <w:color w:val="auto"/>
                <w:sz w:val="24"/>
                <w:szCs w:val="24"/>
                <w:highlight w:val="none"/>
              </w:rPr>
              <w:t>主要为TSP、SO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、CO、NOx以及烟尘等</w:t>
            </w:r>
            <w:r>
              <w:rPr>
                <w:rFonts w:hint="eastAsia" w:cs="Times New Roman"/>
                <w:color w:val="auto"/>
                <w:sz w:val="24"/>
                <w:szCs w:val="24"/>
                <w:highlight w:val="none"/>
                <w:lang w:eastAsia="zh-CN"/>
              </w:rPr>
              <w:t>，</w:t>
            </w:r>
            <w:r>
              <w:rPr>
                <w:rFonts w:hint="eastAsia" w:cs="Times New Roman"/>
                <w:b w:val="0"/>
                <w:bCs w:val="0"/>
                <w:color w:val="auto"/>
                <w:sz w:val="24"/>
                <w:szCs w:val="24"/>
                <w:highlight w:val="none"/>
                <w:lang w:val="en-US" w:eastAsia="zh-CN"/>
              </w:rPr>
              <w:t>焊接烟尘、</w:t>
            </w:r>
            <w:r>
              <w:rPr>
                <w:rFonts w:hint="eastAsia" w:cs="Times New Roman"/>
                <w:color w:val="auto"/>
                <w:sz w:val="24"/>
                <w:szCs w:val="24"/>
                <w:highlight w:val="none"/>
                <w:lang w:val="en-US" w:eastAsia="zh-CN"/>
              </w:rPr>
              <w:t>底泥干化、堆存恶臭</w:t>
            </w:r>
            <w:r>
              <w:rPr>
                <w:rFonts w:hint="default" w:ascii="Times New Roman" w:hAnsi="Times New Roman" w:cs="Times New Roman"/>
                <w:color w:val="auto"/>
                <w:sz w:val="24"/>
                <w:szCs w:val="24"/>
                <w:highlight w:val="none"/>
                <w:lang w:eastAsia="zh-CN"/>
              </w:rPr>
              <w:t>。</w:t>
            </w:r>
          </w:p>
          <w:p w14:paraId="1B4F3EC9">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废水：</w:t>
            </w:r>
            <w:r>
              <w:rPr>
                <w:rFonts w:hint="default" w:ascii="Times New Roman" w:hAnsi="Times New Roman" w:cs="Times New Roman"/>
                <w:color w:val="auto"/>
                <w:sz w:val="24"/>
                <w:szCs w:val="24"/>
                <w:highlight w:val="none"/>
                <w:lang w:val="en-US" w:eastAsia="zh-CN"/>
              </w:rPr>
              <w:t>包括</w:t>
            </w:r>
            <w:r>
              <w:rPr>
                <w:rFonts w:hint="default" w:ascii="Times New Roman" w:hAnsi="Times New Roman" w:eastAsia="宋体" w:cs="Times New Roman"/>
                <w:color w:val="auto"/>
                <w:sz w:val="24"/>
                <w:szCs w:val="24"/>
                <w:highlight w:val="none"/>
              </w:rPr>
              <w:t>施工废水</w:t>
            </w:r>
            <w:r>
              <w:rPr>
                <w:rFonts w:hint="default" w:ascii="Times New Roman" w:hAnsi="Times New Roman" w:cs="Times New Roman"/>
                <w:color w:val="auto"/>
                <w:sz w:val="24"/>
                <w:szCs w:val="24"/>
                <w:highlight w:val="none"/>
                <w:lang w:val="en-US" w:eastAsia="zh-CN"/>
              </w:rPr>
              <w:t>和生活污水。施工废水</w:t>
            </w:r>
            <w:r>
              <w:rPr>
                <w:rFonts w:hint="default" w:ascii="Times New Roman" w:hAnsi="Times New Roman" w:eastAsia="宋体" w:cs="Times New Roman"/>
                <w:color w:val="auto"/>
                <w:sz w:val="24"/>
                <w:szCs w:val="24"/>
                <w:highlight w:val="none"/>
              </w:rPr>
              <w:t>包括：</w:t>
            </w:r>
            <w:r>
              <w:rPr>
                <w:rFonts w:hint="default" w:ascii="Times New Roman" w:hAnsi="Times New Roman" w:cs="Times New Roman"/>
                <w:color w:val="auto"/>
                <w:highlight w:val="none"/>
              </w:rPr>
              <w:t>施工机械和运输车辆冲洗废水</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eastAsia="zh-CN"/>
              </w:rPr>
              <w:t>拌和</w:t>
            </w:r>
            <w:r>
              <w:rPr>
                <w:rFonts w:hint="default" w:ascii="Times New Roman" w:hAnsi="Times New Roman" w:cs="Times New Roman"/>
                <w:color w:val="auto"/>
                <w:szCs w:val="24"/>
                <w:highlight w:val="none"/>
              </w:rPr>
              <w:t>系统冲洗废水</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基坑渗水</w:t>
            </w:r>
            <w:r>
              <w:rPr>
                <w:rFonts w:hint="default" w:ascii="Times New Roman" w:hAnsi="Times New Roman" w:cs="Times New Roman"/>
                <w:color w:val="auto"/>
                <w:szCs w:val="24"/>
                <w:highlight w:val="none"/>
                <w:lang w:eastAsia="zh-CN"/>
              </w:rPr>
              <w:t>、疏浚淤泥渗滤废水</w:t>
            </w:r>
            <w:r>
              <w:rPr>
                <w:rFonts w:hint="default" w:ascii="Times New Roman" w:hAnsi="Times New Roman" w:eastAsia="宋体" w:cs="Times New Roman"/>
                <w:color w:val="auto"/>
                <w:sz w:val="24"/>
                <w:szCs w:val="24"/>
                <w:highlight w:val="none"/>
              </w:rPr>
              <w:t>；施工人员生活污水。主要污染因子为COD、氨氮、悬浮物等</w:t>
            </w:r>
            <w:r>
              <w:rPr>
                <w:rFonts w:hint="default" w:ascii="Times New Roman" w:hAnsi="Times New Roman" w:cs="Times New Roman"/>
                <w:color w:val="auto"/>
                <w:sz w:val="24"/>
                <w:szCs w:val="24"/>
                <w:highlight w:val="none"/>
                <w:lang w:eastAsia="zh-CN"/>
              </w:rPr>
              <w:t>。</w:t>
            </w:r>
          </w:p>
          <w:p w14:paraId="28D08848">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噪声：主要来源于施工现场的各类机械设备和运输车辆</w:t>
            </w:r>
            <w:r>
              <w:rPr>
                <w:rFonts w:hint="default" w:ascii="Times New Roman" w:hAnsi="Times New Roman" w:cs="Times New Roman"/>
                <w:color w:val="auto"/>
                <w:sz w:val="24"/>
                <w:szCs w:val="24"/>
                <w:highlight w:val="none"/>
                <w:lang w:eastAsia="zh-CN"/>
              </w:rPr>
              <w:t>。</w:t>
            </w:r>
          </w:p>
          <w:p w14:paraId="76BCBD90">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固废：施工过程产生的废弃土石方、施工过程产生的工程废料、建筑垃圾、</w:t>
            </w:r>
            <w:r>
              <w:rPr>
                <w:rFonts w:hint="default" w:ascii="Times New Roman" w:hAnsi="Times New Roman" w:cs="Times New Roman"/>
                <w:color w:val="auto"/>
                <w:sz w:val="24"/>
                <w:szCs w:val="24"/>
                <w:highlight w:val="none"/>
                <w:lang w:val="en-US" w:eastAsia="zh-CN"/>
              </w:rPr>
              <w:t>废包装、</w:t>
            </w:r>
            <w:r>
              <w:rPr>
                <w:rFonts w:hint="default" w:ascii="Times New Roman" w:hAnsi="Times New Roman" w:eastAsia="宋体" w:cs="Times New Roman"/>
                <w:color w:val="auto"/>
                <w:sz w:val="24"/>
                <w:szCs w:val="24"/>
                <w:highlight w:val="none"/>
              </w:rPr>
              <w:t>清淤淤积物</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岸坡清理废物</w:t>
            </w:r>
            <w:r>
              <w:rPr>
                <w:rFonts w:hint="eastAsia" w:cs="Times New Roman"/>
                <w:color w:val="auto"/>
                <w:sz w:val="24"/>
                <w:szCs w:val="24"/>
                <w:highlight w:val="none"/>
                <w:lang w:val="en-US" w:eastAsia="zh-CN"/>
              </w:rPr>
              <w:t>、沉淀泥渣</w:t>
            </w:r>
            <w:r>
              <w:rPr>
                <w:rFonts w:hint="default" w:ascii="Times New Roman" w:hAnsi="Times New Roman" w:eastAsia="宋体" w:cs="Times New Roman"/>
                <w:color w:val="auto"/>
                <w:sz w:val="24"/>
                <w:szCs w:val="24"/>
                <w:highlight w:val="none"/>
              </w:rPr>
              <w:t>；施工人员产生的生活垃圾等。施工机械不在工程区内进行维修，到附近村镇维修点进行，因此施工机械产生的废机油不予考虑。但施工过程应加强油类物质的跑冒滴漏，因施工机械跑冒滴漏造成的污染土壤，应全部清运出场。</w:t>
            </w:r>
          </w:p>
          <w:p w14:paraId="7E69468D">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lef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fldChar w:fldCharType="begin"/>
            </w:r>
            <w:r>
              <w:rPr>
                <w:rFonts w:hint="default" w:ascii="Times New Roman" w:hAnsi="Times New Roman" w:cs="Times New Roman"/>
                <w:b/>
                <w:bCs/>
                <w:color w:val="auto"/>
                <w:sz w:val="24"/>
                <w:szCs w:val="24"/>
                <w:highlight w:val="none"/>
                <w:lang w:val="en-US" w:eastAsia="zh-CN"/>
              </w:rPr>
              <w:instrText xml:space="preserve"> = 2 \* GB1 \* MERGEFORMAT </w:instrText>
            </w:r>
            <w:r>
              <w:rPr>
                <w:rFonts w:hint="default" w:ascii="Times New Roman" w:hAnsi="Times New Roman" w:cs="Times New Roman"/>
                <w:b/>
                <w:bCs/>
                <w:color w:val="auto"/>
                <w:sz w:val="24"/>
                <w:szCs w:val="24"/>
                <w:highlight w:val="none"/>
                <w:lang w:val="en-US" w:eastAsia="zh-CN"/>
              </w:rPr>
              <w:fldChar w:fldCharType="separate"/>
            </w:r>
            <w:r>
              <w:rPr>
                <w:rFonts w:hint="default" w:ascii="Times New Roman" w:hAnsi="Times New Roman" w:cs="Times New Roman"/>
                <w:b/>
                <w:bCs/>
                <w:color w:val="auto"/>
                <w:highlight w:val="none"/>
              </w:rPr>
              <w:t>⒉</w:t>
            </w:r>
            <w:r>
              <w:rPr>
                <w:rFonts w:hint="default" w:ascii="Times New Roman" w:hAnsi="Times New Roman" w:cs="Times New Roman"/>
                <w:b/>
                <w:bCs/>
                <w:color w:val="auto"/>
                <w:sz w:val="24"/>
                <w:szCs w:val="24"/>
                <w:highlight w:val="none"/>
                <w:lang w:val="en-US" w:eastAsia="zh-CN"/>
              </w:rPr>
              <w:fldChar w:fldCharType="end"/>
            </w:r>
            <w:r>
              <w:rPr>
                <w:rFonts w:hint="default" w:ascii="Times New Roman" w:hAnsi="Times New Roman" w:cs="Times New Roman"/>
                <w:b/>
                <w:bCs/>
                <w:color w:val="auto"/>
                <w:sz w:val="24"/>
                <w:szCs w:val="24"/>
                <w:highlight w:val="none"/>
                <w:lang w:val="en-US" w:eastAsia="zh-CN"/>
              </w:rPr>
              <w:t>营运期：</w:t>
            </w:r>
          </w:p>
          <w:p w14:paraId="64D071D6">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left"/>
              <w:textAlignment w:val="auto"/>
              <w:rPr>
                <w:rFonts w:hint="default" w:cs="Times New Roman"/>
                <w:color w:val="auto"/>
                <w:sz w:val="24"/>
                <w:szCs w:val="24"/>
                <w:highlight w:val="none"/>
                <w:lang w:val="en-US" w:eastAsia="zh-CN"/>
              </w:rPr>
            </w:pPr>
            <w:r>
              <w:rPr>
                <w:rFonts w:hint="default" w:ascii="Times New Roman" w:hAnsi="Times New Roman" w:cs="Times New Roman"/>
                <w:color w:val="auto"/>
                <w:sz w:val="24"/>
                <w:highlight w:val="none"/>
                <w:lang w:val="en-US" w:eastAsia="zh-CN"/>
              </w:rPr>
              <w:t xml:space="preserve"> 营运期，项目无污染物产生及排放。随着施工阶段各生态环境减缓措施的实施，以及生态系统的自我修复，</w:t>
            </w:r>
            <w:r>
              <w:rPr>
                <w:rFonts w:hint="eastAsia"/>
                <w:color w:val="auto"/>
                <w:sz w:val="24"/>
                <w:highlight w:val="none"/>
                <w:lang w:val="en-US" w:eastAsia="zh-CN"/>
              </w:rPr>
              <w:t>项目所在区域生态环境将逐渐恢复。</w:t>
            </w:r>
          </w:p>
        </w:tc>
      </w:tr>
      <w:tr w14:paraId="4C0F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dxa"/>
            <w:noWrap w:val="0"/>
            <w:vAlign w:val="center"/>
          </w:tcPr>
          <w:p w14:paraId="0D4662C4">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p>
        </w:tc>
        <w:tc>
          <w:tcPr>
            <w:tcW w:w="9271" w:type="dxa"/>
            <w:noWrap w:val="0"/>
            <w:vAlign w:val="center"/>
          </w:tcPr>
          <w:p w14:paraId="579AE53A">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本项目主要针对现有河道进行整治</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因此</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选址选线均按照实际情况进行设计，不再进行选址选线比选。</w:t>
            </w:r>
          </w:p>
          <w:p w14:paraId="7113627B">
            <w:pPr>
              <w:ind w:firstLine="480"/>
              <w:jc w:val="left"/>
              <w:rPr>
                <w:rFonts w:hint="default" w:ascii="Times New Roman" w:hAnsi="Times New Roman" w:cs="Times New Roman"/>
                <w:color w:val="auto"/>
                <w:highlight w:val="none"/>
              </w:rPr>
            </w:pPr>
          </w:p>
          <w:p w14:paraId="12E37C10">
            <w:pPr>
              <w:ind w:firstLine="480"/>
              <w:jc w:val="left"/>
              <w:rPr>
                <w:rFonts w:hint="default" w:ascii="Times New Roman" w:hAnsi="Times New Roman" w:cs="Times New Roman"/>
                <w:color w:val="auto"/>
                <w:highlight w:val="none"/>
              </w:rPr>
            </w:pPr>
          </w:p>
          <w:p w14:paraId="58D5CA8F">
            <w:pPr>
              <w:ind w:firstLine="480"/>
              <w:jc w:val="left"/>
              <w:rPr>
                <w:rFonts w:hint="default" w:ascii="Times New Roman" w:hAnsi="Times New Roman" w:cs="Times New Roman"/>
                <w:color w:val="auto"/>
                <w:highlight w:val="none"/>
              </w:rPr>
            </w:pPr>
          </w:p>
          <w:p w14:paraId="5507C175">
            <w:pPr>
              <w:ind w:firstLine="480"/>
              <w:jc w:val="left"/>
              <w:rPr>
                <w:rFonts w:hint="default" w:ascii="Times New Roman" w:hAnsi="Times New Roman" w:cs="Times New Roman"/>
                <w:color w:val="auto"/>
                <w:highlight w:val="none"/>
              </w:rPr>
            </w:pPr>
          </w:p>
          <w:p w14:paraId="223F6144">
            <w:pPr>
              <w:ind w:firstLine="480"/>
              <w:jc w:val="left"/>
              <w:rPr>
                <w:rFonts w:hint="default" w:ascii="Times New Roman" w:hAnsi="Times New Roman" w:cs="Times New Roman"/>
                <w:color w:val="auto"/>
                <w:highlight w:val="none"/>
              </w:rPr>
            </w:pPr>
          </w:p>
          <w:p w14:paraId="5CDEFEBC">
            <w:pPr>
              <w:ind w:firstLine="480"/>
              <w:jc w:val="left"/>
              <w:rPr>
                <w:rFonts w:hint="default" w:ascii="Times New Roman" w:hAnsi="Times New Roman" w:cs="Times New Roman"/>
                <w:color w:val="auto"/>
                <w:highlight w:val="none"/>
              </w:rPr>
            </w:pPr>
          </w:p>
          <w:p w14:paraId="46EC1DED">
            <w:pPr>
              <w:ind w:firstLine="480"/>
              <w:jc w:val="left"/>
              <w:rPr>
                <w:rFonts w:hint="default" w:ascii="Times New Roman" w:hAnsi="Times New Roman" w:cs="Times New Roman"/>
                <w:color w:val="auto"/>
                <w:highlight w:val="none"/>
              </w:rPr>
            </w:pPr>
          </w:p>
          <w:p w14:paraId="7D02E8A5">
            <w:pPr>
              <w:ind w:firstLine="480"/>
              <w:jc w:val="left"/>
              <w:rPr>
                <w:rFonts w:hint="default" w:ascii="Times New Roman" w:hAnsi="Times New Roman" w:cs="Times New Roman"/>
                <w:color w:val="auto"/>
                <w:highlight w:val="none"/>
              </w:rPr>
            </w:pPr>
          </w:p>
          <w:p w14:paraId="327B91DE">
            <w:pPr>
              <w:ind w:firstLine="480"/>
              <w:jc w:val="left"/>
              <w:rPr>
                <w:rFonts w:hint="default" w:ascii="Times New Roman" w:hAnsi="Times New Roman" w:cs="Times New Roman"/>
                <w:color w:val="auto"/>
                <w:highlight w:val="none"/>
              </w:rPr>
            </w:pPr>
          </w:p>
          <w:p w14:paraId="5630DA79">
            <w:pPr>
              <w:ind w:firstLine="480"/>
              <w:jc w:val="left"/>
              <w:rPr>
                <w:rFonts w:hint="default" w:ascii="Times New Roman" w:hAnsi="Times New Roman" w:cs="Times New Roman"/>
                <w:color w:val="auto"/>
                <w:highlight w:val="none"/>
              </w:rPr>
            </w:pPr>
          </w:p>
          <w:p w14:paraId="6326F8BB">
            <w:pPr>
              <w:ind w:firstLine="480"/>
              <w:jc w:val="left"/>
              <w:rPr>
                <w:rFonts w:hint="default" w:ascii="Times New Roman" w:hAnsi="Times New Roman" w:cs="Times New Roman"/>
                <w:color w:val="auto"/>
                <w:highlight w:val="none"/>
              </w:rPr>
            </w:pPr>
          </w:p>
          <w:p w14:paraId="4ED416F2">
            <w:pPr>
              <w:ind w:firstLine="480"/>
              <w:jc w:val="left"/>
              <w:rPr>
                <w:rFonts w:hint="default" w:ascii="Times New Roman" w:hAnsi="Times New Roman" w:cs="Times New Roman"/>
                <w:color w:val="auto"/>
                <w:highlight w:val="none"/>
              </w:rPr>
            </w:pPr>
          </w:p>
          <w:p w14:paraId="22193EBA">
            <w:pPr>
              <w:ind w:firstLine="480"/>
              <w:jc w:val="left"/>
              <w:rPr>
                <w:rFonts w:hint="default" w:ascii="Times New Roman" w:hAnsi="Times New Roman" w:cs="Times New Roman"/>
                <w:color w:val="auto"/>
                <w:highlight w:val="none"/>
              </w:rPr>
            </w:pPr>
          </w:p>
          <w:p w14:paraId="6E05C9EA">
            <w:pPr>
              <w:ind w:firstLine="480"/>
              <w:jc w:val="left"/>
              <w:rPr>
                <w:rFonts w:hint="default" w:ascii="Times New Roman" w:hAnsi="Times New Roman" w:cs="Times New Roman"/>
                <w:color w:val="auto"/>
                <w:highlight w:val="none"/>
              </w:rPr>
            </w:pPr>
          </w:p>
          <w:p w14:paraId="67EC052F">
            <w:pPr>
              <w:ind w:firstLine="480"/>
              <w:jc w:val="left"/>
              <w:rPr>
                <w:rFonts w:hint="default" w:ascii="Times New Roman" w:hAnsi="Times New Roman" w:cs="Times New Roman"/>
                <w:color w:val="auto"/>
                <w:highlight w:val="none"/>
              </w:rPr>
            </w:pPr>
          </w:p>
          <w:p w14:paraId="1CFFF72E">
            <w:pPr>
              <w:ind w:firstLine="480"/>
              <w:jc w:val="left"/>
              <w:rPr>
                <w:rFonts w:hint="default" w:ascii="Times New Roman" w:hAnsi="Times New Roman" w:cs="Times New Roman"/>
                <w:color w:val="auto"/>
                <w:highlight w:val="none"/>
              </w:rPr>
            </w:pPr>
          </w:p>
          <w:p w14:paraId="5C0C1FC5">
            <w:pPr>
              <w:ind w:firstLine="480"/>
              <w:jc w:val="left"/>
              <w:rPr>
                <w:rFonts w:hint="default" w:ascii="Times New Roman" w:hAnsi="Times New Roman" w:cs="Times New Roman"/>
                <w:color w:val="auto"/>
                <w:highlight w:val="none"/>
              </w:rPr>
            </w:pPr>
          </w:p>
          <w:p w14:paraId="10F393FE">
            <w:pPr>
              <w:ind w:firstLine="480"/>
              <w:jc w:val="left"/>
              <w:rPr>
                <w:rFonts w:hint="default" w:ascii="Times New Roman" w:hAnsi="Times New Roman" w:cs="Times New Roman"/>
                <w:color w:val="auto"/>
                <w:highlight w:val="none"/>
              </w:rPr>
            </w:pPr>
          </w:p>
          <w:p w14:paraId="517F8706">
            <w:pPr>
              <w:ind w:firstLine="480"/>
              <w:jc w:val="left"/>
              <w:rPr>
                <w:rFonts w:hint="default" w:ascii="Times New Roman" w:hAnsi="Times New Roman" w:cs="Times New Roman"/>
                <w:color w:val="auto"/>
                <w:highlight w:val="none"/>
              </w:rPr>
            </w:pPr>
          </w:p>
          <w:p w14:paraId="4157D335">
            <w:pPr>
              <w:ind w:firstLine="480"/>
              <w:jc w:val="left"/>
              <w:rPr>
                <w:rFonts w:hint="default" w:ascii="Times New Roman" w:hAnsi="Times New Roman" w:cs="Times New Roman"/>
                <w:color w:val="auto"/>
                <w:highlight w:val="none"/>
              </w:rPr>
            </w:pPr>
          </w:p>
          <w:p w14:paraId="61CC8A10">
            <w:pPr>
              <w:ind w:firstLine="480"/>
              <w:jc w:val="left"/>
              <w:rPr>
                <w:rFonts w:hint="default" w:ascii="Times New Roman" w:hAnsi="Times New Roman" w:cs="Times New Roman"/>
                <w:color w:val="auto"/>
                <w:highlight w:val="none"/>
              </w:rPr>
            </w:pPr>
          </w:p>
          <w:p w14:paraId="0B9E7B65">
            <w:pPr>
              <w:ind w:firstLine="480"/>
              <w:jc w:val="left"/>
              <w:rPr>
                <w:rFonts w:hint="default" w:ascii="Times New Roman" w:hAnsi="Times New Roman" w:cs="Times New Roman"/>
                <w:color w:val="auto"/>
                <w:highlight w:val="none"/>
              </w:rPr>
            </w:pPr>
          </w:p>
          <w:p w14:paraId="6CA17D3F">
            <w:pPr>
              <w:ind w:firstLine="480"/>
              <w:jc w:val="left"/>
              <w:rPr>
                <w:rFonts w:hint="default" w:ascii="Times New Roman" w:hAnsi="Times New Roman" w:cs="Times New Roman"/>
                <w:color w:val="auto"/>
                <w:highlight w:val="none"/>
              </w:rPr>
            </w:pPr>
          </w:p>
          <w:p w14:paraId="766198A7">
            <w:pPr>
              <w:ind w:firstLine="0" w:firstLineChars="0"/>
              <w:jc w:val="left"/>
              <w:rPr>
                <w:rFonts w:hint="default" w:ascii="Times New Roman" w:hAnsi="Times New Roman" w:cs="Times New Roman"/>
                <w:color w:val="auto"/>
                <w:highlight w:val="none"/>
              </w:rPr>
            </w:pPr>
          </w:p>
        </w:tc>
      </w:tr>
    </w:tbl>
    <w:p w14:paraId="2676B8FC">
      <w:pPr>
        <w:pStyle w:val="10"/>
        <w:spacing w:beforeAutospacing="0" w:afterAutospacing="0"/>
        <w:ind w:firstLine="0" w:firstLineChars="0"/>
        <w:jc w:val="center"/>
        <w:outlineLvl w:val="0"/>
        <w:rPr>
          <w:rFonts w:hint="default" w:ascii="Times New Roman" w:hAnsi="Times New Roman" w:eastAsia="黑体" w:cs="Times New Roman"/>
          <w:color w:val="auto"/>
          <w:sz w:val="30"/>
          <w:szCs w:val="30"/>
          <w:highlight w:val="none"/>
        </w:rPr>
      </w:pPr>
      <w:r>
        <w:rPr>
          <w:rFonts w:hint="default" w:ascii="Times New Roman" w:hAnsi="Times New Roman" w:eastAsia="黑体" w:cs="Times New Roman"/>
          <w:color w:val="auto"/>
          <w:sz w:val="30"/>
          <w:szCs w:val="30"/>
          <w:highlight w:val="none"/>
        </w:rPr>
        <w:t>三、生态环境现状、保护目标及评价标准</w:t>
      </w: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9219"/>
      </w:tblGrid>
      <w:tr w14:paraId="2E5D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8" w:hRule="atLeast"/>
        </w:trPr>
        <w:tc>
          <w:tcPr>
            <w:tcW w:w="368" w:type="pct"/>
            <w:tcBorders>
              <w:top w:val="single" w:color="auto" w:sz="4" w:space="0"/>
              <w:bottom w:val="single" w:color="auto" w:sz="4" w:space="0"/>
            </w:tcBorders>
            <w:noWrap w:val="0"/>
            <w:vAlign w:val="center"/>
          </w:tcPr>
          <w:p w14:paraId="69F9CC91">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生态环境现状</w:t>
            </w:r>
          </w:p>
        </w:tc>
        <w:tc>
          <w:tcPr>
            <w:tcW w:w="4631" w:type="pct"/>
            <w:tcBorders>
              <w:top w:val="single" w:color="auto" w:sz="4" w:space="0"/>
              <w:bottom w:val="single" w:color="auto" w:sz="4" w:space="0"/>
            </w:tcBorders>
            <w:noWrap w:val="0"/>
            <w:vAlign w:val="top"/>
          </w:tcPr>
          <w:p w14:paraId="1B1274B7">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3.1 主体功能区划</w:t>
            </w:r>
          </w:p>
          <w:p w14:paraId="2EDDB261">
            <w:pPr>
              <w:pStyle w:val="34"/>
              <w:spacing w:line="360" w:lineRule="auto"/>
              <w:rPr>
                <w:rFonts w:hint="default" w:ascii="Times New Roman" w:hAnsi="Times New Roman" w:cs="Times New Roman"/>
                <w:bCs w:val="0"/>
                <w:color w:val="auto"/>
                <w:szCs w:val="22"/>
                <w:highlight w:val="none"/>
                <w:lang w:val="en-US"/>
              </w:rPr>
            </w:pPr>
            <w:r>
              <w:rPr>
                <w:rFonts w:hint="default" w:ascii="Times New Roman" w:hAnsi="Times New Roman" w:cs="Times New Roman"/>
                <w:bCs w:val="0"/>
                <w:color w:val="auto"/>
                <w:szCs w:val="22"/>
                <w:highlight w:val="none"/>
              </w:rPr>
              <w:t>本项目与</w:t>
            </w:r>
            <w:r>
              <w:rPr>
                <w:rFonts w:hint="eastAsia" w:cs="Times New Roman"/>
                <w:bCs w:val="0"/>
                <w:color w:val="auto"/>
                <w:szCs w:val="22"/>
                <w:highlight w:val="none"/>
                <w:lang w:eastAsia="zh-CN"/>
              </w:rPr>
              <w:t>《</w:t>
            </w:r>
            <w:r>
              <w:rPr>
                <w:rFonts w:hint="eastAsia" w:cs="Times New Roman"/>
                <w:bCs w:val="0"/>
                <w:color w:val="auto"/>
                <w:szCs w:val="22"/>
                <w:highlight w:val="none"/>
                <w:lang w:val="en-US" w:eastAsia="zh-CN"/>
              </w:rPr>
              <w:t>大竹县国土</w:t>
            </w:r>
            <w:r>
              <w:rPr>
                <w:rFonts w:hint="eastAsia" w:cs="Times New Roman"/>
                <w:bCs w:val="0"/>
                <w:color w:val="auto"/>
                <w:szCs w:val="22"/>
                <w:highlight w:val="none"/>
                <w:lang w:eastAsia="zh-CN"/>
              </w:rPr>
              <w:t>空间规划（2021—2035年）</w:t>
            </w:r>
            <w:r>
              <w:rPr>
                <w:rFonts w:hint="eastAsia" w:cs="Times New Roman"/>
                <w:bCs w:val="0"/>
                <w:color w:val="auto"/>
                <w:sz w:val="24"/>
                <w:szCs w:val="24"/>
                <w:highlight w:val="none"/>
                <w:lang w:eastAsia="zh-CN"/>
              </w:rPr>
              <w:t>》</w:t>
            </w:r>
            <w:r>
              <w:rPr>
                <w:rFonts w:hint="default" w:ascii="Times New Roman" w:hAnsi="Times New Roman" w:cs="Times New Roman"/>
                <w:bCs w:val="0"/>
                <w:color w:val="auto"/>
                <w:sz w:val="24"/>
                <w:szCs w:val="24"/>
                <w:highlight w:val="none"/>
              </w:rPr>
              <w:t>的符合性分析见下表所示。</w:t>
            </w:r>
            <w:r>
              <w:rPr>
                <w:rFonts w:hint="eastAsia" w:cs="Times New Roman"/>
                <w:bCs w:val="0"/>
                <w:color w:val="auto"/>
                <w:sz w:val="24"/>
                <w:szCs w:val="24"/>
                <w:highlight w:val="none"/>
                <w:lang w:val="en-US" w:eastAsia="zh-CN"/>
              </w:rPr>
              <w:t>大竹县自然资源局提供后的永久基本农田对比情况图详见附图13。</w:t>
            </w:r>
          </w:p>
          <w:p w14:paraId="4D4D9A43">
            <w:pPr>
              <w:pStyle w:val="34"/>
              <w:spacing w:line="360" w:lineRule="auto"/>
              <w:ind w:firstLine="0" w:firstLineChars="0"/>
              <w:jc w:val="center"/>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表3.1-1 与</w:t>
            </w:r>
            <w:r>
              <w:rPr>
                <w:rFonts w:hint="eastAsia" w:cs="Times New Roman"/>
                <w:b/>
                <w:color w:val="auto"/>
                <w:szCs w:val="22"/>
                <w:highlight w:val="none"/>
                <w:lang w:val="en-US" w:eastAsia="zh-CN"/>
              </w:rPr>
              <w:t>大竹县国土空间规划的</w:t>
            </w:r>
            <w:r>
              <w:rPr>
                <w:rFonts w:hint="default" w:ascii="Times New Roman" w:hAnsi="Times New Roman" w:cs="Times New Roman"/>
                <w:b/>
                <w:color w:val="auto"/>
                <w:szCs w:val="22"/>
                <w:highlight w:val="none"/>
              </w:rPr>
              <w:t>符合性对比表</w:t>
            </w:r>
          </w:p>
          <w:tbl>
            <w:tblPr>
              <w:tblStyle w:val="11"/>
              <w:tblW w:w="90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6090"/>
              <w:gridCol w:w="1680"/>
              <w:gridCol w:w="656"/>
            </w:tblGrid>
            <w:tr w14:paraId="2E0A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81" w:type="dxa"/>
                  <w:noWrap w:val="0"/>
                  <w:vAlign w:val="center"/>
                </w:tcPr>
                <w:p w14:paraId="0205F64B">
                  <w:pPr>
                    <w:pStyle w:val="34"/>
                    <w:spacing w:line="240" w:lineRule="auto"/>
                    <w:ind w:left="-120" w:leftChars="-50" w:right="-120" w:rightChars="-50"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6090" w:type="dxa"/>
                  <w:noWrap w:val="0"/>
                  <w:vAlign w:val="center"/>
                </w:tcPr>
                <w:p w14:paraId="6C58F65F">
                  <w:pPr>
                    <w:pStyle w:val="34"/>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相关要求</w:t>
                  </w:r>
                </w:p>
              </w:tc>
              <w:tc>
                <w:tcPr>
                  <w:tcW w:w="1680" w:type="dxa"/>
                  <w:noWrap w:val="0"/>
                  <w:vAlign w:val="center"/>
                </w:tcPr>
                <w:p w14:paraId="5104CFC1">
                  <w:pPr>
                    <w:pStyle w:val="34"/>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本项目情况</w:t>
                  </w:r>
                </w:p>
              </w:tc>
              <w:tc>
                <w:tcPr>
                  <w:tcW w:w="656" w:type="dxa"/>
                  <w:noWrap w:val="0"/>
                  <w:vAlign w:val="center"/>
                </w:tcPr>
                <w:p w14:paraId="1CAE77CB">
                  <w:pPr>
                    <w:pStyle w:val="34"/>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结论</w:t>
                  </w:r>
                </w:p>
              </w:tc>
            </w:tr>
            <w:tr w14:paraId="09D78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noWrap w:val="0"/>
                  <w:vAlign w:val="center"/>
                </w:tcPr>
                <w:p w14:paraId="407B52B8">
                  <w:pPr>
                    <w:pStyle w:val="34"/>
                    <w:spacing w:line="240" w:lineRule="auto"/>
                    <w:ind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1</w:t>
                  </w:r>
                </w:p>
              </w:tc>
              <w:tc>
                <w:tcPr>
                  <w:tcW w:w="6090" w:type="dxa"/>
                  <w:shd w:val="clear" w:color="auto" w:fill="auto"/>
                  <w:noWrap w:val="0"/>
                  <w:vAlign w:val="center"/>
                </w:tcPr>
                <w:p w14:paraId="6A279949">
                  <w:pPr>
                    <w:keepNext w:val="0"/>
                    <w:keepLines w:val="0"/>
                    <w:widowControl/>
                    <w:suppressLineNumbers w:val="0"/>
                    <w:spacing w:line="240" w:lineRule="auto"/>
                    <w:ind w:left="0" w:leftChars="0" w:firstLine="0" w:firstLineChars="0"/>
                    <w:jc w:val="left"/>
                    <w:rPr>
                      <w:rFonts w:hint="eastAsia" w:cs="Times New Roman"/>
                      <w:bCs w:val="0"/>
                      <w:snapToGrid w:val="0"/>
                      <w:color w:val="auto"/>
                      <w:sz w:val="21"/>
                      <w:szCs w:val="21"/>
                      <w:highlight w:val="none"/>
                      <w:lang w:val="en-US" w:eastAsia="zh-CN" w:bidi="ar-SA"/>
                    </w:rPr>
                  </w:pPr>
                  <w:r>
                    <w:rPr>
                      <w:rFonts w:hint="eastAsia" w:cs="Times New Roman"/>
                      <w:bCs w:val="0"/>
                      <w:snapToGrid w:val="0"/>
                      <w:color w:val="auto"/>
                      <w:sz w:val="21"/>
                      <w:szCs w:val="21"/>
                      <w:highlight w:val="none"/>
                      <w:lang w:val="en-US" w:eastAsia="zh-CN" w:bidi="ar-SA"/>
                    </w:rPr>
                    <w:t>4.1统筹划定空间底线</w:t>
                  </w:r>
                </w:p>
                <w:p w14:paraId="76D82F5F">
                  <w:pPr>
                    <w:keepNext w:val="0"/>
                    <w:keepLines w:val="0"/>
                    <w:widowControl/>
                    <w:suppressLineNumbers w:val="0"/>
                    <w:spacing w:line="240" w:lineRule="auto"/>
                    <w:ind w:left="0" w:leftChars="0" w:firstLine="0" w:firstLineChars="0"/>
                    <w:jc w:val="left"/>
                    <w:rPr>
                      <w:rFonts w:hint="eastAsia" w:cs="Times New Roman"/>
                      <w:bCs w:val="0"/>
                      <w:snapToGrid w:val="0"/>
                      <w:color w:val="auto"/>
                      <w:sz w:val="21"/>
                      <w:szCs w:val="21"/>
                      <w:highlight w:val="none"/>
                      <w:lang w:val="en-US" w:eastAsia="zh-CN" w:bidi="ar-SA"/>
                    </w:rPr>
                  </w:pPr>
                  <w:r>
                    <w:rPr>
                      <w:rFonts w:hint="default" w:ascii="Times New Roman" w:hAnsi="Times New Roman" w:eastAsia="宋体" w:cs="Times New Roman"/>
                      <w:bCs w:val="0"/>
                      <w:snapToGrid w:val="0"/>
                      <w:color w:val="auto"/>
                      <w:sz w:val="21"/>
                      <w:szCs w:val="21"/>
                      <w:highlight w:val="none"/>
                      <w:lang w:val="en-US" w:eastAsia="zh-CN" w:bidi="ar-SA"/>
                    </w:rPr>
                    <w:t>——</w:t>
                  </w:r>
                  <w:r>
                    <w:rPr>
                      <w:rFonts w:hint="eastAsia" w:cs="Times New Roman"/>
                      <w:bCs w:val="0"/>
                      <w:snapToGrid w:val="0"/>
                      <w:color w:val="auto"/>
                      <w:sz w:val="21"/>
                      <w:szCs w:val="21"/>
                      <w:highlight w:val="none"/>
                      <w:lang w:val="en-US" w:eastAsia="zh-CN" w:bidi="ar-SA"/>
                    </w:rPr>
                    <w:t>生态保护红线：生态保护红线是水源涵养、生物多样性维护、水土保持等重要生态功能区域。全县划定生态保护红线12.23平方公里。</w:t>
                  </w:r>
                </w:p>
                <w:p w14:paraId="156B395F">
                  <w:pPr>
                    <w:keepNext w:val="0"/>
                    <w:keepLines w:val="0"/>
                    <w:widowControl/>
                    <w:suppressLineNumbers w:val="0"/>
                    <w:spacing w:line="240" w:lineRule="auto"/>
                    <w:ind w:left="0" w:leftChars="0" w:firstLine="0" w:firstLineChars="0"/>
                    <w:jc w:val="left"/>
                    <w:rPr>
                      <w:rFonts w:hint="default" w:ascii="Times New Roman" w:hAnsi="Times New Roman" w:eastAsia="宋体" w:cs="Times New Roman"/>
                      <w:bCs w:val="0"/>
                      <w:snapToGrid w:val="0"/>
                      <w:color w:val="auto"/>
                      <w:sz w:val="21"/>
                      <w:szCs w:val="21"/>
                      <w:highlight w:val="none"/>
                      <w:lang w:val="en-US" w:eastAsia="zh-CN" w:bidi="ar-SA"/>
                    </w:rPr>
                  </w:pPr>
                  <w:r>
                    <w:rPr>
                      <w:rFonts w:hint="default" w:ascii="Times New Roman" w:hAnsi="Times New Roman" w:eastAsia="宋体" w:cs="Times New Roman"/>
                      <w:bCs w:val="0"/>
                      <w:snapToGrid w:val="0"/>
                      <w:color w:val="auto"/>
                      <w:sz w:val="21"/>
                      <w:szCs w:val="21"/>
                      <w:highlight w:val="none"/>
                      <w:lang w:val="en-US" w:eastAsia="zh-CN" w:bidi="ar-SA"/>
                    </w:rPr>
                    <w:t>——</w:t>
                  </w:r>
                  <w:r>
                    <w:rPr>
                      <w:rFonts w:hint="eastAsia" w:cs="Times New Roman"/>
                      <w:bCs w:val="0"/>
                      <w:snapToGrid w:val="0"/>
                      <w:color w:val="auto"/>
                      <w:sz w:val="21"/>
                      <w:szCs w:val="21"/>
                      <w:highlight w:val="none"/>
                      <w:lang w:val="en-US" w:eastAsia="zh-CN" w:bidi="ar-SA"/>
                    </w:rPr>
                    <w:t>永久基本农田：永久基本农田是国家粮食安全和重要农产品供给的重要保障。全县划定永久基本农田650.19平方公里。</w:t>
                  </w:r>
                </w:p>
              </w:tc>
              <w:tc>
                <w:tcPr>
                  <w:tcW w:w="1680" w:type="dxa"/>
                  <w:noWrap w:val="0"/>
                  <w:vAlign w:val="center"/>
                </w:tcPr>
                <w:p w14:paraId="1B868001">
                  <w:pPr>
                    <w:pStyle w:val="34"/>
                    <w:spacing w:line="240" w:lineRule="auto"/>
                    <w:ind w:firstLine="0" w:firstLineChars="0"/>
                    <w:jc w:val="center"/>
                    <w:rPr>
                      <w:rFonts w:hint="default" w:ascii="Times New Roman" w:hAnsi="Times New Roman" w:cs="Times New Roman"/>
                      <w:bCs w:val="0"/>
                      <w:color w:val="auto"/>
                      <w:sz w:val="21"/>
                      <w:szCs w:val="21"/>
                      <w:highlight w:val="none"/>
                    </w:rPr>
                  </w:pPr>
                  <w:r>
                    <w:rPr>
                      <w:rFonts w:hint="eastAsia" w:cs="Times New Roman"/>
                      <w:bCs w:val="0"/>
                      <w:color w:val="auto"/>
                      <w:sz w:val="21"/>
                      <w:szCs w:val="21"/>
                      <w:highlight w:val="none"/>
                      <w:lang w:val="en-US" w:eastAsia="zh-CN"/>
                    </w:rPr>
                    <w:t>根据大竹县自然资源局提供后的永久基本农田对比情况图，</w:t>
                  </w:r>
                  <w:r>
                    <w:rPr>
                      <w:rFonts w:hint="default" w:ascii="Times New Roman" w:hAnsi="Times New Roman" w:cs="Times New Roman"/>
                      <w:bCs w:val="0"/>
                      <w:color w:val="auto"/>
                      <w:sz w:val="21"/>
                      <w:szCs w:val="21"/>
                      <w:highlight w:val="none"/>
                    </w:rPr>
                    <w:t>本项目</w:t>
                  </w:r>
                  <w:r>
                    <w:rPr>
                      <w:rFonts w:hint="eastAsia" w:cs="Times New Roman"/>
                      <w:bCs w:val="0"/>
                      <w:color w:val="auto"/>
                      <w:sz w:val="21"/>
                      <w:szCs w:val="21"/>
                      <w:highlight w:val="none"/>
                      <w:lang w:val="en-US" w:eastAsia="zh-CN"/>
                    </w:rPr>
                    <w:t>不涉及基本农田，也不在生态保护红线内</w:t>
                  </w:r>
                  <w:r>
                    <w:rPr>
                      <w:rFonts w:hint="default" w:ascii="Times New Roman" w:hAnsi="Times New Roman" w:cs="Times New Roman"/>
                      <w:bCs w:val="0"/>
                      <w:color w:val="auto"/>
                      <w:sz w:val="21"/>
                      <w:szCs w:val="21"/>
                      <w:highlight w:val="none"/>
                    </w:rPr>
                    <w:t>。</w:t>
                  </w:r>
                </w:p>
              </w:tc>
              <w:tc>
                <w:tcPr>
                  <w:tcW w:w="656" w:type="dxa"/>
                  <w:noWrap w:val="0"/>
                  <w:vAlign w:val="center"/>
                </w:tcPr>
                <w:p w14:paraId="0F768643">
                  <w:pPr>
                    <w:pStyle w:val="34"/>
                    <w:spacing w:line="240" w:lineRule="auto"/>
                    <w:ind w:firstLine="0" w:firstLineChars="0"/>
                    <w:jc w:val="center"/>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符合</w:t>
                  </w:r>
                </w:p>
              </w:tc>
            </w:tr>
          </w:tbl>
          <w:p w14:paraId="35C356EE">
            <w:pPr>
              <w:pStyle w:val="34"/>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综上，本项目符合</w:t>
            </w:r>
            <w:r>
              <w:rPr>
                <w:rFonts w:hint="eastAsia" w:cs="Times New Roman"/>
                <w:bCs w:val="0"/>
                <w:color w:val="auto"/>
                <w:szCs w:val="22"/>
                <w:highlight w:val="none"/>
                <w:lang w:eastAsia="zh-CN"/>
              </w:rPr>
              <w:t>《</w:t>
            </w:r>
            <w:r>
              <w:rPr>
                <w:rFonts w:hint="eastAsia" w:cs="Times New Roman"/>
                <w:bCs w:val="0"/>
                <w:color w:val="auto"/>
                <w:szCs w:val="22"/>
                <w:highlight w:val="none"/>
                <w:lang w:val="en-US" w:eastAsia="zh-CN"/>
              </w:rPr>
              <w:t>大竹县国土</w:t>
            </w:r>
            <w:r>
              <w:rPr>
                <w:rFonts w:hint="eastAsia" w:cs="Times New Roman"/>
                <w:bCs w:val="0"/>
                <w:color w:val="auto"/>
                <w:szCs w:val="22"/>
                <w:highlight w:val="none"/>
                <w:lang w:eastAsia="zh-CN"/>
              </w:rPr>
              <w:t>空间规划(2021—2035年)</w:t>
            </w:r>
            <w:r>
              <w:rPr>
                <w:rFonts w:hint="eastAsia" w:cs="Times New Roman"/>
                <w:bCs w:val="0"/>
                <w:color w:val="auto"/>
                <w:sz w:val="24"/>
                <w:szCs w:val="24"/>
                <w:highlight w:val="none"/>
                <w:lang w:eastAsia="zh-CN"/>
              </w:rPr>
              <w:t>》</w:t>
            </w:r>
            <w:r>
              <w:rPr>
                <w:rFonts w:hint="eastAsia" w:cs="Times New Roman"/>
                <w:bCs w:val="0"/>
                <w:color w:val="auto"/>
                <w:sz w:val="24"/>
                <w:szCs w:val="24"/>
                <w:highlight w:val="none"/>
                <w:lang w:val="en-US" w:eastAsia="zh-CN"/>
              </w:rPr>
              <w:t>的</w:t>
            </w:r>
            <w:r>
              <w:rPr>
                <w:rFonts w:hint="default" w:ascii="Times New Roman" w:hAnsi="Times New Roman" w:cs="Times New Roman"/>
                <w:bCs w:val="0"/>
                <w:color w:val="auto"/>
                <w:szCs w:val="22"/>
                <w:highlight w:val="none"/>
              </w:rPr>
              <w:t>相关要求。</w:t>
            </w:r>
          </w:p>
          <w:p w14:paraId="5C18A342">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3.2 生态功能区划</w:t>
            </w:r>
          </w:p>
          <w:p w14:paraId="51413F10">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根据《四川省生态功能区划》，四川省生态功能区划分为3个等级。先从宏观上按照自然气候、地理特点划分一级区，即自然生态区，共4个</w:t>
            </w:r>
            <w:r>
              <w:rPr>
                <w:rFonts w:hint="eastAsia" w:cs="Times New Roman"/>
                <w:bCs w:val="0"/>
                <w:color w:val="auto"/>
                <w:szCs w:val="22"/>
                <w:highlight w:val="none"/>
                <w:lang w:eastAsia="zh-CN"/>
              </w:rPr>
              <w:t>；</w:t>
            </w:r>
            <w:r>
              <w:rPr>
                <w:rFonts w:hint="default" w:ascii="Times New Roman" w:hAnsi="Times New Roman" w:cs="Times New Roman"/>
                <w:bCs w:val="0"/>
                <w:color w:val="auto"/>
                <w:szCs w:val="22"/>
                <w:highlight w:val="none"/>
              </w:rPr>
              <w:t>再根据生态系统类型与生态系统服务功能类型划分二级区，即生态亚区，共13个</w:t>
            </w:r>
            <w:r>
              <w:rPr>
                <w:rFonts w:hint="eastAsia" w:cs="Times New Roman"/>
                <w:bCs w:val="0"/>
                <w:color w:val="auto"/>
                <w:szCs w:val="22"/>
                <w:highlight w:val="none"/>
                <w:lang w:eastAsia="zh-CN"/>
              </w:rPr>
              <w:t>；</w:t>
            </w:r>
            <w:r>
              <w:rPr>
                <w:rFonts w:hint="default" w:ascii="Times New Roman" w:hAnsi="Times New Roman" w:cs="Times New Roman"/>
                <w:bCs w:val="0"/>
                <w:color w:val="auto"/>
                <w:szCs w:val="22"/>
                <w:highlight w:val="none"/>
              </w:rPr>
              <w:t>最后根据生态服务功能重要性、生态环境敏感性与生态环境问题划分三级区，即生态功能区，共 36 个。</w:t>
            </w:r>
          </w:p>
          <w:p w14:paraId="6ABD6038">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本项目位于达州市大竹县，属于I2-1 盆北深丘农林与土壤保持生态功能区该区主要生态环境问题:水土流失较严重，易发生滑坡，生物多样性及森林资源保护有待加强。</w:t>
            </w:r>
          </w:p>
          <w:p w14:paraId="61A19802">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根据调查，项目河段多数岸坡为天然土质岸坡，河段洪水流速较快，致使河道岸坡水土流失严重，洪水期岸坡垮塌现象也时有发生，严重危及到两岸居民的安全和河道自身的行洪。本项目通过疏浚及堤防工程的实施，提高河道行洪能力同时也有效的减少河岸水土流失，保证岸线的稳定</w:t>
            </w:r>
          </w:p>
          <w:p w14:paraId="55A16403">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因此，评价认为项目的建设，可以有效的项目所在区域的生态环境问题。项目的建设符合《四川省生态功能区划》要求。</w:t>
            </w:r>
          </w:p>
          <w:p w14:paraId="521E912F">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3.3 区域生态环境现状调查</w:t>
            </w:r>
          </w:p>
          <w:p w14:paraId="351B2BF2">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本次评价主要采用现场踏勘以及资料收集等方法，对评价区域的土地利用现状、植物资源、动物资源、景观格局等进行生态背景调查。查阅标本馆中有关评价区内珍稀濒危保护动植物的标本，并整理有分布的动植物种类、分布范围和生境（栖息地）等资料；查阅《中国植被》、《四川植物志》、《中国药用植物志》等相关资料，整理评价区内的重要野生资源植物分布情况。</w:t>
            </w:r>
          </w:p>
          <w:p w14:paraId="5E225C00">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color w:val="auto"/>
                <w:highlight w:val="none"/>
              </w:rPr>
              <w:t>本项目位于</w:t>
            </w:r>
            <w:r>
              <w:rPr>
                <w:rFonts w:hint="eastAsia" w:cs="Times New Roman"/>
                <w:color w:val="auto"/>
                <w:highlight w:val="none"/>
                <w:lang w:eastAsia="zh-CN"/>
              </w:rPr>
              <w:t>四川省达州市大竹县石河镇、</w:t>
            </w:r>
            <w:r>
              <w:rPr>
                <w:rFonts w:hint="eastAsia" w:cs="Times New Roman"/>
                <w:color w:val="auto"/>
                <w:highlight w:val="none"/>
                <w:lang w:val="en-US" w:eastAsia="zh-CN"/>
              </w:rPr>
              <w:t>清河镇、杨家镇</w:t>
            </w:r>
            <w:r>
              <w:rPr>
                <w:rFonts w:hint="default" w:ascii="Times New Roman" w:hAnsi="Times New Roman" w:cs="Times New Roman"/>
                <w:color w:val="auto"/>
                <w:highlight w:val="none"/>
              </w:rPr>
              <w:t>。根据现场调查，工程沿线为农村生态系统，河流两岸主要以农业、种植业等为主，无工业企业，生态环境较好</w:t>
            </w:r>
            <w:r>
              <w:rPr>
                <w:rFonts w:hint="default" w:ascii="Times New Roman" w:hAnsi="Times New Roman" w:cs="Times New Roman"/>
                <w:bCs w:val="0"/>
                <w:color w:val="auto"/>
                <w:szCs w:val="22"/>
                <w:highlight w:val="none"/>
              </w:rPr>
              <w:t>。</w:t>
            </w:r>
          </w:p>
          <w:p w14:paraId="50A3C47C">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3.3.1 陆生生态调查</w:t>
            </w:r>
          </w:p>
          <w:p w14:paraId="087EFB73">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3.3.1.1 植物类型</w:t>
            </w:r>
          </w:p>
          <w:p w14:paraId="13DA5E6F">
            <w:pPr>
              <w:adjustRightInd w:val="0"/>
              <w:snapToGrid w:val="0"/>
              <w:spacing w:line="360" w:lineRule="auto"/>
              <w:ind w:firstLine="480" w:firstLineChars="200"/>
              <w:rPr>
                <w:color w:val="auto"/>
                <w:sz w:val="24"/>
                <w:highlight w:val="none"/>
              </w:rPr>
            </w:pPr>
            <w:r>
              <w:rPr>
                <w:rFonts w:hint="eastAsia"/>
                <w:color w:val="auto"/>
                <w:sz w:val="24"/>
                <w:highlight w:val="none"/>
              </w:rPr>
              <w:t>根据现场调查和查询大竹县植被资源资料，项目</w:t>
            </w:r>
            <w:r>
              <w:rPr>
                <w:rFonts w:hint="eastAsia"/>
                <w:color w:val="auto"/>
                <w:sz w:val="24"/>
                <w:highlight w:val="none"/>
                <w:lang w:val="en-US" w:eastAsia="zh-CN"/>
              </w:rPr>
              <w:t>二郎段和福兴段</w:t>
            </w:r>
            <w:r>
              <w:rPr>
                <w:rFonts w:hint="eastAsia"/>
                <w:color w:val="auto"/>
                <w:sz w:val="24"/>
                <w:highlight w:val="none"/>
              </w:rPr>
              <w:t>两侧</w:t>
            </w:r>
            <w:r>
              <w:rPr>
                <w:rFonts w:hint="eastAsia"/>
                <w:color w:val="auto"/>
                <w:sz w:val="24"/>
                <w:highlight w:val="none"/>
                <w:lang w:val="en-US" w:eastAsia="zh-CN"/>
              </w:rPr>
              <w:t>均</w:t>
            </w:r>
            <w:r>
              <w:rPr>
                <w:rFonts w:hint="eastAsia"/>
                <w:color w:val="auto"/>
                <w:sz w:val="24"/>
                <w:highlight w:val="none"/>
              </w:rPr>
              <w:t>分布有耕地、林地和草地。主要植被包括黄葛树、小叶榕、杨树、银杏树、</w:t>
            </w:r>
            <w:r>
              <w:rPr>
                <w:rFonts w:hint="eastAsia"/>
                <w:color w:val="auto"/>
                <w:sz w:val="24"/>
                <w:highlight w:val="none"/>
                <w:lang w:val="en-US" w:eastAsia="zh-CN"/>
              </w:rPr>
              <w:t>香椿树</w:t>
            </w:r>
            <w:r>
              <w:rPr>
                <w:rFonts w:hint="eastAsia"/>
                <w:color w:val="auto"/>
                <w:sz w:val="24"/>
                <w:highlight w:val="none"/>
              </w:rPr>
              <w:t>、柏树、红豆杉树、桂花树、榆树、水杉树等，铁仔、马桑、甜根子、斑茅等灌木与草本植物，白夹竹、黄竹、斑竹、楠竹等24个竹种，甜橙、柚子等果林木，以及水稻、玉米、红薯等农作物。</w:t>
            </w:r>
          </w:p>
          <w:p w14:paraId="35D1E8A2">
            <w:pPr>
              <w:pStyle w:val="34"/>
              <w:spacing w:line="360" w:lineRule="auto"/>
              <w:rPr>
                <w:rFonts w:hint="default" w:ascii="Times New Roman" w:hAnsi="Times New Roman" w:cs="Times New Roman"/>
                <w:bCs w:val="0"/>
                <w:color w:val="auto"/>
                <w:szCs w:val="22"/>
                <w:highlight w:val="none"/>
              </w:rPr>
            </w:pPr>
            <w:r>
              <w:rPr>
                <w:rFonts w:hint="eastAsia"/>
                <w:color w:val="auto"/>
                <w:sz w:val="24"/>
                <w:highlight w:val="none"/>
              </w:rPr>
              <w:t>项目占地及</w:t>
            </w:r>
            <w:r>
              <w:rPr>
                <w:color w:val="auto"/>
                <w:sz w:val="24"/>
                <w:highlight w:val="none"/>
              </w:rPr>
              <w:t>评价区域内尚未发现国家</w:t>
            </w:r>
            <w:r>
              <w:rPr>
                <w:rFonts w:hint="eastAsia"/>
                <w:color w:val="auto"/>
                <w:sz w:val="24"/>
                <w:highlight w:val="none"/>
              </w:rPr>
              <w:t>级、省级重点保护野生植物。</w:t>
            </w:r>
          </w:p>
          <w:p w14:paraId="7F6AE7A0">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3.3.1.2 动物资源</w:t>
            </w:r>
          </w:p>
          <w:p w14:paraId="5389B8C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中国动物地理》（张荣祖，科学出版社，2011)中对中国动物地理区划的结果，评价范围内动物区划属于东洋界，中印亚界，华中区（VI），西部山地高原亚区（VIB）。本亚区的兽类分布具有如下特征:（1）从中亚热带至北亚热带，热带成分逐渐递减的趋势在本区兽类中亦有表现。（2）典型的林栖动物只保存在少数面积不大的森林中。如秦岭、大巴山、金佛山、神农架、梵净山、雷山等山区。森林在人类影响下的缩小与破碎，对林栖动物的分布与数量有决定性的影响。（3）在广大的农耕地区，兽类种类贫乏，广泛分布、数量众多是鼠类，食虫类中少数种类亦属常见。</w:t>
            </w:r>
          </w:p>
          <w:p w14:paraId="12C3B08F">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（1）两栖动物</w:t>
            </w:r>
          </w:p>
          <w:p w14:paraId="3E92F808">
            <w:pPr>
              <w:pStyle w:val="3"/>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项目评价范围内</w:t>
            </w:r>
            <w:r>
              <w:rPr>
                <w:rFonts w:hint="default" w:ascii="Times New Roman" w:hAnsi="Times New Roman" w:cs="Times New Roman"/>
                <w:color w:val="auto"/>
                <w:highlight w:val="none"/>
              </w:rPr>
              <w:t>有泽蛙、黑斑侧褶蛙等常见种类，未发现有国家重点保护野生动物。项目占地范围内未发现有</w:t>
            </w:r>
            <w:r>
              <w:rPr>
                <w:rFonts w:hint="eastAsia"/>
                <w:color w:val="auto"/>
                <w:highlight w:val="none"/>
                <w:lang w:val="en-US" w:eastAsia="zh-CN"/>
              </w:rPr>
              <w:t>国家重点保护野生两栖动物</w:t>
            </w:r>
            <w:r>
              <w:rPr>
                <w:rFonts w:hint="default" w:ascii="Times New Roman" w:hAnsi="Times New Roman" w:cs="Times New Roman"/>
                <w:color w:val="auto"/>
                <w:highlight w:val="none"/>
              </w:rPr>
              <w:t>的栖息地。</w:t>
            </w:r>
          </w:p>
          <w:p w14:paraId="357AA97D">
            <w:pPr>
              <w:pStyle w:val="34"/>
              <w:numPr>
                <w:ilvl w:val="0"/>
                <w:numId w:val="5"/>
              </w:numPr>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爬行类</w:t>
            </w:r>
          </w:p>
          <w:p w14:paraId="64801C08">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项目评价范围内</w:t>
            </w:r>
            <w:r>
              <w:rPr>
                <w:rFonts w:hint="default" w:ascii="Times New Roman" w:hAnsi="Times New Roman" w:cs="Times New Roman"/>
                <w:color w:val="auto"/>
                <w:highlight w:val="none"/>
              </w:rPr>
              <w:t>有菜花蛇、</w:t>
            </w:r>
            <w:r>
              <w:rPr>
                <w:rFonts w:hint="default" w:ascii="Times New Roman" w:hAnsi="Times New Roman" w:cs="Times New Roman"/>
                <w:bCs w:val="0"/>
                <w:color w:val="auto"/>
                <w:szCs w:val="22"/>
                <w:highlight w:val="none"/>
              </w:rPr>
              <w:t>乌梢蛇、黑眉锦蛇等常见种类，</w:t>
            </w:r>
            <w:r>
              <w:rPr>
                <w:rFonts w:hint="default" w:ascii="Times New Roman" w:hAnsi="Times New Roman" w:cs="Times New Roman"/>
                <w:color w:val="auto"/>
                <w:highlight w:val="none"/>
              </w:rPr>
              <w:t>未发现有国家重点保护野生动物。项目占地范围内未发现有</w:t>
            </w:r>
            <w:r>
              <w:rPr>
                <w:rFonts w:hint="eastAsia"/>
                <w:color w:val="auto"/>
                <w:highlight w:val="none"/>
                <w:lang w:val="en-US" w:eastAsia="zh-CN"/>
              </w:rPr>
              <w:t>国家重点保护野生</w:t>
            </w:r>
            <w:r>
              <w:rPr>
                <w:rFonts w:hint="default" w:ascii="Times New Roman" w:hAnsi="Times New Roman" w:cs="Times New Roman"/>
                <w:bCs w:val="0"/>
                <w:color w:val="auto"/>
                <w:szCs w:val="22"/>
                <w:highlight w:val="none"/>
              </w:rPr>
              <w:t>爬行类动物</w:t>
            </w:r>
            <w:r>
              <w:rPr>
                <w:rFonts w:hint="default" w:ascii="Times New Roman" w:hAnsi="Times New Roman" w:cs="Times New Roman"/>
                <w:color w:val="auto"/>
                <w:highlight w:val="none"/>
              </w:rPr>
              <w:t>的栖息地。</w:t>
            </w:r>
          </w:p>
          <w:p w14:paraId="1FCA587D">
            <w:pPr>
              <w:pStyle w:val="34"/>
              <w:numPr>
                <w:ilvl w:val="0"/>
                <w:numId w:val="5"/>
              </w:numPr>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鸟类</w:t>
            </w:r>
          </w:p>
          <w:p w14:paraId="067C339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根据调查评价区内生境特点及鸟类的生活习性结合自然环境，分布于此的鸟类类群可以划分为5种类型：</w:t>
            </w:r>
            <w:r>
              <w:rPr>
                <w:rFonts w:hint="default" w:ascii="Times New Roman" w:hAnsi="Times New Roman" w:cs="Times New Roman"/>
                <w:color w:val="auto"/>
                <w:highlight w:val="none"/>
                <w:lang w:val="en-US" w:eastAsia="zh-CN"/>
              </w:rPr>
              <w:t>水域</w:t>
            </w:r>
            <w:r>
              <w:rPr>
                <w:rFonts w:hint="default" w:ascii="Times New Roman" w:hAnsi="Times New Roman" w:cs="Times New Roman"/>
                <w:color w:val="auto"/>
                <w:highlight w:val="none"/>
              </w:rPr>
              <w:t>、农田、城镇、草灌、森林鸟类群。</w:t>
            </w:r>
          </w:p>
          <w:p w14:paraId="0FAA57D3">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森林鸟类群：代表种类有树鹳、大山雀等。</w:t>
            </w:r>
          </w:p>
          <w:p w14:paraId="07CA429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草灌鸟类群：代表种类有北红尾鸲、棕背伯劳及噪鹏类等。</w:t>
            </w:r>
          </w:p>
          <w:p w14:paraId="14D3641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水域鸟类群：代表鸟类有池鹭、红尾水鸲、普通翠鸟、白鹤鸽、褐河乌等。</w:t>
            </w:r>
          </w:p>
          <w:p w14:paraId="7176D49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农田鸟类群：代表鸟类有灰胸竹鸡、白胸苦恶鸟、八哥、椋鸟等。</w:t>
            </w:r>
          </w:p>
          <w:p w14:paraId="77F0A6A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城镇鸟类群：主要以家燕、麻雀、鹊鸲、白鹤鸽、棕背伯劳、大山雀等组成。</w:t>
            </w:r>
          </w:p>
          <w:p w14:paraId="1EEEABE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经调查，项目评价范围内无珍稀野生保护鸟类。项目占地范围内未发现有</w:t>
            </w:r>
            <w:r>
              <w:rPr>
                <w:rFonts w:hint="eastAsia"/>
                <w:color w:val="auto"/>
                <w:highlight w:val="none"/>
                <w:lang w:val="en-US" w:eastAsia="zh-CN"/>
              </w:rPr>
              <w:t>国家重点保护野生</w:t>
            </w:r>
            <w:r>
              <w:rPr>
                <w:rFonts w:hint="default" w:ascii="Times New Roman" w:hAnsi="Times New Roman" w:cs="Times New Roman"/>
                <w:color w:val="auto"/>
                <w:highlight w:val="none"/>
              </w:rPr>
              <w:t>鸟类的栖息地。</w:t>
            </w:r>
          </w:p>
          <w:p w14:paraId="23CAEB63">
            <w:pPr>
              <w:pStyle w:val="34"/>
              <w:numPr>
                <w:ilvl w:val="0"/>
                <w:numId w:val="5"/>
              </w:numPr>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兽类</w:t>
            </w:r>
          </w:p>
          <w:p w14:paraId="602716EB">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根据项目评价区植被分布特点，将调查区兽类分布的生境划分为以下几种类型：</w:t>
            </w:r>
          </w:p>
          <w:p w14:paraId="31617A67">
            <w:pPr>
              <w:pStyle w:val="34"/>
              <w:spacing w:line="360" w:lineRule="auto"/>
              <w:ind w:left="480" w:leftChars="200" w:firstLine="0" w:firstLineChars="0"/>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水域：主要分布的动物有啮齿目、食肉目的一些动物，但无专一性水域动物。</w:t>
            </w:r>
          </w:p>
          <w:p w14:paraId="20C17C6D">
            <w:pPr>
              <w:pStyle w:val="34"/>
              <w:spacing w:line="360" w:lineRule="auto"/>
              <w:ind w:left="480" w:leftChars="200" w:firstLine="0" w:firstLineChars="0"/>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农田：主要分布的动物有黄鼬、草兔、果鼠等。</w:t>
            </w:r>
          </w:p>
          <w:p w14:paraId="016C12D8">
            <w:pPr>
              <w:pStyle w:val="34"/>
              <w:spacing w:line="360" w:lineRule="auto"/>
              <w:ind w:left="480" w:leftChars="200" w:firstLine="0" w:firstLineChars="0"/>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城镇：主要分布的有啮齿目、翼手目动物，如小家鼠、褐家鼠等。</w:t>
            </w:r>
          </w:p>
          <w:p w14:paraId="26287B28">
            <w:pPr>
              <w:pStyle w:val="34"/>
              <w:spacing w:line="360" w:lineRule="auto"/>
              <w:ind w:left="480" w:leftChars="200" w:firstLine="0" w:firstLineChars="0"/>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草灌：分布的兽类有食虫目、食肉目、啮齿目的小型物种为主。</w:t>
            </w:r>
          </w:p>
          <w:p w14:paraId="6B2225A3">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评价范围内无珍稀野生哺乳动物。</w:t>
            </w:r>
            <w:r>
              <w:rPr>
                <w:rFonts w:hint="default" w:ascii="Times New Roman" w:hAnsi="Times New Roman" w:cs="Times New Roman"/>
                <w:color w:val="auto"/>
                <w:highlight w:val="none"/>
              </w:rPr>
              <w:t>项目占地范围内未发现有</w:t>
            </w:r>
            <w:r>
              <w:rPr>
                <w:rFonts w:hint="eastAsia"/>
                <w:color w:val="auto"/>
                <w:highlight w:val="none"/>
                <w:lang w:val="en-US" w:eastAsia="zh-CN"/>
              </w:rPr>
              <w:t>国家重点保护</w:t>
            </w:r>
            <w:r>
              <w:rPr>
                <w:rFonts w:hint="default" w:ascii="Times New Roman" w:hAnsi="Times New Roman" w:cs="Times New Roman"/>
                <w:color w:val="auto"/>
                <w:highlight w:val="none"/>
              </w:rPr>
              <w:t>兽类野生动物的栖息地。</w:t>
            </w:r>
          </w:p>
          <w:p w14:paraId="4F9AAB1E">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3.3.2 水生生态调查</w:t>
            </w:r>
          </w:p>
          <w:p w14:paraId="743965D3">
            <w:pPr>
              <w:pStyle w:val="34"/>
              <w:spacing w:line="360" w:lineRule="auto"/>
              <w:rPr>
                <w:rFonts w:hint="default" w:ascii="Times New Roman" w:hAnsi="Times New Roman" w:cs="Times New Roman"/>
                <w:bCs w:val="0"/>
                <w:color w:val="auto"/>
                <w:szCs w:val="22"/>
                <w:highlight w:val="none"/>
              </w:rPr>
            </w:pPr>
            <w:r>
              <w:rPr>
                <w:rFonts w:hint="eastAsia" w:cs="Times New Roman"/>
                <w:bCs w:val="0"/>
                <w:color w:val="auto"/>
                <w:szCs w:val="22"/>
                <w:highlight w:val="none"/>
                <w:lang w:val="en-US" w:eastAsia="zh-CN"/>
              </w:rPr>
              <w:t>柳城河及东柳河评价段</w:t>
            </w:r>
            <w:r>
              <w:rPr>
                <w:rFonts w:hint="default" w:ascii="Times New Roman" w:hAnsi="Times New Roman" w:cs="Times New Roman"/>
                <w:bCs w:val="0"/>
                <w:color w:val="auto"/>
                <w:szCs w:val="22"/>
                <w:highlight w:val="none"/>
              </w:rPr>
              <w:t>属Ⅲ类水域，主</w:t>
            </w:r>
            <w:r>
              <w:rPr>
                <w:rFonts w:hint="default" w:ascii="Times New Roman" w:hAnsi="Times New Roman" w:eastAsia="宋体" w:cs="Times New Roman"/>
                <w:bCs w:val="0"/>
                <w:color w:val="auto"/>
                <w:szCs w:val="22"/>
                <w:highlight w:val="none"/>
              </w:rPr>
              <w:t>要功能为防洪排涝、景观美化、农业灌溉和生态保护‌‌。</w:t>
            </w:r>
            <w:r>
              <w:rPr>
                <w:rFonts w:hint="default" w:ascii="Times New Roman" w:hAnsi="Times New Roman" w:cs="Times New Roman"/>
                <w:bCs w:val="0"/>
                <w:color w:val="auto"/>
                <w:szCs w:val="22"/>
                <w:highlight w:val="none"/>
              </w:rPr>
              <w:t>项目</w:t>
            </w:r>
            <w:r>
              <w:rPr>
                <w:rFonts w:hint="eastAsia"/>
                <w:color w:val="auto"/>
                <w:highlight w:val="none"/>
                <w:lang w:val="en-US" w:eastAsia="zh-CN"/>
              </w:rPr>
              <w:t>水生生态调查采用资料收集及走访调查方式。</w:t>
            </w:r>
          </w:p>
          <w:p w14:paraId="138CAD62">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3.3.2.1 浮游植物</w:t>
            </w:r>
          </w:p>
          <w:p w14:paraId="13D809A2">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color w:val="auto"/>
                <w:highlight w:val="none"/>
              </w:rPr>
              <w:t>项目评价范围内</w:t>
            </w:r>
            <w:r>
              <w:rPr>
                <w:rFonts w:hint="default" w:ascii="Times New Roman" w:hAnsi="Times New Roman" w:cs="Times New Roman"/>
                <w:bCs w:val="0"/>
                <w:color w:val="auto"/>
                <w:szCs w:val="22"/>
                <w:highlight w:val="none"/>
              </w:rPr>
              <w:t>浮游植物主要有硅藻、绿藻、裸藻、甲藻等，其中硅藻门最多，硅藻门的藻类以舟形藻、脆杆藻、针杆藻、桥弯藻、直链藻较多，绿藻门中小球藻为主要种类，总体上看，浮游植物种类差异不大，均以硅藻门的种类为主</w:t>
            </w:r>
            <w:r>
              <w:rPr>
                <w:rFonts w:hint="default" w:ascii="Times New Roman" w:hAnsi="Times New Roman" w:cs="Times New Roman"/>
                <w:color w:val="auto"/>
                <w:highlight w:val="none"/>
              </w:rPr>
              <w:t>。</w:t>
            </w:r>
          </w:p>
          <w:p w14:paraId="02EF48EB">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3.3.2.2 浮游动物</w:t>
            </w:r>
          </w:p>
          <w:p w14:paraId="2A810776">
            <w:pPr>
              <w:pStyle w:val="34"/>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项目评价范围内浮游动物的常见种类原生动物中主要有冠冕砂壳虫、球形砂壳虫，轮虫中主要有曲腿龟甲轮虫、卵形鞍甲轮虫、角突臂尾轮虫，枝角类中主要有长额象鼻蚤，桡足类中主要有近邻剑水蚤。</w:t>
            </w:r>
          </w:p>
          <w:p w14:paraId="4A64B0C4">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3.3.2.3 底栖动物</w:t>
            </w:r>
          </w:p>
          <w:p w14:paraId="4CE1CCAA">
            <w:pPr>
              <w:pStyle w:val="34"/>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项目评价范围内有底栖动物13种，分别属于环节动物门、节肢动物门与软体动物门3门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优势种为高翔蜉、萝卜螺、四节蜉。</w:t>
            </w:r>
          </w:p>
          <w:p w14:paraId="33C2B44E">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3.3.2.</w:t>
            </w:r>
            <w:r>
              <w:rPr>
                <w:rFonts w:hint="eastAsia" w:cs="Times New Roman"/>
                <w:b/>
                <w:color w:val="auto"/>
                <w:szCs w:val="22"/>
                <w:highlight w:val="none"/>
                <w:lang w:val="en-US" w:eastAsia="zh-CN"/>
              </w:rPr>
              <w:t>4</w:t>
            </w:r>
            <w:r>
              <w:rPr>
                <w:rFonts w:hint="default" w:ascii="Times New Roman" w:hAnsi="Times New Roman" w:cs="Times New Roman"/>
                <w:b/>
                <w:color w:val="auto"/>
                <w:szCs w:val="22"/>
                <w:highlight w:val="none"/>
              </w:rPr>
              <w:t xml:space="preserve"> 鱼类资源</w:t>
            </w:r>
          </w:p>
          <w:p w14:paraId="12FA61B6">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项目调查河段无国家I、II级重点保护鱼类，评价河段的常见鱼类有鲤鱼、草鱼、鲫鱼、鳅科、黄鳝、麦穗鱼等小型鱼类等常见鱼类。</w:t>
            </w:r>
          </w:p>
          <w:p w14:paraId="674826CB">
            <w:pPr>
              <w:rPr>
                <w:rFonts w:hint="default"/>
                <w:color w:val="auto"/>
                <w:highlight w:val="none"/>
              </w:rPr>
            </w:pPr>
            <w:r>
              <w:rPr>
                <w:rFonts w:hint="default" w:ascii="Times New Roman" w:hAnsi="Times New Roman" w:eastAsia="宋体" w:cs="Times New Roman"/>
                <w:b w:val="0"/>
                <w:bCs w:val="0"/>
                <w:snapToGrid w:val="0"/>
                <w:color w:val="auto"/>
                <w:kern w:val="0"/>
                <w:sz w:val="24"/>
                <w:szCs w:val="22"/>
                <w:highlight w:val="none"/>
                <w:lang w:val="en-US" w:eastAsia="zh-CN" w:bidi="ar-SA"/>
              </w:rPr>
              <w:t>根据大竹县林业局《关于四川省大竹县石河镇二郎、福兴防洪治理工程等四个项目的情况说明》，本项目不涉及珍稀保护鱼类，也不涉及珍稀保护鱼类的产卵场、索饵场、越冬场及洄游通道。</w:t>
            </w:r>
          </w:p>
          <w:p w14:paraId="0066D59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Cs w:val="22"/>
                <w:highlight w:val="none"/>
              </w:rPr>
            </w:pPr>
            <w:r>
              <w:rPr>
                <w:rFonts w:hint="eastAsia"/>
                <w:b/>
                <w:bCs/>
                <w:color w:val="auto"/>
                <w:sz w:val="24"/>
                <w:highlight w:val="none"/>
              </w:rPr>
              <w:t>综上所述，项目区域内无珍稀动、植物，无濒危水生生物，无古稀树木和保护树种，不涉及重要水生生物的产卵场、索饵场、越冬场及洄游通道</w:t>
            </w:r>
            <w:r>
              <w:rPr>
                <w:rFonts w:hint="eastAsia" w:ascii="Times New Roman" w:hAnsi="Times New Roman" w:eastAsia="宋体" w:cs="Times New Roman"/>
                <w:b/>
                <w:bCs/>
                <w:snapToGrid w:val="0"/>
                <w:color w:val="auto"/>
                <w:sz w:val="24"/>
                <w:szCs w:val="22"/>
                <w:highlight w:val="none"/>
                <w:lang w:val="en-US" w:eastAsia="zh-CN" w:bidi="ar-SA"/>
              </w:rPr>
              <w:t>。</w:t>
            </w:r>
          </w:p>
          <w:p w14:paraId="764C796A">
            <w:pPr>
              <w:pStyle w:val="34"/>
              <w:spacing w:line="360" w:lineRule="auto"/>
              <w:ind w:firstLine="0" w:firstLineChars="0"/>
              <w:rPr>
                <w:rFonts w:hint="default" w:ascii="Times New Roman" w:hAnsi="Times New Roman" w:eastAsia="宋体" w:cs="Times New Roman"/>
                <w:b/>
                <w:bCs/>
                <w:color w:val="auto"/>
                <w:szCs w:val="22"/>
                <w:highlight w:val="none"/>
                <w:lang w:val="en-US" w:eastAsia="zh-CN"/>
              </w:rPr>
            </w:pPr>
            <w:r>
              <w:rPr>
                <w:rFonts w:hint="default" w:ascii="Times New Roman" w:hAnsi="Times New Roman" w:eastAsia="宋体" w:cs="Times New Roman"/>
                <w:b/>
                <w:bCs/>
                <w:color w:val="auto"/>
                <w:szCs w:val="22"/>
                <w:highlight w:val="none"/>
                <w:lang w:val="en-US" w:eastAsia="zh-CN"/>
              </w:rPr>
              <w:t>3.3.3水文调查</w:t>
            </w:r>
          </w:p>
          <w:p w14:paraId="085CDDF8">
            <w:pPr>
              <w:pStyle w:val="34"/>
              <w:spacing w:line="360" w:lineRule="auto"/>
              <w:ind w:firstLine="0" w:firstLineChars="0"/>
              <w:rPr>
                <w:rFonts w:hint="default" w:ascii="Times New Roman" w:hAnsi="Times New Roman" w:cs="Times New Roman"/>
                <w:b/>
                <w:color w:val="auto"/>
                <w:szCs w:val="22"/>
                <w:highlight w:val="none"/>
                <w:lang w:val="en-US" w:eastAsia="zh-CN"/>
              </w:rPr>
            </w:pPr>
            <w:r>
              <w:rPr>
                <w:rFonts w:hint="default" w:ascii="Times New Roman" w:hAnsi="Times New Roman" w:cs="Times New Roman"/>
                <w:b/>
                <w:color w:val="auto"/>
                <w:szCs w:val="22"/>
                <w:highlight w:val="none"/>
              </w:rPr>
              <w:t>3.3.</w:t>
            </w:r>
            <w:r>
              <w:rPr>
                <w:rFonts w:hint="default" w:ascii="Times New Roman" w:hAnsi="Times New Roman" w:cs="Times New Roman"/>
                <w:b/>
                <w:color w:val="auto"/>
                <w:szCs w:val="22"/>
                <w:highlight w:val="none"/>
                <w:lang w:val="en-US" w:eastAsia="zh-CN"/>
              </w:rPr>
              <w:t>3</w:t>
            </w:r>
            <w:r>
              <w:rPr>
                <w:rFonts w:hint="default" w:ascii="Times New Roman" w:hAnsi="Times New Roman" w:cs="Times New Roman"/>
                <w:b/>
                <w:color w:val="auto"/>
                <w:szCs w:val="22"/>
                <w:highlight w:val="none"/>
              </w:rPr>
              <w:t>.</w:t>
            </w:r>
            <w:r>
              <w:rPr>
                <w:rFonts w:hint="default" w:ascii="Times New Roman" w:hAnsi="Times New Roman" w:cs="Times New Roman"/>
                <w:b/>
                <w:color w:val="auto"/>
                <w:szCs w:val="22"/>
                <w:highlight w:val="none"/>
                <w:lang w:val="en-US" w:eastAsia="zh-CN"/>
              </w:rPr>
              <w:t>1 河流水系</w:t>
            </w:r>
          </w:p>
          <w:p w14:paraId="69DF433E">
            <w:pPr>
              <w:ind w:firstLine="480"/>
              <w:rPr>
                <w:rFonts w:hint="default" w:cs="Times New Roman"/>
                <w:color w:val="auto"/>
                <w:highlight w:val="none"/>
                <w:lang w:val="en-US" w:eastAsia="zh-CN"/>
              </w:rPr>
            </w:pPr>
            <w:r>
              <w:rPr>
                <w:rFonts w:hint="eastAsia" w:cs="Times New Roman"/>
                <w:color w:val="auto"/>
                <w:highlight w:val="none"/>
                <w:lang w:val="en-US" w:eastAsia="zh-CN"/>
              </w:rPr>
              <w:t>·柳城河</w:t>
            </w:r>
          </w:p>
          <w:p w14:paraId="0B6EBD7C">
            <w:pPr>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石河镇二郎、福兴段和石河镇石河镇段、双拱场段</w:t>
            </w:r>
            <w:r>
              <w:rPr>
                <w:rFonts w:hint="default" w:ascii="Times New Roman" w:hAnsi="Times New Roman" w:cs="Times New Roman"/>
                <w:color w:val="auto"/>
                <w:highlight w:val="none"/>
                <w:lang w:val="zh-CN"/>
              </w:rPr>
              <w:t>所在河流为</w:t>
            </w:r>
            <w:r>
              <w:rPr>
                <w:rFonts w:hint="default" w:ascii="Times New Roman" w:hAnsi="Times New Roman" w:cs="Times New Roman"/>
                <w:color w:val="auto"/>
                <w:highlight w:val="none"/>
              </w:rPr>
              <w:t>柳城河</w:t>
            </w:r>
            <w:r>
              <w:rPr>
                <w:rFonts w:hint="default" w:ascii="Times New Roman" w:hAnsi="Times New Roman" w:cs="Times New Roman"/>
                <w:color w:val="auto"/>
                <w:highlight w:val="none"/>
                <w:lang w:val="zh-CN"/>
              </w:rPr>
              <w:t>及其支流</w:t>
            </w:r>
            <w:r>
              <w:rPr>
                <w:rFonts w:hint="default" w:ascii="Times New Roman" w:hAnsi="Times New Roman" w:cs="Times New Roman"/>
                <w:color w:val="auto"/>
                <w:highlight w:val="none"/>
              </w:rPr>
              <w:t>柳城溪</w:t>
            </w:r>
            <w:r>
              <w:rPr>
                <w:rFonts w:hint="default" w:ascii="Times New Roman" w:hAnsi="Times New Roman" w:cs="Times New Roman"/>
                <w:color w:val="auto"/>
                <w:highlight w:val="none"/>
                <w:lang w:val="zh-CN"/>
              </w:rPr>
              <w:t>。</w:t>
            </w:r>
            <w:r>
              <w:rPr>
                <w:rFonts w:hint="eastAsia" w:cs="Times New Roman"/>
                <w:color w:val="auto"/>
                <w:highlight w:val="none"/>
                <w:lang w:val="en-US" w:eastAsia="zh-CN"/>
              </w:rPr>
              <w:t>柳城河为东柳河支流，</w:t>
            </w:r>
            <w:r>
              <w:rPr>
                <w:rFonts w:hint="eastAsia"/>
                <w:color w:val="auto"/>
                <w:kern w:val="0"/>
                <w:sz w:val="24"/>
                <w:highlight w:val="none"/>
              </w:rPr>
              <w:t>流向为自南向北，最终汇入东柳河。</w:t>
            </w:r>
          </w:p>
          <w:p w14:paraId="29CD762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柳城河发源于达州市境内大竹县月华镇金堂村秦家嘴（东经107°16′40.21″，北纬30°47′19.85″），终点为汇入干流东柳河汇合处（东经107°18′47.47″，北纬30°56′27.77″），河流全长55.8km，全流域面积约330.96km²，河道平均比降1.49‰。在大竹境内流经月华镇、石河镇、双拱镇、二郎镇、柏家乡、李家乡、柏林镇7个乡镇。</w:t>
            </w:r>
          </w:p>
          <w:p w14:paraId="5C54835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柳城溪全流域位于大竹县境内，上游起点为大竹县石河镇李家乡一处水库处（东经107°15′55.07″，北纬30°52′58.16″），流经石河镇、清河镇，在清河镇毛古村附近汇入柳城溪（东经107°18′31.21″，北纬30°36′36.17″），河长15.171km，全流域面积约37.67km²，河道比降为3.21‰。流经行政区有清河镇、石河镇。</w:t>
            </w:r>
          </w:p>
          <w:p w14:paraId="1AD1191A">
            <w:pPr>
              <w:ind w:firstLine="480"/>
              <w:rPr>
                <w:color w:val="auto"/>
                <w:highlight w:val="none"/>
              </w:rPr>
            </w:pPr>
            <w:r>
              <w:rPr>
                <w:rFonts w:hint="eastAsia" w:cs="Times New Roman"/>
                <w:color w:val="auto"/>
                <w:highlight w:val="none"/>
                <w:lang w:val="en-US" w:eastAsia="zh-CN"/>
              </w:rPr>
              <w:t>石河镇</w:t>
            </w:r>
            <w:r>
              <w:rPr>
                <w:rFonts w:hint="default" w:ascii="Times New Roman" w:hAnsi="Times New Roman" w:cs="Times New Roman"/>
                <w:color w:val="auto"/>
                <w:highlight w:val="none"/>
              </w:rPr>
              <w:t>二郎社区柳城河控制流域面积180.10km²，河长42.5km，河道比降为1.29‰</w:t>
            </w:r>
            <w:r>
              <w:rPr>
                <w:rFonts w:hint="eastAsia" w:cs="Times New Roman"/>
                <w:color w:val="auto"/>
                <w:highlight w:val="none"/>
                <w:lang w:eastAsia="zh-CN"/>
              </w:rPr>
              <w:t>；</w:t>
            </w:r>
            <w:r>
              <w:rPr>
                <w:rFonts w:hint="default" w:ascii="Times New Roman" w:hAnsi="Times New Roman" w:cs="Times New Roman"/>
                <w:color w:val="auto"/>
                <w:highlight w:val="none"/>
              </w:rPr>
              <w:t>福兴社区柳城溪控制流域面积12.36km²，河长3.78km，河道比降为5.45‰</w:t>
            </w:r>
            <w:r>
              <w:rPr>
                <w:rFonts w:hint="eastAsia" w:cs="Times New Roman"/>
                <w:color w:val="auto"/>
                <w:highlight w:val="none"/>
                <w:lang w:eastAsia="zh-CN"/>
              </w:rPr>
              <w:t>；</w:t>
            </w:r>
            <w:r>
              <w:rPr>
                <w:color w:val="auto"/>
                <w:highlight w:val="none"/>
              </w:rPr>
              <w:t>石河镇段流域面积28.48km²，河长15.05km，河道平均比降为1.45‰；双拱场段控制断面以上流域面积158.41km²，河长39.96km，河道平均比降为1.623‰。</w:t>
            </w:r>
          </w:p>
          <w:p w14:paraId="3F5FDDA3">
            <w:pPr>
              <w:ind w:firstLine="480"/>
              <w:rPr>
                <w:rFonts w:hint="eastAsia"/>
                <w:color w:val="auto"/>
                <w:highlight w:val="none"/>
                <w:lang w:val="en-US" w:eastAsia="zh-CN"/>
              </w:rPr>
            </w:pPr>
            <w:r>
              <w:rPr>
                <w:rFonts w:hint="eastAsia"/>
                <w:color w:val="auto"/>
                <w:highlight w:val="none"/>
                <w:lang w:val="en-US" w:eastAsia="zh-CN"/>
              </w:rPr>
              <w:t>·东柳河</w:t>
            </w:r>
          </w:p>
          <w:p w14:paraId="408B8CE6">
            <w:pPr>
              <w:ind w:firstLine="480"/>
              <w:rPr>
                <w:rFonts w:hint="default"/>
                <w:color w:val="auto"/>
                <w:highlight w:val="none"/>
                <w:lang w:val="en-US" w:eastAsia="zh-CN"/>
              </w:rPr>
            </w:pPr>
            <w:r>
              <w:rPr>
                <w:rFonts w:hint="default"/>
                <w:color w:val="auto"/>
                <w:highlight w:val="none"/>
                <w:lang w:val="en-US" w:eastAsia="zh-CN"/>
              </w:rPr>
              <w:t>柳河为州河左岸的一级支流，隶属渠江流域，发源于大竹县月华乡东铜锣山北段大家山，由南向北依次流经乌木滩水库、东柳街道、竹北乡、人和乡、杨家镇、清河镇、清河镇、柏林镇最终于达州区木头乡清水村汇入州河干流。沿途汇入的主要支流有竹溪河和柳城溪以及县城范围内的护城河。其中，县城护城河在竹北乡太阳村汇入东柳河干流；竹溪河在人和乡英雄村汇入东柳河；柳城溪于草兴乡土地塝汇入东柳河。东柳河全长76.251km；流域面积834.96km²，天然落差421m，河道平均比降2.20‰。最大流量22m³/s，最小流量0.2m³/s，多年平均流量为14.8m³/s。</w:t>
            </w:r>
          </w:p>
          <w:p w14:paraId="024B5794">
            <w:pPr>
              <w:ind w:firstLine="480"/>
              <w:rPr>
                <w:rFonts w:hint="default"/>
                <w:color w:val="auto"/>
                <w:highlight w:val="none"/>
                <w:lang w:val="en-US" w:eastAsia="zh-CN"/>
              </w:rPr>
            </w:pPr>
            <w:r>
              <w:rPr>
                <w:rFonts w:hint="default"/>
                <w:color w:val="auto"/>
                <w:highlight w:val="none"/>
                <w:lang w:val="en-US" w:eastAsia="zh-CN"/>
              </w:rPr>
              <w:t>清河镇防洪治理工程东柳河干流段末端控制流域面积378.84km²，河长59.25km，河道平均比降为2.416‰；支沟段田家沟河口以上控制流域面积3.52km²，河长4.07km，河道平均比降为29.396‰。</w:t>
            </w:r>
          </w:p>
          <w:p w14:paraId="1F7B5ECB">
            <w:pPr>
              <w:ind w:firstLine="480"/>
              <w:rPr>
                <w:rFonts w:hint="default"/>
                <w:color w:val="auto"/>
                <w:highlight w:val="none"/>
                <w:lang w:val="en-US" w:eastAsia="zh-CN"/>
              </w:rPr>
            </w:pPr>
            <w:r>
              <w:rPr>
                <w:rFonts w:hint="default"/>
                <w:color w:val="auto"/>
                <w:highlight w:val="none"/>
                <w:lang w:val="en-US" w:eastAsia="zh-CN"/>
              </w:rPr>
              <w:t>杨家镇防洪治理工程东柳河干流段末端控制流域面积324.38km²，河长47.1km，河道平均比降为3.395‰；左支沟清溪沟河口以上控制流域面积17.6km²，河长11km，河道平均比降为32.892‰，右1支沟蚂蟥沟河口以上控制流域面积8.24km²，河长8.63km，河道平均比降为6.808‰；右2支沟姜家沟河口以上控制流域面积0.57km²，河长1.53km，河道平均比降为26.774‰。</w:t>
            </w:r>
          </w:p>
          <w:p w14:paraId="689AC877">
            <w:pPr>
              <w:ind w:firstLine="480"/>
              <w:rPr>
                <w:rFonts w:hint="default"/>
                <w:color w:val="auto"/>
                <w:highlight w:val="none"/>
                <w:lang w:val="en-US" w:eastAsia="zh-CN"/>
              </w:rPr>
            </w:pPr>
            <w:r>
              <w:rPr>
                <w:rFonts w:hint="default"/>
                <w:color w:val="auto"/>
                <w:highlight w:val="none"/>
                <w:lang w:val="en-US" w:eastAsia="zh-CN"/>
              </w:rPr>
              <w:t>清溪沟为东柳河左岸一级支流，发源于月华镇石堰湾，于杨家镇汇入东柳河干流，根据现场调查，河口至上游约500m两岸临河房屋较多；河口至上游约200m建有污水管网架空于河道左岸；河段中游两岸主要为农田；上游河段两岸均为天然岸坡。</w:t>
            </w:r>
          </w:p>
          <w:p w14:paraId="0CFD8701">
            <w:pPr>
              <w:ind w:firstLine="480"/>
              <w:rPr>
                <w:rFonts w:hint="default"/>
                <w:color w:val="auto"/>
                <w:highlight w:val="none"/>
                <w:lang w:val="en-US" w:eastAsia="zh-CN"/>
              </w:rPr>
            </w:pPr>
            <w:r>
              <w:rPr>
                <w:rFonts w:hint="default"/>
                <w:color w:val="auto"/>
                <w:highlight w:val="none"/>
                <w:lang w:val="en-US" w:eastAsia="zh-CN"/>
              </w:rPr>
              <w:t>右1支沟蚂蟥沟河为东柳河右岸一级支流，发源于月华镇石堰湾，于杨家镇汇入东柳河干流，根据现场调查，河道开发利用较低，基本保持天然岸坡，河道两岸分布主要为农田居多。</w:t>
            </w:r>
          </w:p>
          <w:p w14:paraId="4BF552B4">
            <w:pPr>
              <w:ind w:firstLine="480"/>
              <w:rPr>
                <w:rFonts w:hint="default"/>
                <w:color w:val="auto"/>
                <w:highlight w:val="none"/>
                <w:lang w:val="en-US" w:eastAsia="zh-CN"/>
              </w:rPr>
            </w:pPr>
            <w:r>
              <w:rPr>
                <w:rFonts w:hint="default"/>
                <w:color w:val="auto"/>
                <w:highlight w:val="none"/>
                <w:lang w:val="en-US" w:eastAsia="zh-CN"/>
              </w:rPr>
              <w:t>右2支沟姜家沟为东柳河右岸一级支流，发源于人和镇卓家湾，于杨家镇蚂蟥沟上游约300m处汇入东柳河干流，根据现场调查，河道开发利用较低，基本保持天然岸坡，河道两岸分布主要为农田居多。</w:t>
            </w:r>
          </w:p>
          <w:p w14:paraId="4C3F6312">
            <w:pPr>
              <w:pStyle w:val="34"/>
              <w:spacing w:line="360" w:lineRule="auto"/>
              <w:ind w:firstLine="0" w:firstLineChars="0"/>
              <w:rPr>
                <w:rFonts w:hint="default" w:ascii="Times New Roman" w:hAnsi="Times New Roman" w:cs="Times New Roman"/>
                <w:b/>
                <w:bCs/>
                <w:color w:val="auto"/>
                <w:szCs w:val="22"/>
                <w:highlight w:val="none"/>
                <w:lang w:val="en-US"/>
              </w:rPr>
            </w:pPr>
            <w:r>
              <w:rPr>
                <w:rFonts w:hint="default" w:ascii="Times New Roman" w:hAnsi="Times New Roman" w:cs="Times New Roman"/>
                <w:b/>
                <w:color w:val="auto"/>
                <w:szCs w:val="22"/>
                <w:highlight w:val="none"/>
                <w:lang w:val="en-US" w:eastAsia="zh-CN"/>
              </w:rPr>
              <w:t>3.3.3.</w:t>
            </w:r>
            <w:r>
              <w:rPr>
                <w:rFonts w:hint="eastAsia" w:cs="Times New Roman"/>
                <w:b/>
                <w:color w:val="auto"/>
                <w:szCs w:val="22"/>
                <w:highlight w:val="none"/>
                <w:lang w:val="en-US" w:eastAsia="zh-CN"/>
              </w:rPr>
              <w:t>2</w:t>
            </w:r>
            <w:r>
              <w:rPr>
                <w:rFonts w:hint="default" w:ascii="Times New Roman" w:hAnsi="Times New Roman" w:cs="Times New Roman"/>
                <w:b/>
                <w:color w:val="auto"/>
                <w:szCs w:val="22"/>
                <w:highlight w:val="none"/>
                <w:lang w:val="en-US" w:eastAsia="zh-CN"/>
              </w:rPr>
              <w:t>洪水</w:t>
            </w:r>
          </w:p>
          <w:p w14:paraId="2C51DF0B">
            <w:pPr>
              <w:ind w:firstLine="480"/>
              <w:rPr>
                <w:color w:val="auto"/>
                <w:highlight w:val="none"/>
                <w:lang w:val="zh-CN"/>
              </w:rPr>
            </w:pPr>
            <w:r>
              <w:rPr>
                <w:rFonts w:hint="default" w:ascii="Times New Roman" w:hAnsi="Times New Roman" w:cs="Times New Roman"/>
                <w:color w:val="auto"/>
                <w:highlight w:val="none"/>
                <w:lang w:val="zh-CN"/>
              </w:rPr>
              <w:t>柳城河</w:t>
            </w:r>
            <w:r>
              <w:rPr>
                <w:rFonts w:hint="default" w:ascii="Times New Roman" w:hAnsi="Times New Roman" w:cs="Times New Roman"/>
                <w:color w:val="auto"/>
                <w:highlight w:val="none"/>
              </w:rPr>
              <w:t>流域</w:t>
            </w:r>
            <w:r>
              <w:rPr>
                <w:rFonts w:hint="default" w:ascii="Times New Roman" w:hAnsi="Times New Roman" w:cs="Times New Roman"/>
                <w:color w:val="auto"/>
                <w:highlight w:val="none"/>
                <w:lang w:val="zh-CN"/>
              </w:rPr>
              <w:t>洪水由暴雨形成，较大暴雨主要发生在5～9月，暴雨过程历时多为1～2d，长的达3d，大暴雨多为复峰。洪水多为单峰，一般持续3d左右，一日洪量约占三日洪量54%，大（特大）洪水</w:t>
            </w:r>
            <w:r>
              <w:rPr>
                <w:color w:val="auto"/>
                <w:highlight w:val="none"/>
                <w:lang w:val="zh-CN"/>
              </w:rPr>
              <w:t>比例更大些，如1989年7月特大洪水比例达57%。</w:t>
            </w:r>
          </w:p>
          <w:p w14:paraId="25070D91">
            <w:pPr>
              <w:ind w:firstLine="480"/>
              <w:rPr>
                <w:color w:val="auto"/>
                <w:highlight w:val="none"/>
                <w:lang w:val="zh-CN"/>
              </w:rPr>
            </w:pPr>
            <w:r>
              <w:rPr>
                <w:rFonts w:hint="eastAsia" w:hAnsi="宋体"/>
                <w:color w:val="auto"/>
                <w:sz w:val="24"/>
                <w:highlight w:val="none"/>
                <w:lang w:val="en-US" w:eastAsia="zh-CN"/>
              </w:rPr>
              <w:t>东柳河</w:t>
            </w:r>
            <w:r>
              <w:rPr>
                <w:rFonts w:hAnsi="宋体"/>
                <w:color w:val="auto"/>
                <w:sz w:val="24"/>
                <w:highlight w:val="none"/>
              </w:rPr>
              <w:t>年最大流量多集中在</w:t>
            </w:r>
            <w:r>
              <w:rPr>
                <w:color w:val="auto"/>
                <w:sz w:val="24"/>
                <w:highlight w:val="none"/>
              </w:rPr>
              <w:t>4</w:t>
            </w:r>
            <w:r>
              <w:rPr>
                <w:rFonts w:hAnsi="宋体"/>
                <w:color w:val="auto"/>
                <w:sz w:val="24"/>
                <w:highlight w:val="none"/>
              </w:rPr>
              <w:t>～</w:t>
            </w:r>
            <w:r>
              <w:rPr>
                <w:color w:val="auto"/>
                <w:sz w:val="24"/>
                <w:highlight w:val="none"/>
              </w:rPr>
              <w:t>9</w:t>
            </w:r>
            <w:r>
              <w:rPr>
                <w:rFonts w:hAnsi="宋体"/>
                <w:color w:val="auto"/>
                <w:sz w:val="24"/>
                <w:highlight w:val="none"/>
              </w:rPr>
              <w:t>月，尤以</w:t>
            </w:r>
            <w:r>
              <w:rPr>
                <w:color w:val="auto"/>
                <w:sz w:val="24"/>
                <w:highlight w:val="none"/>
              </w:rPr>
              <w:t>6</w:t>
            </w:r>
            <w:r>
              <w:rPr>
                <w:rFonts w:hAnsi="宋体"/>
                <w:color w:val="auto"/>
                <w:sz w:val="24"/>
                <w:highlight w:val="none"/>
              </w:rPr>
              <w:t>月、</w:t>
            </w:r>
            <w:r>
              <w:rPr>
                <w:color w:val="auto"/>
                <w:sz w:val="24"/>
                <w:highlight w:val="none"/>
              </w:rPr>
              <w:t>7</w:t>
            </w:r>
            <w:r>
              <w:rPr>
                <w:rFonts w:hAnsi="宋体"/>
                <w:color w:val="auto"/>
                <w:sz w:val="24"/>
                <w:highlight w:val="none"/>
              </w:rPr>
              <w:t>月居多，洪水过程多</w:t>
            </w:r>
            <w:r>
              <w:rPr>
                <w:rFonts w:hint="eastAsia" w:hAnsi="宋体"/>
                <w:color w:val="auto"/>
                <w:sz w:val="24"/>
                <w:highlight w:val="none"/>
              </w:rPr>
              <w:t>为</w:t>
            </w:r>
            <w:r>
              <w:rPr>
                <w:rFonts w:hAnsi="宋体"/>
                <w:color w:val="auto"/>
                <w:sz w:val="24"/>
                <w:highlight w:val="none"/>
              </w:rPr>
              <w:t>单峰，历时约</w:t>
            </w:r>
            <w:r>
              <w:rPr>
                <w:color w:val="auto"/>
                <w:sz w:val="24"/>
                <w:highlight w:val="none"/>
              </w:rPr>
              <w:t>1</w:t>
            </w:r>
            <w:r>
              <w:rPr>
                <w:rFonts w:hAnsi="宋体"/>
                <w:color w:val="auto"/>
                <w:sz w:val="24"/>
                <w:highlight w:val="none"/>
              </w:rPr>
              <w:t>～</w:t>
            </w:r>
            <w:r>
              <w:rPr>
                <w:color w:val="auto"/>
                <w:sz w:val="24"/>
                <w:highlight w:val="none"/>
              </w:rPr>
              <w:t>3d</w:t>
            </w:r>
            <w:r>
              <w:rPr>
                <w:rFonts w:hAnsi="宋体"/>
                <w:color w:val="auto"/>
                <w:sz w:val="24"/>
                <w:highlight w:val="none"/>
              </w:rPr>
              <w:t>，最大洪量主要集中在</w:t>
            </w:r>
            <w:r>
              <w:rPr>
                <w:color w:val="auto"/>
                <w:sz w:val="24"/>
                <w:highlight w:val="none"/>
              </w:rPr>
              <w:t>24h</w:t>
            </w:r>
            <w:r>
              <w:rPr>
                <w:rFonts w:hAnsi="宋体"/>
                <w:color w:val="auto"/>
                <w:sz w:val="24"/>
                <w:highlight w:val="none"/>
              </w:rPr>
              <w:t>内，约占</w:t>
            </w:r>
            <w:r>
              <w:rPr>
                <w:color w:val="auto"/>
                <w:sz w:val="24"/>
                <w:highlight w:val="none"/>
              </w:rPr>
              <w:t>3d</w:t>
            </w:r>
            <w:r>
              <w:rPr>
                <w:rFonts w:hAnsi="宋体"/>
                <w:color w:val="auto"/>
                <w:sz w:val="24"/>
                <w:highlight w:val="none"/>
              </w:rPr>
              <w:t>洪量</w:t>
            </w:r>
            <w:r>
              <w:rPr>
                <w:color w:val="auto"/>
                <w:sz w:val="24"/>
                <w:highlight w:val="none"/>
              </w:rPr>
              <w:t>63%</w:t>
            </w:r>
            <w:r>
              <w:rPr>
                <w:rFonts w:hAnsi="宋体"/>
                <w:color w:val="auto"/>
                <w:sz w:val="24"/>
                <w:highlight w:val="none"/>
              </w:rPr>
              <w:t>。洪水年际变化大，新生站</w:t>
            </w:r>
            <w:r>
              <w:rPr>
                <w:color w:val="auto"/>
                <w:sz w:val="24"/>
                <w:highlight w:val="none"/>
              </w:rPr>
              <w:t>1989</w:t>
            </w:r>
            <w:r>
              <w:rPr>
                <w:rFonts w:hAnsi="宋体"/>
                <w:color w:val="auto"/>
                <w:sz w:val="24"/>
                <w:highlight w:val="none"/>
              </w:rPr>
              <w:t>年实测最大洪峰</w:t>
            </w:r>
            <w:r>
              <w:rPr>
                <w:color w:val="auto"/>
                <w:sz w:val="24"/>
                <w:highlight w:val="none"/>
              </w:rPr>
              <w:t>346m</w:t>
            </w:r>
            <w:r>
              <w:rPr>
                <w:color w:val="auto"/>
                <w:sz w:val="24"/>
                <w:highlight w:val="none"/>
                <w:vertAlign w:val="superscript"/>
              </w:rPr>
              <w:t>3</w:t>
            </w:r>
            <w:r>
              <w:rPr>
                <w:color w:val="auto"/>
                <w:sz w:val="24"/>
                <w:highlight w:val="none"/>
              </w:rPr>
              <w:t>/s</w:t>
            </w:r>
            <w:r>
              <w:rPr>
                <w:rFonts w:hAnsi="宋体"/>
                <w:color w:val="auto"/>
                <w:sz w:val="24"/>
                <w:highlight w:val="none"/>
              </w:rPr>
              <w:t>，</w:t>
            </w:r>
            <w:r>
              <w:rPr>
                <w:color w:val="auto"/>
                <w:sz w:val="24"/>
                <w:highlight w:val="none"/>
              </w:rPr>
              <w:t>1997</w:t>
            </w:r>
            <w:r>
              <w:rPr>
                <w:rFonts w:hAnsi="宋体"/>
                <w:color w:val="auto"/>
                <w:sz w:val="24"/>
                <w:highlight w:val="none"/>
              </w:rPr>
              <w:t>年实测最大洪峰</w:t>
            </w:r>
            <w:r>
              <w:rPr>
                <w:color w:val="auto"/>
                <w:sz w:val="24"/>
                <w:highlight w:val="none"/>
              </w:rPr>
              <w:t>34.5m</w:t>
            </w:r>
            <w:r>
              <w:rPr>
                <w:color w:val="auto"/>
                <w:sz w:val="24"/>
                <w:highlight w:val="none"/>
                <w:vertAlign w:val="superscript"/>
              </w:rPr>
              <w:t>3</w:t>
            </w:r>
            <w:r>
              <w:rPr>
                <w:color w:val="auto"/>
                <w:sz w:val="24"/>
                <w:highlight w:val="none"/>
              </w:rPr>
              <w:t>/s</w:t>
            </w:r>
            <w:r>
              <w:rPr>
                <w:rFonts w:hAnsi="宋体"/>
                <w:color w:val="auto"/>
                <w:sz w:val="24"/>
                <w:highlight w:val="none"/>
              </w:rPr>
              <w:t>，相差达</w:t>
            </w:r>
            <w:r>
              <w:rPr>
                <w:color w:val="auto"/>
                <w:sz w:val="24"/>
                <w:highlight w:val="none"/>
              </w:rPr>
              <w:t>10</w:t>
            </w:r>
            <w:r>
              <w:rPr>
                <w:rFonts w:hAnsi="宋体"/>
                <w:color w:val="auto"/>
                <w:sz w:val="24"/>
                <w:highlight w:val="none"/>
              </w:rPr>
              <w:t>倍</w:t>
            </w:r>
            <w:r>
              <w:rPr>
                <w:rFonts w:hint="eastAsia"/>
                <w:color w:val="auto"/>
                <w:sz w:val="24"/>
                <w:highlight w:val="none"/>
              </w:rPr>
              <w:t>。</w:t>
            </w:r>
          </w:p>
          <w:p w14:paraId="07B3C7E7">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 xml:space="preserve">3.4 </w:t>
            </w:r>
            <w:r>
              <w:rPr>
                <w:rFonts w:hint="default" w:ascii="Times New Roman" w:hAnsi="Times New Roman" w:cs="Times New Roman"/>
                <w:b/>
                <w:color w:val="auto"/>
                <w:highlight w:val="none"/>
              </w:rPr>
              <w:t>项目所在区域环境质量现状</w:t>
            </w:r>
          </w:p>
          <w:p w14:paraId="4A70D85B">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3.4.1 环境空气质量现状</w:t>
            </w:r>
          </w:p>
          <w:p w14:paraId="30F167E0">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Cs w:val="0"/>
                <w:color w:val="auto"/>
                <w:szCs w:val="22"/>
                <w:highlight w:val="none"/>
              </w:rPr>
            </w:pPr>
            <w:r>
              <w:rPr>
                <w:rFonts w:hint="eastAsia" w:ascii="Times New Roman" w:hAnsi="Times New Roman" w:eastAsia="宋体" w:cs="Times New Roman"/>
                <w:b w:val="0"/>
                <w:bCs w:val="0"/>
                <w:snapToGrid w:val="0"/>
                <w:color w:val="auto"/>
                <w:sz w:val="24"/>
                <w:szCs w:val="22"/>
                <w:highlight w:val="none"/>
                <w:lang w:val="en-US" w:eastAsia="zh-CN" w:bidi="ar-SA"/>
              </w:rPr>
              <w:t>本次采用达州市生态环境局网站（http://sthjj.dazhou.gov.cn/news-show-22790.html）发布的《</w:t>
            </w:r>
            <w:r>
              <w:rPr>
                <w:rFonts w:hint="eastAsia" w:cs="Times New Roman"/>
                <w:b w:val="0"/>
                <w:bCs w:val="0"/>
                <w:snapToGrid w:val="0"/>
                <w:color w:val="auto"/>
                <w:sz w:val="24"/>
                <w:szCs w:val="22"/>
                <w:highlight w:val="none"/>
                <w:lang w:val="en-US" w:eastAsia="zh-CN" w:bidi="ar-SA"/>
              </w:rPr>
              <w:t>达州市2024年环境空气质量状况</w:t>
            </w:r>
            <w:r>
              <w:rPr>
                <w:rFonts w:hint="eastAsia" w:ascii="Times New Roman" w:hAnsi="Times New Roman" w:eastAsia="宋体" w:cs="Times New Roman"/>
                <w:b w:val="0"/>
                <w:bCs w:val="0"/>
                <w:snapToGrid w:val="0"/>
                <w:color w:val="auto"/>
                <w:sz w:val="24"/>
                <w:szCs w:val="22"/>
                <w:highlight w:val="none"/>
                <w:lang w:val="en-US" w:eastAsia="zh-CN" w:bidi="ar-SA"/>
              </w:rPr>
              <w:t>》，由于项目所在地</w:t>
            </w:r>
            <w:r>
              <w:rPr>
                <w:rFonts w:hint="eastAsia" w:cs="Times New Roman"/>
                <w:b w:val="0"/>
                <w:bCs w:val="0"/>
                <w:snapToGrid w:val="0"/>
                <w:color w:val="auto"/>
                <w:sz w:val="24"/>
                <w:szCs w:val="22"/>
                <w:highlight w:val="none"/>
                <w:lang w:val="en-US" w:eastAsia="zh-CN" w:bidi="ar-SA"/>
              </w:rPr>
              <w:t>所涉乡镇（街道）均</w:t>
            </w:r>
            <w:r>
              <w:rPr>
                <w:rFonts w:hint="eastAsia" w:ascii="Times New Roman" w:hAnsi="Times New Roman" w:eastAsia="宋体" w:cs="Times New Roman"/>
                <w:b w:val="0"/>
                <w:bCs w:val="0"/>
                <w:snapToGrid w:val="0"/>
                <w:color w:val="auto"/>
                <w:sz w:val="24"/>
                <w:szCs w:val="22"/>
                <w:highlight w:val="none"/>
                <w:lang w:val="en-US" w:eastAsia="zh-CN" w:bidi="ar-SA"/>
              </w:rPr>
              <w:t>属于</w:t>
            </w:r>
            <w:r>
              <w:rPr>
                <w:rFonts w:hint="eastAsia" w:cs="Times New Roman"/>
                <w:b w:val="0"/>
                <w:bCs w:val="0"/>
                <w:snapToGrid w:val="0"/>
                <w:color w:val="auto"/>
                <w:sz w:val="24"/>
                <w:szCs w:val="22"/>
                <w:highlight w:val="none"/>
                <w:lang w:val="en-US" w:eastAsia="zh-CN" w:bidi="ar-SA"/>
              </w:rPr>
              <w:t>大竹县</w:t>
            </w:r>
            <w:r>
              <w:rPr>
                <w:rFonts w:hint="eastAsia" w:ascii="Times New Roman" w:hAnsi="Times New Roman" w:eastAsia="宋体" w:cs="Times New Roman"/>
                <w:b w:val="0"/>
                <w:bCs w:val="0"/>
                <w:snapToGrid w:val="0"/>
                <w:color w:val="auto"/>
                <w:sz w:val="24"/>
                <w:szCs w:val="22"/>
                <w:highlight w:val="none"/>
                <w:lang w:val="en-US" w:eastAsia="zh-CN" w:bidi="ar-SA"/>
              </w:rPr>
              <w:t>所辖，因此，评价采用202</w:t>
            </w:r>
            <w:r>
              <w:rPr>
                <w:rFonts w:hint="eastAsia" w:cs="Times New Roman"/>
                <w:b w:val="0"/>
                <w:bCs w:val="0"/>
                <w:snapToGrid w:val="0"/>
                <w:color w:val="auto"/>
                <w:sz w:val="24"/>
                <w:szCs w:val="22"/>
                <w:highlight w:val="none"/>
                <w:lang w:val="en-US" w:eastAsia="zh-CN" w:bidi="ar-SA"/>
              </w:rPr>
              <w:t>4</w:t>
            </w:r>
            <w:r>
              <w:rPr>
                <w:rFonts w:hint="eastAsia" w:ascii="Times New Roman" w:hAnsi="Times New Roman" w:eastAsia="宋体" w:cs="Times New Roman"/>
                <w:b w:val="0"/>
                <w:bCs w:val="0"/>
                <w:snapToGrid w:val="0"/>
                <w:color w:val="auto"/>
                <w:sz w:val="24"/>
                <w:szCs w:val="22"/>
                <w:highlight w:val="none"/>
                <w:lang w:val="en-US" w:eastAsia="zh-CN" w:bidi="ar-SA"/>
              </w:rPr>
              <w:t>年</w:t>
            </w:r>
            <w:r>
              <w:rPr>
                <w:rFonts w:hint="eastAsia" w:cs="Times New Roman"/>
                <w:b w:val="0"/>
                <w:bCs w:val="0"/>
                <w:snapToGrid w:val="0"/>
                <w:color w:val="auto"/>
                <w:sz w:val="24"/>
                <w:szCs w:val="22"/>
                <w:highlight w:val="none"/>
                <w:lang w:val="en-US" w:eastAsia="zh-CN" w:bidi="ar-SA"/>
              </w:rPr>
              <w:t>大竹县</w:t>
            </w:r>
            <w:r>
              <w:rPr>
                <w:rFonts w:hint="eastAsia" w:ascii="Times New Roman" w:hAnsi="Times New Roman" w:eastAsia="宋体" w:cs="Times New Roman"/>
                <w:b w:val="0"/>
                <w:bCs w:val="0"/>
                <w:snapToGrid w:val="0"/>
                <w:color w:val="auto"/>
                <w:sz w:val="24"/>
                <w:szCs w:val="22"/>
                <w:highlight w:val="none"/>
                <w:lang w:val="en-US" w:eastAsia="zh-CN" w:bidi="ar-SA"/>
              </w:rPr>
              <w:t>环境空气质量进行评价。</w:t>
            </w:r>
            <w:r>
              <w:rPr>
                <w:rFonts w:hint="default" w:ascii="Times New Roman" w:hAnsi="Times New Roman" w:cs="Times New Roman"/>
                <w:bCs w:val="0"/>
                <w:color w:val="auto"/>
                <w:szCs w:val="22"/>
                <w:highlight w:val="none"/>
              </w:rPr>
              <w:t>各项基本污染物年平均浓度见下表：</w:t>
            </w:r>
          </w:p>
          <w:p w14:paraId="6EBDB9D4">
            <w:pPr>
              <w:pStyle w:val="34"/>
              <w:spacing w:line="360" w:lineRule="auto"/>
              <w:ind w:firstLine="0" w:firstLineChars="0"/>
              <w:jc w:val="center"/>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 xml:space="preserve">表3.4-1 </w:t>
            </w:r>
            <w:r>
              <w:rPr>
                <w:rFonts w:hint="eastAsia" w:cs="Times New Roman"/>
                <w:b/>
                <w:color w:val="auto"/>
                <w:szCs w:val="22"/>
                <w:highlight w:val="none"/>
                <w:lang w:val="en-US" w:eastAsia="zh-CN"/>
              </w:rPr>
              <w:t>区域</w:t>
            </w:r>
            <w:r>
              <w:rPr>
                <w:rFonts w:hint="default" w:ascii="Times New Roman" w:hAnsi="Times New Roman" w:cs="Times New Roman"/>
                <w:b/>
                <w:color w:val="auto"/>
                <w:szCs w:val="22"/>
                <w:highlight w:val="none"/>
              </w:rPr>
              <w:t>环境空气质量现状评价表</w:t>
            </w:r>
          </w:p>
          <w:tbl>
            <w:tblPr>
              <w:tblStyle w:val="11"/>
              <w:tblW w:w="8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969"/>
              <w:gridCol w:w="807"/>
              <w:gridCol w:w="1291"/>
              <w:gridCol w:w="1776"/>
              <w:gridCol w:w="1291"/>
              <w:gridCol w:w="968"/>
              <w:gridCol w:w="1047"/>
            </w:tblGrid>
            <w:tr w14:paraId="3FA8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747" w:type="dxa"/>
                  <w:noWrap w:val="0"/>
                  <w:vAlign w:val="center"/>
                </w:tcPr>
                <w:p w14:paraId="4AEF6B17">
                  <w:pPr>
                    <w:keepNext w:val="0"/>
                    <w:keepLines w:val="0"/>
                    <w:pageBreakBefore w:val="0"/>
                    <w:kinsoku/>
                    <w:wordWrap/>
                    <w:overflowPunct/>
                    <w:topLinePunct w:val="0"/>
                    <w:autoSpaceDE/>
                    <w:autoSpaceDN/>
                    <w:bidi w:val="0"/>
                    <w:spacing w:line="240" w:lineRule="auto"/>
                    <w:ind w:firstLine="0" w:firstLineChars="0"/>
                    <w:jc w:val="center"/>
                    <w:textAlignment w:val="auto"/>
                    <w:rPr>
                      <w:b/>
                      <w:color w:val="auto"/>
                      <w:sz w:val="21"/>
                      <w:szCs w:val="21"/>
                      <w:highlight w:val="none"/>
                    </w:rPr>
                  </w:pPr>
                  <w:r>
                    <w:rPr>
                      <w:b/>
                      <w:color w:val="auto"/>
                      <w:sz w:val="21"/>
                      <w:szCs w:val="21"/>
                      <w:highlight w:val="none"/>
                    </w:rPr>
                    <w:t>评价区域</w:t>
                  </w:r>
                </w:p>
              </w:tc>
              <w:tc>
                <w:tcPr>
                  <w:tcW w:w="969" w:type="dxa"/>
                  <w:noWrap w:val="0"/>
                  <w:vAlign w:val="center"/>
                </w:tcPr>
                <w:p w14:paraId="3DF0A2EC">
                  <w:pPr>
                    <w:keepNext w:val="0"/>
                    <w:keepLines w:val="0"/>
                    <w:pageBreakBefore w:val="0"/>
                    <w:kinsoku/>
                    <w:wordWrap/>
                    <w:overflowPunct/>
                    <w:topLinePunct w:val="0"/>
                    <w:autoSpaceDE/>
                    <w:autoSpaceDN/>
                    <w:bidi w:val="0"/>
                    <w:spacing w:line="240" w:lineRule="auto"/>
                    <w:ind w:firstLine="0" w:firstLineChars="0"/>
                    <w:jc w:val="center"/>
                    <w:textAlignment w:val="auto"/>
                    <w:rPr>
                      <w:b/>
                      <w:color w:val="auto"/>
                      <w:sz w:val="21"/>
                      <w:szCs w:val="21"/>
                      <w:highlight w:val="none"/>
                    </w:rPr>
                  </w:pPr>
                  <w:r>
                    <w:rPr>
                      <w:b/>
                      <w:color w:val="auto"/>
                      <w:sz w:val="21"/>
                      <w:szCs w:val="21"/>
                      <w:highlight w:val="none"/>
                    </w:rPr>
                    <w:t>评价项目</w:t>
                  </w:r>
                </w:p>
              </w:tc>
              <w:tc>
                <w:tcPr>
                  <w:tcW w:w="807" w:type="dxa"/>
                  <w:noWrap w:val="0"/>
                  <w:vAlign w:val="center"/>
                </w:tcPr>
                <w:p w14:paraId="1E5CBBDF">
                  <w:pPr>
                    <w:keepNext w:val="0"/>
                    <w:keepLines w:val="0"/>
                    <w:pageBreakBefore w:val="0"/>
                    <w:kinsoku/>
                    <w:wordWrap/>
                    <w:overflowPunct/>
                    <w:topLinePunct w:val="0"/>
                    <w:autoSpaceDE/>
                    <w:autoSpaceDN/>
                    <w:bidi w:val="0"/>
                    <w:spacing w:line="240" w:lineRule="auto"/>
                    <w:ind w:firstLine="0" w:firstLineChars="0"/>
                    <w:jc w:val="center"/>
                    <w:textAlignment w:val="auto"/>
                    <w:rPr>
                      <w:b/>
                      <w:color w:val="auto"/>
                      <w:sz w:val="21"/>
                      <w:szCs w:val="21"/>
                      <w:highlight w:val="none"/>
                    </w:rPr>
                  </w:pPr>
                  <w:r>
                    <w:rPr>
                      <w:b/>
                      <w:color w:val="auto"/>
                      <w:sz w:val="21"/>
                      <w:szCs w:val="21"/>
                      <w:highlight w:val="none"/>
                    </w:rPr>
                    <w:t>评价时间</w:t>
                  </w:r>
                </w:p>
              </w:tc>
              <w:tc>
                <w:tcPr>
                  <w:tcW w:w="1291" w:type="dxa"/>
                  <w:noWrap w:val="0"/>
                  <w:vAlign w:val="center"/>
                </w:tcPr>
                <w:p w14:paraId="3C2B8E6C">
                  <w:pPr>
                    <w:keepNext w:val="0"/>
                    <w:keepLines w:val="0"/>
                    <w:pageBreakBefore w:val="0"/>
                    <w:kinsoku/>
                    <w:wordWrap/>
                    <w:overflowPunct/>
                    <w:topLinePunct w:val="0"/>
                    <w:autoSpaceDE/>
                    <w:autoSpaceDN/>
                    <w:bidi w:val="0"/>
                    <w:spacing w:line="240" w:lineRule="auto"/>
                    <w:ind w:firstLine="0" w:firstLineChars="0"/>
                    <w:jc w:val="center"/>
                    <w:textAlignment w:val="auto"/>
                    <w:rPr>
                      <w:b/>
                      <w:color w:val="auto"/>
                      <w:sz w:val="21"/>
                      <w:szCs w:val="21"/>
                      <w:highlight w:val="none"/>
                    </w:rPr>
                  </w:pPr>
                  <w:r>
                    <w:rPr>
                      <w:b/>
                      <w:color w:val="auto"/>
                      <w:sz w:val="21"/>
                      <w:szCs w:val="21"/>
                      <w:highlight w:val="none"/>
                    </w:rPr>
                    <w:t>平均浓度</w:t>
                  </w:r>
                </w:p>
              </w:tc>
              <w:tc>
                <w:tcPr>
                  <w:tcW w:w="1776" w:type="dxa"/>
                  <w:noWrap w:val="0"/>
                  <w:vAlign w:val="center"/>
                </w:tcPr>
                <w:p w14:paraId="64190CE4">
                  <w:pPr>
                    <w:keepNext w:val="0"/>
                    <w:keepLines w:val="0"/>
                    <w:pageBreakBefore w:val="0"/>
                    <w:kinsoku/>
                    <w:wordWrap/>
                    <w:overflowPunct/>
                    <w:topLinePunct w:val="0"/>
                    <w:autoSpaceDE/>
                    <w:autoSpaceDN/>
                    <w:bidi w:val="0"/>
                    <w:spacing w:line="240" w:lineRule="auto"/>
                    <w:ind w:firstLine="0" w:firstLineChars="0"/>
                    <w:jc w:val="center"/>
                    <w:textAlignment w:val="auto"/>
                    <w:rPr>
                      <w:b/>
                      <w:color w:val="auto"/>
                      <w:sz w:val="21"/>
                      <w:szCs w:val="21"/>
                      <w:highlight w:val="none"/>
                    </w:rPr>
                  </w:pPr>
                  <w:r>
                    <w:rPr>
                      <w:rFonts w:hint="eastAsia"/>
                      <w:b/>
                      <w:color w:val="auto"/>
                      <w:sz w:val="21"/>
                      <w:szCs w:val="21"/>
                      <w:highlight w:val="none"/>
                    </w:rPr>
                    <w:t>评价指标</w:t>
                  </w:r>
                </w:p>
              </w:tc>
              <w:tc>
                <w:tcPr>
                  <w:tcW w:w="1291" w:type="dxa"/>
                  <w:noWrap w:val="0"/>
                  <w:vAlign w:val="center"/>
                </w:tcPr>
                <w:p w14:paraId="5C5EECB6">
                  <w:pPr>
                    <w:keepNext w:val="0"/>
                    <w:keepLines w:val="0"/>
                    <w:pageBreakBefore w:val="0"/>
                    <w:kinsoku/>
                    <w:wordWrap/>
                    <w:overflowPunct/>
                    <w:topLinePunct w:val="0"/>
                    <w:autoSpaceDE/>
                    <w:autoSpaceDN/>
                    <w:bidi w:val="0"/>
                    <w:spacing w:line="240" w:lineRule="auto"/>
                    <w:ind w:firstLine="0" w:firstLineChars="0"/>
                    <w:jc w:val="center"/>
                    <w:textAlignment w:val="auto"/>
                    <w:rPr>
                      <w:b/>
                      <w:color w:val="auto"/>
                      <w:sz w:val="21"/>
                      <w:szCs w:val="21"/>
                      <w:highlight w:val="none"/>
                    </w:rPr>
                  </w:pPr>
                  <w:r>
                    <w:rPr>
                      <w:b/>
                      <w:color w:val="auto"/>
                      <w:sz w:val="21"/>
                      <w:szCs w:val="21"/>
                      <w:highlight w:val="none"/>
                    </w:rPr>
                    <w:t>执行标准</w:t>
                  </w:r>
                </w:p>
              </w:tc>
              <w:tc>
                <w:tcPr>
                  <w:tcW w:w="968" w:type="dxa"/>
                  <w:noWrap w:val="0"/>
                  <w:vAlign w:val="center"/>
                </w:tcPr>
                <w:p w14:paraId="1699AF64">
                  <w:pPr>
                    <w:keepNext w:val="0"/>
                    <w:keepLines w:val="0"/>
                    <w:pageBreakBefore w:val="0"/>
                    <w:kinsoku/>
                    <w:wordWrap/>
                    <w:overflowPunct/>
                    <w:topLinePunct w:val="0"/>
                    <w:autoSpaceDE/>
                    <w:autoSpaceDN/>
                    <w:bidi w:val="0"/>
                    <w:spacing w:line="240" w:lineRule="auto"/>
                    <w:ind w:firstLine="0" w:firstLineChars="0"/>
                    <w:jc w:val="center"/>
                    <w:textAlignment w:val="auto"/>
                    <w:rPr>
                      <w:b/>
                      <w:color w:val="auto"/>
                      <w:sz w:val="21"/>
                      <w:szCs w:val="21"/>
                      <w:highlight w:val="none"/>
                    </w:rPr>
                  </w:pPr>
                  <w:r>
                    <w:rPr>
                      <w:b/>
                      <w:color w:val="auto"/>
                      <w:sz w:val="21"/>
                      <w:szCs w:val="21"/>
                      <w:highlight w:val="none"/>
                    </w:rPr>
                    <w:t>占标率（%）</w:t>
                  </w:r>
                </w:p>
              </w:tc>
              <w:tc>
                <w:tcPr>
                  <w:tcW w:w="1047" w:type="dxa"/>
                  <w:noWrap w:val="0"/>
                  <w:vAlign w:val="center"/>
                </w:tcPr>
                <w:p w14:paraId="3544FA48">
                  <w:pPr>
                    <w:keepNext w:val="0"/>
                    <w:keepLines w:val="0"/>
                    <w:pageBreakBefore w:val="0"/>
                    <w:kinsoku/>
                    <w:wordWrap/>
                    <w:overflowPunct/>
                    <w:topLinePunct w:val="0"/>
                    <w:autoSpaceDE/>
                    <w:autoSpaceDN/>
                    <w:bidi w:val="0"/>
                    <w:spacing w:line="240" w:lineRule="auto"/>
                    <w:ind w:firstLine="0" w:firstLineChars="0"/>
                    <w:jc w:val="center"/>
                    <w:textAlignment w:val="auto"/>
                    <w:rPr>
                      <w:b/>
                      <w:color w:val="auto"/>
                      <w:sz w:val="21"/>
                      <w:szCs w:val="21"/>
                      <w:highlight w:val="none"/>
                    </w:rPr>
                  </w:pPr>
                  <w:r>
                    <w:rPr>
                      <w:b/>
                      <w:color w:val="auto"/>
                      <w:sz w:val="21"/>
                      <w:szCs w:val="21"/>
                      <w:highlight w:val="none"/>
                    </w:rPr>
                    <w:t>达标情况</w:t>
                  </w:r>
                </w:p>
              </w:tc>
            </w:tr>
            <w:tr w14:paraId="4A4D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47" w:type="dxa"/>
                  <w:vMerge w:val="restart"/>
                  <w:noWrap w:val="0"/>
                  <w:vAlign w:val="center"/>
                </w:tcPr>
                <w:p w14:paraId="6B78A696">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大竹县</w:t>
                  </w:r>
                </w:p>
              </w:tc>
              <w:tc>
                <w:tcPr>
                  <w:tcW w:w="969" w:type="dxa"/>
                  <w:noWrap w:val="0"/>
                  <w:vAlign w:val="center"/>
                </w:tcPr>
                <w:p w14:paraId="19C9F395">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SO</w:t>
                  </w:r>
                  <w:r>
                    <w:rPr>
                      <w:color w:val="auto"/>
                      <w:sz w:val="21"/>
                      <w:szCs w:val="21"/>
                      <w:highlight w:val="none"/>
                      <w:vertAlign w:val="subscript"/>
                    </w:rPr>
                    <w:t>2</w:t>
                  </w:r>
                </w:p>
              </w:tc>
              <w:tc>
                <w:tcPr>
                  <w:tcW w:w="807" w:type="dxa"/>
                  <w:vMerge w:val="restart"/>
                  <w:noWrap w:val="0"/>
                  <w:vAlign w:val="center"/>
                </w:tcPr>
                <w:p w14:paraId="7A2F33D6">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202</w:t>
                  </w:r>
                  <w:r>
                    <w:rPr>
                      <w:rFonts w:hint="eastAsia"/>
                      <w:color w:val="auto"/>
                      <w:sz w:val="21"/>
                      <w:szCs w:val="21"/>
                      <w:highlight w:val="none"/>
                      <w:lang w:val="en-US" w:eastAsia="zh-CN"/>
                    </w:rPr>
                    <w:t>4</w:t>
                  </w:r>
                  <w:r>
                    <w:rPr>
                      <w:color w:val="auto"/>
                      <w:sz w:val="21"/>
                      <w:szCs w:val="21"/>
                      <w:highlight w:val="none"/>
                    </w:rPr>
                    <w:t>年</w:t>
                  </w:r>
                </w:p>
              </w:tc>
              <w:tc>
                <w:tcPr>
                  <w:tcW w:w="1291" w:type="dxa"/>
                  <w:noWrap w:val="0"/>
                  <w:vAlign w:val="center"/>
                </w:tcPr>
                <w:p w14:paraId="05EBE3F4">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rFonts w:hint="eastAsia"/>
                      <w:color w:val="auto"/>
                      <w:sz w:val="21"/>
                      <w:szCs w:val="21"/>
                      <w:highlight w:val="none"/>
                      <w:lang w:val="en-US" w:eastAsia="zh-CN"/>
                    </w:rPr>
                    <w:t>5</w:t>
                  </w:r>
                  <w:r>
                    <w:rPr>
                      <w:color w:val="auto"/>
                      <w:sz w:val="21"/>
                      <w:szCs w:val="21"/>
                      <w:highlight w:val="none"/>
                    </w:rPr>
                    <w:t>μg/m</w:t>
                  </w:r>
                  <w:r>
                    <w:rPr>
                      <w:color w:val="auto"/>
                      <w:sz w:val="21"/>
                      <w:szCs w:val="21"/>
                      <w:highlight w:val="none"/>
                      <w:vertAlign w:val="superscript"/>
                    </w:rPr>
                    <w:t>3</w:t>
                  </w:r>
                </w:p>
              </w:tc>
              <w:tc>
                <w:tcPr>
                  <w:tcW w:w="1776" w:type="dxa"/>
                  <w:noWrap w:val="0"/>
                  <w:vAlign w:val="center"/>
                </w:tcPr>
                <w:p w14:paraId="3FE6AAE2">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rFonts w:hint="eastAsia"/>
                      <w:color w:val="auto"/>
                      <w:sz w:val="21"/>
                      <w:szCs w:val="21"/>
                      <w:highlight w:val="none"/>
                    </w:rPr>
                    <w:t>年平均值</w:t>
                  </w:r>
                </w:p>
              </w:tc>
              <w:tc>
                <w:tcPr>
                  <w:tcW w:w="1291" w:type="dxa"/>
                  <w:noWrap w:val="0"/>
                  <w:vAlign w:val="center"/>
                </w:tcPr>
                <w:p w14:paraId="1742DCCB">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60μg/m</w:t>
                  </w:r>
                  <w:r>
                    <w:rPr>
                      <w:color w:val="auto"/>
                      <w:sz w:val="21"/>
                      <w:szCs w:val="21"/>
                      <w:highlight w:val="none"/>
                      <w:vertAlign w:val="superscript"/>
                    </w:rPr>
                    <w:t>3</w:t>
                  </w:r>
                </w:p>
              </w:tc>
              <w:tc>
                <w:tcPr>
                  <w:tcW w:w="968" w:type="dxa"/>
                  <w:noWrap w:val="0"/>
                  <w:vAlign w:val="center"/>
                </w:tcPr>
                <w:p w14:paraId="657F24C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8.3 </w:t>
                  </w:r>
                </w:p>
              </w:tc>
              <w:tc>
                <w:tcPr>
                  <w:tcW w:w="1047" w:type="dxa"/>
                  <w:noWrap w:val="0"/>
                  <w:vAlign w:val="center"/>
                </w:tcPr>
                <w:p w14:paraId="3FBE303F">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达标</w:t>
                  </w:r>
                </w:p>
              </w:tc>
            </w:tr>
            <w:tr w14:paraId="2058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47" w:type="dxa"/>
                  <w:vMerge w:val="continue"/>
                  <w:noWrap w:val="0"/>
                  <w:vAlign w:val="center"/>
                </w:tcPr>
                <w:p w14:paraId="7FE327F0">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p>
              </w:tc>
              <w:tc>
                <w:tcPr>
                  <w:tcW w:w="969" w:type="dxa"/>
                  <w:noWrap w:val="0"/>
                  <w:vAlign w:val="center"/>
                </w:tcPr>
                <w:p w14:paraId="44910C90">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NO</w:t>
                  </w:r>
                  <w:r>
                    <w:rPr>
                      <w:color w:val="auto"/>
                      <w:sz w:val="21"/>
                      <w:szCs w:val="21"/>
                      <w:highlight w:val="none"/>
                      <w:vertAlign w:val="subscript"/>
                    </w:rPr>
                    <w:t>2</w:t>
                  </w:r>
                </w:p>
              </w:tc>
              <w:tc>
                <w:tcPr>
                  <w:tcW w:w="807" w:type="dxa"/>
                  <w:vMerge w:val="continue"/>
                  <w:noWrap w:val="0"/>
                  <w:vAlign w:val="center"/>
                </w:tcPr>
                <w:p w14:paraId="24726B57">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p>
              </w:tc>
              <w:tc>
                <w:tcPr>
                  <w:tcW w:w="1291" w:type="dxa"/>
                  <w:noWrap w:val="0"/>
                  <w:vAlign w:val="center"/>
                </w:tcPr>
                <w:p w14:paraId="329C267C">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rFonts w:hint="eastAsia"/>
                      <w:color w:val="auto"/>
                      <w:sz w:val="21"/>
                      <w:szCs w:val="21"/>
                      <w:highlight w:val="none"/>
                      <w:lang w:val="en-US" w:eastAsia="zh-CN"/>
                    </w:rPr>
                    <w:t>21</w:t>
                  </w:r>
                  <w:r>
                    <w:rPr>
                      <w:color w:val="auto"/>
                      <w:sz w:val="21"/>
                      <w:szCs w:val="21"/>
                      <w:highlight w:val="none"/>
                    </w:rPr>
                    <w:t>μg/m</w:t>
                  </w:r>
                  <w:r>
                    <w:rPr>
                      <w:color w:val="auto"/>
                      <w:sz w:val="21"/>
                      <w:szCs w:val="21"/>
                      <w:highlight w:val="none"/>
                      <w:vertAlign w:val="superscript"/>
                    </w:rPr>
                    <w:t>3</w:t>
                  </w:r>
                </w:p>
              </w:tc>
              <w:tc>
                <w:tcPr>
                  <w:tcW w:w="1776" w:type="dxa"/>
                  <w:noWrap w:val="0"/>
                  <w:vAlign w:val="center"/>
                </w:tcPr>
                <w:p w14:paraId="355A6758">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rFonts w:hint="eastAsia"/>
                      <w:color w:val="auto"/>
                      <w:sz w:val="21"/>
                      <w:szCs w:val="21"/>
                      <w:highlight w:val="none"/>
                    </w:rPr>
                    <w:t>年平均值</w:t>
                  </w:r>
                </w:p>
              </w:tc>
              <w:tc>
                <w:tcPr>
                  <w:tcW w:w="1291" w:type="dxa"/>
                  <w:noWrap w:val="0"/>
                  <w:vAlign w:val="center"/>
                </w:tcPr>
                <w:p w14:paraId="1216E61F">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40μg/m</w:t>
                  </w:r>
                  <w:r>
                    <w:rPr>
                      <w:color w:val="auto"/>
                      <w:sz w:val="21"/>
                      <w:szCs w:val="21"/>
                      <w:highlight w:val="none"/>
                      <w:vertAlign w:val="superscript"/>
                    </w:rPr>
                    <w:t>3</w:t>
                  </w:r>
                </w:p>
              </w:tc>
              <w:tc>
                <w:tcPr>
                  <w:tcW w:w="968" w:type="dxa"/>
                  <w:noWrap w:val="0"/>
                  <w:vAlign w:val="center"/>
                </w:tcPr>
                <w:p w14:paraId="39CB2BE3">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52.5 </w:t>
                  </w:r>
                </w:p>
              </w:tc>
              <w:tc>
                <w:tcPr>
                  <w:tcW w:w="1047" w:type="dxa"/>
                  <w:noWrap w:val="0"/>
                  <w:vAlign w:val="center"/>
                </w:tcPr>
                <w:p w14:paraId="53102886">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达标</w:t>
                  </w:r>
                </w:p>
              </w:tc>
            </w:tr>
            <w:tr w14:paraId="45A7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47" w:type="dxa"/>
                  <w:vMerge w:val="continue"/>
                  <w:noWrap w:val="0"/>
                  <w:vAlign w:val="center"/>
                </w:tcPr>
                <w:p w14:paraId="1422C68A">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p>
              </w:tc>
              <w:tc>
                <w:tcPr>
                  <w:tcW w:w="969" w:type="dxa"/>
                  <w:noWrap w:val="0"/>
                  <w:vAlign w:val="center"/>
                </w:tcPr>
                <w:p w14:paraId="419C4640">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CO</w:t>
                  </w:r>
                </w:p>
              </w:tc>
              <w:tc>
                <w:tcPr>
                  <w:tcW w:w="807" w:type="dxa"/>
                  <w:vMerge w:val="continue"/>
                  <w:noWrap w:val="0"/>
                  <w:vAlign w:val="center"/>
                </w:tcPr>
                <w:p w14:paraId="04F823EA">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p>
              </w:tc>
              <w:tc>
                <w:tcPr>
                  <w:tcW w:w="1291" w:type="dxa"/>
                  <w:noWrap w:val="0"/>
                  <w:vAlign w:val="center"/>
                </w:tcPr>
                <w:p w14:paraId="341482F3">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rFonts w:hint="eastAsia"/>
                      <w:color w:val="auto"/>
                      <w:sz w:val="21"/>
                      <w:szCs w:val="21"/>
                      <w:highlight w:val="none"/>
                      <w:lang w:val="en-US" w:eastAsia="zh-CN"/>
                    </w:rPr>
                    <w:t>1.2</w:t>
                  </w:r>
                  <w:r>
                    <w:rPr>
                      <w:color w:val="auto"/>
                      <w:sz w:val="21"/>
                      <w:szCs w:val="21"/>
                      <w:highlight w:val="none"/>
                    </w:rPr>
                    <w:t>mg/m</w:t>
                  </w:r>
                  <w:r>
                    <w:rPr>
                      <w:color w:val="auto"/>
                      <w:sz w:val="21"/>
                      <w:szCs w:val="21"/>
                      <w:highlight w:val="none"/>
                      <w:vertAlign w:val="superscript"/>
                    </w:rPr>
                    <w:t>3</w:t>
                  </w:r>
                </w:p>
              </w:tc>
              <w:tc>
                <w:tcPr>
                  <w:tcW w:w="1776" w:type="dxa"/>
                  <w:noWrap w:val="0"/>
                  <w:vAlign w:val="center"/>
                </w:tcPr>
                <w:p w14:paraId="78CD24BD">
                  <w:pPr>
                    <w:pStyle w:val="35"/>
                    <w:keepNext w:val="0"/>
                    <w:keepLines w:val="0"/>
                    <w:pageBreakBefore w:val="0"/>
                    <w:kinsoku/>
                    <w:wordWrap/>
                    <w:overflowPunct/>
                    <w:topLinePunct w:val="0"/>
                    <w:autoSpaceDE/>
                    <w:autoSpaceDN/>
                    <w:bidi w:val="0"/>
                    <w:spacing w:line="240" w:lineRule="auto"/>
                    <w:ind w:firstLine="0" w:firstLineChars="0"/>
                    <w:textAlignment w:val="auto"/>
                    <w:rPr>
                      <w:color w:val="auto"/>
                      <w:sz w:val="21"/>
                      <w:szCs w:val="21"/>
                      <w:highlight w:val="none"/>
                    </w:rPr>
                  </w:pPr>
                  <w:r>
                    <w:rPr>
                      <w:rFonts w:hint="default" w:ascii="Times New Roman" w:hAnsi="Times New Roman" w:eastAsia="宋体" w:cs="Times New Roman"/>
                      <w:color w:val="auto"/>
                      <w:kern w:val="28"/>
                      <w:sz w:val="21"/>
                      <w:szCs w:val="21"/>
                      <w:highlight w:val="none"/>
                    </w:rPr>
                    <w:t>日均浓度的第95百分位数</w:t>
                  </w:r>
                </w:p>
              </w:tc>
              <w:tc>
                <w:tcPr>
                  <w:tcW w:w="1291" w:type="dxa"/>
                  <w:noWrap w:val="0"/>
                  <w:vAlign w:val="center"/>
                </w:tcPr>
                <w:p w14:paraId="5BDCE3C5">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4mg/m</w:t>
                  </w:r>
                  <w:r>
                    <w:rPr>
                      <w:color w:val="auto"/>
                      <w:sz w:val="21"/>
                      <w:szCs w:val="21"/>
                      <w:highlight w:val="none"/>
                      <w:vertAlign w:val="superscript"/>
                    </w:rPr>
                    <w:t>3</w:t>
                  </w:r>
                </w:p>
              </w:tc>
              <w:tc>
                <w:tcPr>
                  <w:tcW w:w="968" w:type="dxa"/>
                  <w:noWrap w:val="0"/>
                  <w:vAlign w:val="center"/>
                </w:tcPr>
                <w:p w14:paraId="45BD4EEB">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30.0 </w:t>
                  </w:r>
                </w:p>
              </w:tc>
              <w:tc>
                <w:tcPr>
                  <w:tcW w:w="1047" w:type="dxa"/>
                  <w:noWrap w:val="0"/>
                  <w:vAlign w:val="center"/>
                </w:tcPr>
                <w:p w14:paraId="27FDBEC0">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达标</w:t>
                  </w:r>
                </w:p>
              </w:tc>
            </w:tr>
            <w:tr w14:paraId="3F6F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747" w:type="dxa"/>
                  <w:vMerge w:val="continue"/>
                  <w:noWrap w:val="0"/>
                  <w:vAlign w:val="center"/>
                </w:tcPr>
                <w:p w14:paraId="43AF68F8">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p>
              </w:tc>
              <w:tc>
                <w:tcPr>
                  <w:tcW w:w="969" w:type="dxa"/>
                  <w:noWrap w:val="0"/>
                  <w:vAlign w:val="center"/>
                </w:tcPr>
                <w:p w14:paraId="2DDED365">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O</w:t>
                  </w:r>
                  <w:r>
                    <w:rPr>
                      <w:color w:val="auto"/>
                      <w:sz w:val="21"/>
                      <w:szCs w:val="21"/>
                      <w:highlight w:val="none"/>
                      <w:vertAlign w:val="subscript"/>
                    </w:rPr>
                    <w:t>3</w:t>
                  </w:r>
                </w:p>
              </w:tc>
              <w:tc>
                <w:tcPr>
                  <w:tcW w:w="807" w:type="dxa"/>
                  <w:vMerge w:val="continue"/>
                  <w:noWrap w:val="0"/>
                  <w:vAlign w:val="center"/>
                </w:tcPr>
                <w:p w14:paraId="76963963">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p>
              </w:tc>
              <w:tc>
                <w:tcPr>
                  <w:tcW w:w="1291" w:type="dxa"/>
                  <w:noWrap w:val="0"/>
                  <w:vAlign w:val="center"/>
                </w:tcPr>
                <w:p w14:paraId="3FFB574A">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rFonts w:hint="eastAsia"/>
                      <w:color w:val="auto"/>
                      <w:sz w:val="21"/>
                      <w:szCs w:val="21"/>
                      <w:highlight w:val="none"/>
                      <w:lang w:val="en-US" w:eastAsia="zh-CN"/>
                    </w:rPr>
                    <w:t>114</w:t>
                  </w:r>
                  <w:r>
                    <w:rPr>
                      <w:color w:val="auto"/>
                      <w:sz w:val="21"/>
                      <w:szCs w:val="21"/>
                      <w:highlight w:val="none"/>
                    </w:rPr>
                    <w:t>μg/m</w:t>
                  </w:r>
                  <w:r>
                    <w:rPr>
                      <w:color w:val="auto"/>
                      <w:sz w:val="21"/>
                      <w:szCs w:val="21"/>
                      <w:highlight w:val="none"/>
                      <w:vertAlign w:val="superscript"/>
                    </w:rPr>
                    <w:t>3</w:t>
                  </w:r>
                </w:p>
              </w:tc>
              <w:tc>
                <w:tcPr>
                  <w:tcW w:w="1776" w:type="dxa"/>
                  <w:noWrap w:val="0"/>
                  <w:vAlign w:val="center"/>
                </w:tcPr>
                <w:p w14:paraId="385CC82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8"/>
                      <w:sz w:val="21"/>
                      <w:szCs w:val="21"/>
                      <w:highlight w:val="none"/>
                      <w:lang w:val="en-US" w:eastAsia="zh-CN" w:bidi="ar-SA"/>
                    </w:rPr>
                  </w:pPr>
                  <w:r>
                    <w:rPr>
                      <w:rFonts w:hint="default" w:ascii="Times New Roman" w:hAnsi="Times New Roman" w:eastAsia="宋体" w:cs="Times New Roman"/>
                      <w:color w:val="auto"/>
                      <w:kern w:val="28"/>
                      <w:sz w:val="21"/>
                      <w:szCs w:val="21"/>
                      <w:highlight w:val="none"/>
                    </w:rPr>
                    <w:t>日最大8h平均浓度的第90百分位数</w:t>
                  </w:r>
                </w:p>
              </w:tc>
              <w:tc>
                <w:tcPr>
                  <w:tcW w:w="1291" w:type="dxa"/>
                  <w:noWrap w:val="0"/>
                  <w:vAlign w:val="center"/>
                </w:tcPr>
                <w:p w14:paraId="5C6BD214">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160μg/m</w:t>
                  </w:r>
                  <w:r>
                    <w:rPr>
                      <w:color w:val="auto"/>
                      <w:sz w:val="21"/>
                      <w:szCs w:val="21"/>
                      <w:highlight w:val="none"/>
                      <w:vertAlign w:val="superscript"/>
                    </w:rPr>
                    <w:t>3</w:t>
                  </w:r>
                </w:p>
              </w:tc>
              <w:tc>
                <w:tcPr>
                  <w:tcW w:w="968" w:type="dxa"/>
                  <w:noWrap w:val="0"/>
                  <w:vAlign w:val="center"/>
                </w:tcPr>
                <w:p w14:paraId="0F4D1826">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71.3 </w:t>
                  </w:r>
                </w:p>
              </w:tc>
              <w:tc>
                <w:tcPr>
                  <w:tcW w:w="1047" w:type="dxa"/>
                  <w:noWrap w:val="0"/>
                  <w:vAlign w:val="center"/>
                </w:tcPr>
                <w:p w14:paraId="535C1E2F">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达标</w:t>
                  </w:r>
                </w:p>
              </w:tc>
            </w:tr>
            <w:tr w14:paraId="59CA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47" w:type="dxa"/>
                  <w:vMerge w:val="continue"/>
                  <w:noWrap w:val="0"/>
                  <w:vAlign w:val="center"/>
                </w:tcPr>
                <w:p w14:paraId="70412EE8">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p>
              </w:tc>
              <w:tc>
                <w:tcPr>
                  <w:tcW w:w="969" w:type="dxa"/>
                  <w:noWrap w:val="0"/>
                  <w:vAlign w:val="center"/>
                </w:tcPr>
                <w:p w14:paraId="7FB34450">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PM</w:t>
                  </w:r>
                  <w:r>
                    <w:rPr>
                      <w:color w:val="auto"/>
                      <w:sz w:val="21"/>
                      <w:szCs w:val="21"/>
                      <w:highlight w:val="none"/>
                      <w:vertAlign w:val="subscript"/>
                    </w:rPr>
                    <w:t>2.5</w:t>
                  </w:r>
                </w:p>
              </w:tc>
              <w:tc>
                <w:tcPr>
                  <w:tcW w:w="807" w:type="dxa"/>
                  <w:vMerge w:val="continue"/>
                  <w:noWrap w:val="0"/>
                  <w:vAlign w:val="center"/>
                </w:tcPr>
                <w:p w14:paraId="475DDC22">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p>
              </w:tc>
              <w:tc>
                <w:tcPr>
                  <w:tcW w:w="1291" w:type="dxa"/>
                  <w:noWrap w:val="0"/>
                  <w:vAlign w:val="center"/>
                </w:tcPr>
                <w:p w14:paraId="6842A0D8">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rFonts w:hint="eastAsia"/>
                      <w:color w:val="auto"/>
                      <w:sz w:val="21"/>
                      <w:szCs w:val="21"/>
                      <w:highlight w:val="none"/>
                      <w:lang w:val="en-US" w:eastAsia="zh-CN"/>
                    </w:rPr>
                    <w:t>34</w:t>
                  </w:r>
                  <w:r>
                    <w:rPr>
                      <w:color w:val="auto"/>
                      <w:sz w:val="21"/>
                      <w:szCs w:val="21"/>
                      <w:highlight w:val="none"/>
                    </w:rPr>
                    <w:t>μg/m</w:t>
                  </w:r>
                  <w:r>
                    <w:rPr>
                      <w:color w:val="auto"/>
                      <w:sz w:val="21"/>
                      <w:szCs w:val="21"/>
                      <w:highlight w:val="none"/>
                      <w:vertAlign w:val="superscript"/>
                    </w:rPr>
                    <w:t>3</w:t>
                  </w:r>
                </w:p>
              </w:tc>
              <w:tc>
                <w:tcPr>
                  <w:tcW w:w="1776" w:type="dxa"/>
                  <w:noWrap w:val="0"/>
                  <w:vAlign w:val="center"/>
                </w:tcPr>
                <w:p w14:paraId="5FE9E565">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rFonts w:hint="eastAsia"/>
                      <w:color w:val="auto"/>
                      <w:sz w:val="21"/>
                      <w:szCs w:val="21"/>
                      <w:highlight w:val="none"/>
                    </w:rPr>
                    <w:t>年平均值</w:t>
                  </w:r>
                </w:p>
              </w:tc>
              <w:tc>
                <w:tcPr>
                  <w:tcW w:w="1291" w:type="dxa"/>
                  <w:noWrap w:val="0"/>
                  <w:vAlign w:val="center"/>
                </w:tcPr>
                <w:p w14:paraId="5A282007">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35μg/m</w:t>
                  </w:r>
                  <w:r>
                    <w:rPr>
                      <w:color w:val="auto"/>
                      <w:sz w:val="21"/>
                      <w:szCs w:val="21"/>
                      <w:highlight w:val="none"/>
                      <w:vertAlign w:val="superscript"/>
                    </w:rPr>
                    <w:t>3</w:t>
                  </w:r>
                </w:p>
              </w:tc>
              <w:tc>
                <w:tcPr>
                  <w:tcW w:w="968" w:type="dxa"/>
                  <w:noWrap w:val="0"/>
                  <w:vAlign w:val="center"/>
                </w:tcPr>
                <w:p w14:paraId="48D58FE8">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97.1 </w:t>
                  </w:r>
                </w:p>
              </w:tc>
              <w:tc>
                <w:tcPr>
                  <w:tcW w:w="1047" w:type="dxa"/>
                  <w:noWrap w:val="0"/>
                  <w:vAlign w:val="center"/>
                </w:tcPr>
                <w:p w14:paraId="5A11F3FE">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达标</w:t>
                  </w:r>
                </w:p>
              </w:tc>
            </w:tr>
            <w:tr w14:paraId="0D8C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47" w:type="dxa"/>
                  <w:vMerge w:val="continue"/>
                  <w:noWrap w:val="0"/>
                  <w:vAlign w:val="center"/>
                </w:tcPr>
                <w:p w14:paraId="161EC0B9">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p>
              </w:tc>
              <w:tc>
                <w:tcPr>
                  <w:tcW w:w="969" w:type="dxa"/>
                  <w:noWrap w:val="0"/>
                  <w:vAlign w:val="center"/>
                </w:tcPr>
                <w:p w14:paraId="053F92D2">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PM</w:t>
                  </w:r>
                  <w:r>
                    <w:rPr>
                      <w:color w:val="auto"/>
                      <w:sz w:val="21"/>
                      <w:szCs w:val="21"/>
                      <w:highlight w:val="none"/>
                      <w:vertAlign w:val="subscript"/>
                    </w:rPr>
                    <w:t>10</w:t>
                  </w:r>
                </w:p>
              </w:tc>
              <w:tc>
                <w:tcPr>
                  <w:tcW w:w="807" w:type="dxa"/>
                  <w:vMerge w:val="continue"/>
                  <w:noWrap w:val="0"/>
                  <w:vAlign w:val="center"/>
                </w:tcPr>
                <w:p w14:paraId="0E9E416C">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p>
              </w:tc>
              <w:tc>
                <w:tcPr>
                  <w:tcW w:w="1291" w:type="dxa"/>
                  <w:noWrap w:val="0"/>
                  <w:vAlign w:val="center"/>
                </w:tcPr>
                <w:p w14:paraId="16AF3BDF">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rFonts w:hint="eastAsia"/>
                      <w:color w:val="auto"/>
                      <w:sz w:val="21"/>
                      <w:szCs w:val="21"/>
                      <w:highlight w:val="none"/>
                      <w:lang w:val="en-US" w:eastAsia="zh-CN"/>
                    </w:rPr>
                    <w:t>52</w:t>
                  </w:r>
                  <w:r>
                    <w:rPr>
                      <w:color w:val="auto"/>
                      <w:sz w:val="21"/>
                      <w:szCs w:val="21"/>
                      <w:highlight w:val="none"/>
                    </w:rPr>
                    <w:t>μg/m</w:t>
                  </w:r>
                  <w:r>
                    <w:rPr>
                      <w:color w:val="auto"/>
                      <w:sz w:val="21"/>
                      <w:szCs w:val="21"/>
                      <w:highlight w:val="none"/>
                      <w:vertAlign w:val="superscript"/>
                    </w:rPr>
                    <w:t>3</w:t>
                  </w:r>
                </w:p>
              </w:tc>
              <w:tc>
                <w:tcPr>
                  <w:tcW w:w="1776" w:type="dxa"/>
                  <w:noWrap w:val="0"/>
                  <w:vAlign w:val="center"/>
                </w:tcPr>
                <w:p w14:paraId="2D4D74CE">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rFonts w:hint="eastAsia"/>
                      <w:color w:val="auto"/>
                      <w:sz w:val="21"/>
                      <w:szCs w:val="21"/>
                      <w:highlight w:val="none"/>
                    </w:rPr>
                    <w:t>年平均值</w:t>
                  </w:r>
                </w:p>
              </w:tc>
              <w:tc>
                <w:tcPr>
                  <w:tcW w:w="1291" w:type="dxa"/>
                  <w:noWrap w:val="0"/>
                  <w:vAlign w:val="center"/>
                </w:tcPr>
                <w:p w14:paraId="61649E25">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70μg/m</w:t>
                  </w:r>
                  <w:r>
                    <w:rPr>
                      <w:color w:val="auto"/>
                      <w:sz w:val="21"/>
                      <w:szCs w:val="21"/>
                      <w:highlight w:val="none"/>
                      <w:vertAlign w:val="superscript"/>
                    </w:rPr>
                    <w:t>3</w:t>
                  </w:r>
                </w:p>
              </w:tc>
              <w:tc>
                <w:tcPr>
                  <w:tcW w:w="968" w:type="dxa"/>
                  <w:noWrap w:val="0"/>
                  <w:vAlign w:val="center"/>
                </w:tcPr>
                <w:p w14:paraId="4090F855">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 xml:space="preserve">74.3 </w:t>
                  </w:r>
                </w:p>
              </w:tc>
              <w:tc>
                <w:tcPr>
                  <w:tcW w:w="1047" w:type="dxa"/>
                  <w:noWrap w:val="0"/>
                  <w:vAlign w:val="center"/>
                </w:tcPr>
                <w:p w14:paraId="6A17650C">
                  <w:pPr>
                    <w:keepNext w:val="0"/>
                    <w:keepLines w:val="0"/>
                    <w:pageBreakBefore w:val="0"/>
                    <w:kinsoku/>
                    <w:wordWrap/>
                    <w:overflowPunct/>
                    <w:topLinePunct w:val="0"/>
                    <w:autoSpaceDE/>
                    <w:autoSpaceDN/>
                    <w:bidi w:val="0"/>
                    <w:spacing w:line="240" w:lineRule="auto"/>
                    <w:ind w:firstLine="0" w:firstLineChars="0"/>
                    <w:jc w:val="center"/>
                    <w:textAlignment w:val="auto"/>
                    <w:rPr>
                      <w:color w:val="auto"/>
                      <w:sz w:val="21"/>
                      <w:szCs w:val="21"/>
                      <w:highlight w:val="none"/>
                    </w:rPr>
                  </w:pPr>
                  <w:r>
                    <w:rPr>
                      <w:color w:val="auto"/>
                      <w:sz w:val="21"/>
                      <w:szCs w:val="21"/>
                      <w:highlight w:val="none"/>
                    </w:rPr>
                    <w:t>达标</w:t>
                  </w:r>
                </w:p>
              </w:tc>
            </w:tr>
          </w:tbl>
          <w:p w14:paraId="778F0657">
            <w:pPr>
              <w:pStyle w:val="3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bCs w:val="0"/>
                <w:color w:val="auto"/>
                <w:szCs w:val="22"/>
                <w:highlight w:val="none"/>
              </w:rPr>
            </w:pPr>
            <w:r>
              <w:rPr>
                <w:color w:val="auto"/>
                <w:sz w:val="24"/>
                <w:highlight w:val="none"/>
              </w:rPr>
              <w:t>由上表可知，根据</w:t>
            </w:r>
            <w:r>
              <w:rPr>
                <w:rFonts w:hint="eastAsia" w:ascii="Times New Roman" w:hAnsi="Times New Roman" w:eastAsia="宋体" w:cs="Times New Roman"/>
                <w:b w:val="0"/>
                <w:bCs w:val="0"/>
                <w:snapToGrid w:val="0"/>
                <w:color w:val="auto"/>
                <w:sz w:val="24"/>
                <w:szCs w:val="22"/>
                <w:highlight w:val="none"/>
                <w:lang w:val="en-US" w:eastAsia="zh-CN" w:bidi="ar-SA"/>
              </w:rPr>
              <w:t>《</w:t>
            </w:r>
            <w:r>
              <w:rPr>
                <w:rFonts w:hint="eastAsia" w:cs="Times New Roman"/>
                <w:b w:val="0"/>
                <w:bCs w:val="0"/>
                <w:snapToGrid w:val="0"/>
                <w:color w:val="auto"/>
                <w:sz w:val="24"/>
                <w:szCs w:val="22"/>
                <w:highlight w:val="none"/>
                <w:lang w:val="en-US" w:eastAsia="zh-CN" w:bidi="ar-SA"/>
              </w:rPr>
              <w:t>达州市2024年环境空气质量状况</w:t>
            </w:r>
            <w:r>
              <w:rPr>
                <w:rFonts w:hint="eastAsia" w:ascii="Times New Roman" w:hAnsi="Times New Roman" w:eastAsia="宋体" w:cs="Times New Roman"/>
                <w:b w:val="0"/>
                <w:bCs w:val="0"/>
                <w:snapToGrid w:val="0"/>
                <w:color w:val="auto"/>
                <w:sz w:val="24"/>
                <w:szCs w:val="22"/>
                <w:highlight w:val="none"/>
                <w:lang w:val="en-US" w:eastAsia="zh-CN" w:bidi="ar-SA"/>
              </w:rPr>
              <w:t>》</w:t>
            </w:r>
            <w:r>
              <w:rPr>
                <w:color w:val="auto"/>
                <w:sz w:val="24"/>
                <w:highlight w:val="none"/>
              </w:rPr>
              <w:t>中</w:t>
            </w:r>
            <w:r>
              <w:rPr>
                <w:rFonts w:hint="eastAsia"/>
                <w:color w:val="auto"/>
                <w:sz w:val="24"/>
                <w:highlight w:val="none"/>
                <w:lang w:val="en-US" w:eastAsia="zh-CN"/>
              </w:rPr>
              <w:t>大竹县</w:t>
            </w:r>
            <w:r>
              <w:rPr>
                <w:color w:val="auto"/>
                <w:sz w:val="24"/>
                <w:highlight w:val="none"/>
              </w:rPr>
              <w:t>的数据，</w:t>
            </w:r>
            <w:r>
              <w:rPr>
                <w:rFonts w:hint="eastAsia"/>
                <w:color w:val="auto"/>
                <w:sz w:val="24"/>
                <w:highlight w:val="none"/>
                <w:lang w:val="en-US" w:eastAsia="zh-CN"/>
              </w:rPr>
              <w:t>本项目所在区域</w:t>
            </w:r>
            <w:r>
              <w:rPr>
                <w:rFonts w:hint="default" w:ascii="Times New Roman" w:hAnsi="Times New Roman" w:cs="Times New Roman"/>
                <w:bCs w:val="0"/>
                <w:color w:val="auto"/>
                <w:szCs w:val="22"/>
                <w:highlight w:val="none"/>
              </w:rPr>
              <w:t>所有基本污染物年均浓度均满足《环境空气质量标准》（GB3095-2012）二级标准要求。因此，本项目所在区域属于环境空气质量达标区。</w:t>
            </w:r>
          </w:p>
          <w:p w14:paraId="199E86EE">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3.4.2 地表水环境质量现状</w:t>
            </w:r>
          </w:p>
          <w:p w14:paraId="3AEC5B4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highlight w:val="none"/>
                <w:shd w:val="clear" w:color="auto" w:fill="FFFFFF"/>
                <w:lang w:bidi="ar"/>
              </w:rPr>
            </w:pPr>
            <w:r>
              <w:rPr>
                <w:rFonts w:hint="default" w:ascii="Times New Roman" w:hAnsi="Times New Roman" w:cs="Times New Roman"/>
                <w:bCs/>
                <w:color w:val="auto"/>
                <w:sz w:val="24"/>
                <w:szCs w:val="24"/>
                <w:highlight w:val="none"/>
              </w:rPr>
              <w:t>本</w:t>
            </w:r>
            <w:r>
              <w:rPr>
                <w:rFonts w:hint="default" w:ascii="Times New Roman" w:hAnsi="Times New Roman" w:cs="Times New Roman"/>
                <w:bCs w:val="0"/>
                <w:color w:val="auto"/>
                <w:sz w:val="24"/>
                <w:szCs w:val="24"/>
                <w:highlight w:val="none"/>
                <w:lang w:val="en-US" w:eastAsia="zh-CN"/>
              </w:rPr>
              <w:t>项目</w:t>
            </w:r>
            <w:r>
              <w:rPr>
                <w:rFonts w:hint="eastAsia" w:cs="Times New Roman"/>
                <w:bCs w:val="0"/>
                <w:color w:val="auto"/>
                <w:sz w:val="24"/>
                <w:szCs w:val="24"/>
                <w:highlight w:val="none"/>
                <w:lang w:val="en-US" w:eastAsia="zh-CN"/>
              </w:rPr>
              <w:t>涉及的</w:t>
            </w:r>
            <w:r>
              <w:rPr>
                <w:rFonts w:hint="eastAsia" w:cs="Times New Roman"/>
                <w:color w:val="auto"/>
                <w:sz w:val="24"/>
                <w:szCs w:val="24"/>
                <w:highlight w:val="none"/>
                <w:lang w:val="en-US" w:eastAsia="zh-CN"/>
              </w:rPr>
              <w:t>柳城河、田家沟支流、清溪沟支流及</w:t>
            </w:r>
            <w:r>
              <w:rPr>
                <w:rFonts w:hint="eastAsia" w:ascii="Times New Roman" w:hAnsi="Times New Roman" w:eastAsia="宋体"/>
                <w:b w:val="0"/>
                <w:bCs/>
                <w:color w:val="auto"/>
                <w:sz w:val="24"/>
                <w:szCs w:val="24"/>
                <w:highlight w:val="none"/>
              </w:rPr>
              <w:t>蚂蟥沟支流</w:t>
            </w:r>
            <w:r>
              <w:rPr>
                <w:rFonts w:hint="eastAsia" w:cs="Times New Roman"/>
                <w:color w:val="auto"/>
                <w:sz w:val="24"/>
                <w:szCs w:val="24"/>
                <w:highlight w:val="none"/>
                <w:lang w:val="en-US" w:eastAsia="zh-CN"/>
              </w:rPr>
              <w:t>，均</w:t>
            </w:r>
            <w:r>
              <w:rPr>
                <w:rFonts w:hint="eastAsia" w:cs="Times New Roman"/>
                <w:color w:val="auto"/>
                <w:szCs w:val="24"/>
                <w:highlight w:val="none"/>
                <w:lang w:val="en-US" w:eastAsia="zh-CN"/>
              </w:rPr>
              <w:t>属于</w:t>
            </w:r>
            <w:r>
              <w:rPr>
                <w:rFonts w:hint="eastAsia" w:cs="Times New Roman"/>
                <w:color w:val="auto"/>
                <w:highlight w:val="none"/>
                <w:lang w:val="en-US" w:eastAsia="zh-CN"/>
              </w:rPr>
              <w:t>东柳河支流。</w:t>
            </w:r>
            <w:r>
              <w:rPr>
                <w:rFonts w:hint="eastAsia" w:cs="Times New Roman"/>
                <w:color w:val="auto"/>
                <w:sz w:val="24"/>
                <w:szCs w:val="24"/>
                <w:highlight w:val="none"/>
                <w:lang w:val="en-US" w:eastAsia="zh-CN"/>
              </w:rPr>
              <w:t>因此，</w:t>
            </w:r>
            <w:r>
              <w:rPr>
                <w:rFonts w:hint="default" w:ascii="Times New Roman" w:hAnsi="Times New Roman" w:cs="Times New Roman"/>
                <w:color w:val="auto"/>
                <w:sz w:val="24"/>
                <w:szCs w:val="24"/>
                <w:highlight w:val="none"/>
                <w:lang w:val="en-US" w:eastAsia="zh-CN"/>
              </w:rPr>
              <w:t>本次</w:t>
            </w:r>
            <w:r>
              <w:rPr>
                <w:rFonts w:hint="eastAsia" w:cs="Times New Roman"/>
                <w:color w:val="auto"/>
                <w:sz w:val="24"/>
                <w:szCs w:val="24"/>
                <w:highlight w:val="none"/>
                <w:lang w:val="en-US" w:eastAsia="zh-CN"/>
              </w:rPr>
              <w:t>评价</w:t>
            </w:r>
            <w:r>
              <w:rPr>
                <w:rFonts w:hint="default" w:ascii="Times New Roman" w:hAnsi="Times New Roman" w:cs="Times New Roman"/>
                <w:bCs/>
                <w:color w:val="auto"/>
                <w:sz w:val="24"/>
                <w:szCs w:val="24"/>
                <w:highlight w:val="none"/>
              </w:rPr>
              <w:t>引用</w:t>
            </w:r>
            <w:r>
              <w:rPr>
                <w:rFonts w:hint="default" w:ascii="Times New Roman" w:hAnsi="Times New Roman" w:cs="Times New Roman"/>
                <w:bCs w:val="0"/>
                <w:color w:val="auto"/>
                <w:sz w:val="24"/>
                <w:szCs w:val="24"/>
                <w:highlight w:val="none"/>
                <w:lang w:val="en-US" w:eastAsia="zh-CN"/>
              </w:rPr>
              <w:t>202</w:t>
            </w:r>
            <w:r>
              <w:rPr>
                <w:rFonts w:hint="eastAsia" w:cs="Times New Roman"/>
                <w:bCs w:val="0"/>
                <w:color w:val="auto"/>
                <w:sz w:val="24"/>
                <w:szCs w:val="24"/>
                <w:highlight w:val="none"/>
                <w:lang w:val="en-US" w:eastAsia="zh-CN"/>
              </w:rPr>
              <w:t>5</w:t>
            </w:r>
            <w:r>
              <w:rPr>
                <w:rFonts w:hint="default" w:ascii="Times New Roman" w:hAnsi="Times New Roman" w:cs="Times New Roman"/>
                <w:bCs w:val="0"/>
                <w:color w:val="auto"/>
                <w:sz w:val="24"/>
                <w:szCs w:val="24"/>
                <w:highlight w:val="none"/>
                <w:lang w:val="en-US" w:eastAsia="zh-CN"/>
              </w:rPr>
              <w:t>年</w:t>
            </w:r>
            <w:r>
              <w:rPr>
                <w:rFonts w:hint="eastAsia" w:cs="Times New Roman"/>
                <w:bCs w:val="0"/>
                <w:color w:val="auto"/>
                <w:sz w:val="24"/>
                <w:szCs w:val="24"/>
                <w:highlight w:val="none"/>
                <w:lang w:val="en-US" w:eastAsia="zh-CN"/>
              </w:rPr>
              <w:t>1</w:t>
            </w:r>
            <w:r>
              <w:rPr>
                <w:rFonts w:hint="default" w:ascii="Times New Roman" w:hAnsi="Times New Roman" w:cs="Times New Roman"/>
                <w:bCs w:val="0"/>
                <w:color w:val="auto"/>
                <w:sz w:val="24"/>
                <w:szCs w:val="24"/>
                <w:highlight w:val="none"/>
                <w:lang w:val="en-US" w:eastAsia="zh-CN"/>
              </w:rPr>
              <w:t>月-</w:t>
            </w:r>
            <w:r>
              <w:rPr>
                <w:rFonts w:hint="eastAsia" w:cs="Times New Roman"/>
                <w:bCs w:val="0"/>
                <w:color w:val="auto"/>
                <w:sz w:val="24"/>
                <w:szCs w:val="24"/>
                <w:highlight w:val="none"/>
                <w:lang w:val="en-US" w:eastAsia="zh-CN"/>
              </w:rPr>
              <w:t>2025年5</w:t>
            </w:r>
            <w:r>
              <w:rPr>
                <w:rFonts w:hint="default" w:ascii="Times New Roman" w:hAnsi="Times New Roman" w:cs="Times New Roman"/>
                <w:bCs w:val="0"/>
                <w:color w:val="auto"/>
                <w:sz w:val="24"/>
                <w:szCs w:val="24"/>
                <w:highlight w:val="none"/>
                <w:lang w:val="en-US" w:eastAsia="zh-CN"/>
              </w:rPr>
              <w:t>月</w:t>
            </w:r>
            <w:r>
              <w:rPr>
                <w:rFonts w:hint="eastAsia"/>
                <w:color w:val="auto"/>
                <w:sz w:val="24"/>
                <w:highlight w:val="none"/>
              </w:rPr>
              <w:t>东柳河-墩子河</w:t>
            </w:r>
            <w:r>
              <w:rPr>
                <w:rFonts w:hint="eastAsia"/>
                <w:color w:val="auto"/>
                <w:sz w:val="24"/>
                <w:highlight w:val="none"/>
                <w:lang w:val="en-US" w:eastAsia="zh-CN"/>
              </w:rPr>
              <w:t>省控断面</w:t>
            </w:r>
            <w:r>
              <w:rPr>
                <w:rFonts w:hint="eastAsia"/>
                <w:color w:val="auto"/>
                <w:sz w:val="24"/>
                <w:highlight w:val="none"/>
              </w:rPr>
              <w:t>的监测数据</w:t>
            </w:r>
            <w:r>
              <w:rPr>
                <w:rFonts w:hint="eastAsia"/>
                <w:color w:val="auto"/>
                <w:sz w:val="24"/>
                <w:highlight w:val="none"/>
                <w:lang w:eastAsia="zh-CN"/>
              </w:rPr>
              <w:t>，</w:t>
            </w:r>
            <w:r>
              <w:rPr>
                <w:rFonts w:hint="eastAsia"/>
                <w:color w:val="auto"/>
                <w:sz w:val="24"/>
                <w:highlight w:val="none"/>
                <w:lang w:val="en-US" w:eastAsia="zh-CN"/>
              </w:rPr>
              <w:t>来对项目所在区域地表水环境现状予以分析评价</w:t>
            </w:r>
            <w:r>
              <w:rPr>
                <w:rFonts w:hint="default" w:ascii="Times New Roman" w:hAnsi="Times New Roman" w:cs="Times New Roman"/>
                <w:bCs w:val="0"/>
                <w:color w:val="auto"/>
                <w:sz w:val="24"/>
                <w:szCs w:val="24"/>
                <w:highlight w:val="none"/>
                <w:lang w:val="en-US" w:eastAsia="zh-CN"/>
              </w:rPr>
              <w:t>。</w:t>
            </w:r>
            <w:r>
              <w:rPr>
                <w:rFonts w:hint="eastAsia" w:cs="Times New Roman"/>
                <w:bCs w:val="0"/>
                <w:color w:val="auto"/>
                <w:sz w:val="24"/>
                <w:szCs w:val="24"/>
                <w:highlight w:val="none"/>
                <w:lang w:val="en-US" w:eastAsia="zh-CN"/>
              </w:rPr>
              <w:t>详见</w:t>
            </w:r>
            <w:r>
              <w:rPr>
                <w:rFonts w:hint="default" w:ascii="Times New Roman" w:hAnsi="Times New Roman" w:cs="Times New Roman"/>
                <w:color w:val="auto"/>
                <w:highlight w:val="none"/>
                <w:shd w:val="clear" w:color="auto" w:fill="FFFFFF"/>
                <w:lang w:bidi="ar"/>
              </w:rPr>
              <w:t>表3.4-2。</w:t>
            </w:r>
          </w:p>
          <w:p w14:paraId="36BA0BA8">
            <w:pPr>
              <w:widowControl/>
              <w:wordWrap/>
              <w:ind w:firstLine="0" w:firstLineChars="0"/>
              <w:jc w:val="center"/>
              <w:rPr>
                <w:rFonts w:hint="default" w:ascii="Times New Roman" w:hAnsi="Times New Roman" w:cs="Times New Roman"/>
                <w:b/>
                <w:bCs/>
                <w:color w:val="auto"/>
                <w:highlight w:val="none"/>
                <w:shd w:val="clear" w:color="auto" w:fill="FFFFFF"/>
                <w:lang w:bidi="ar"/>
              </w:rPr>
            </w:pPr>
            <w:r>
              <w:rPr>
                <w:rFonts w:hint="default" w:ascii="Times New Roman" w:hAnsi="Times New Roman" w:cs="Times New Roman"/>
                <w:b/>
                <w:bCs/>
                <w:color w:val="auto"/>
                <w:highlight w:val="none"/>
                <w:shd w:val="clear" w:color="auto" w:fill="FFFFFF"/>
                <w:lang w:bidi="ar"/>
              </w:rPr>
              <w:t xml:space="preserve">表3.4-2  </w:t>
            </w:r>
            <w:r>
              <w:rPr>
                <w:rFonts w:hint="default" w:ascii="Times New Roman" w:hAnsi="Times New Roman" w:eastAsia="宋体" w:cs="Times New Roman"/>
                <w:b/>
                <w:bCs/>
                <w:color w:val="auto"/>
                <w:sz w:val="24"/>
                <w:szCs w:val="24"/>
                <w:highlight w:val="none"/>
                <w:lang w:val="en-US" w:eastAsia="zh-CN"/>
              </w:rPr>
              <w:t>水质监测断面</w:t>
            </w:r>
            <w:r>
              <w:rPr>
                <w:rFonts w:hint="default" w:ascii="Times New Roman" w:hAnsi="Times New Roman" w:eastAsia="宋体" w:cs="Times New Roman"/>
                <w:b/>
                <w:bCs/>
                <w:color w:val="auto"/>
                <w:sz w:val="24"/>
                <w:szCs w:val="24"/>
                <w:highlight w:val="none"/>
              </w:rPr>
              <w:t>水质评价结果表</w:t>
            </w:r>
          </w:p>
          <w:tbl>
            <w:tblPr>
              <w:tblStyle w:val="12"/>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970"/>
              <w:gridCol w:w="690"/>
              <w:gridCol w:w="698"/>
              <w:gridCol w:w="821"/>
              <w:gridCol w:w="1846"/>
              <w:gridCol w:w="1074"/>
              <w:gridCol w:w="804"/>
              <w:gridCol w:w="791"/>
              <w:gridCol w:w="663"/>
            </w:tblGrid>
            <w:tr w14:paraId="477D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41" w:type="dxa"/>
                  <w:noWrap w:val="0"/>
                  <w:vAlign w:val="center"/>
                </w:tcPr>
                <w:p w14:paraId="1D4B3941">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970" w:type="dxa"/>
                  <w:noWrap w:val="0"/>
                  <w:vAlign w:val="center"/>
                </w:tcPr>
                <w:p w14:paraId="0FFB887B">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时间</w:t>
                  </w:r>
                </w:p>
              </w:tc>
              <w:tc>
                <w:tcPr>
                  <w:tcW w:w="1388" w:type="dxa"/>
                  <w:gridSpan w:val="2"/>
                  <w:noWrap w:val="0"/>
                  <w:vAlign w:val="center"/>
                </w:tcPr>
                <w:p w14:paraId="31D6BE1D">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河流</w:t>
                  </w:r>
                </w:p>
              </w:tc>
              <w:tc>
                <w:tcPr>
                  <w:tcW w:w="821" w:type="dxa"/>
                  <w:noWrap w:val="0"/>
                  <w:vAlign w:val="center"/>
                </w:tcPr>
                <w:p w14:paraId="18E74DCA">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断面名称</w:t>
                  </w:r>
                </w:p>
              </w:tc>
              <w:tc>
                <w:tcPr>
                  <w:tcW w:w="1846" w:type="dxa"/>
                  <w:noWrap w:val="0"/>
                  <w:vAlign w:val="center"/>
                </w:tcPr>
                <w:p w14:paraId="7A6AD7E1">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交接情况</w:t>
                  </w:r>
                </w:p>
              </w:tc>
              <w:tc>
                <w:tcPr>
                  <w:tcW w:w="1074" w:type="dxa"/>
                  <w:noWrap w:val="0"/>
                  <w:vAlign w:val="center"/>
                </w:tcPr>
                <w:p w14:paraId="0AA73410">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断面性质</w:t>
                  </w:r>
                </w:p>
              </w:tc>
              <w:tc>
                <w:tcPr>
                  <w:tcW w:w="804" w:type="dxa"/>
                  <w:noWrap w:val="0"/>
                  <w:vAlign w:val="center"/>
                </w:tcPr>
                <w:p w14:paraId="40C38853">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上年同期</w:t>
                  </w:r>
                </w:p>
              </w:tc>
              <w:tc>
                <w:tcPr>
                  <w:tcW w:w="791" w:type="dxa"/>
                  <w:noWrap w:val="0"/>
                  <w:vAlign w:val="center"/>
                </w:tcPr>
                <w:p w14:paraId="7EAA2A4F">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上月类别</w:t>
                  </w:r>
                </w:p>
              </w:tc>
              <w:tc>
                <w:tcPr>
                  <w:tcW w:w="663" w:type="dxa"/>
                  <w:noWrap w:val="0"/>
                  <w:vAlign w:val="center"/>
                </w:tcPr>
                <w:p w14:paraId="2C22B00C">
                  <w:pPr>
                    <w:spacing w:line="240" w:lineRule="auto"/>
                    <w:ind w:firstLine="0" w:firstLineChars="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本月类别</w:t>
                  </w:r>
                </w:p>
              </w:tc>
            </w:tr>
            <w:tr w14:paraId="267E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41" w:type="dxa"/>
                  <w:noWrap w:val="0"/>
                  <w:vAlign w:val="center"/>
                </w:tcPr>
                <w:p w14:paraId="41F76D20">
                  <w:pPr>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970" w:type="dxa"/>
                  <w:shd w:val="clear" w:color="auto" w:fill="auto"/>
                  <w:noWrap w:val="0"/>
                  <w:vAlign w:val="center"/>
                </w:tcPr>
                <w:p w14:paraId="12588A0C">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202</w:t>
                  </w:r>
                  <w:r>
                    <w:rPr>
                      <w:rFonts w:hint="eastAsia"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年</w:t>
                  </w:r>
                  <w:r>
                    <w:rPr>
                      <w:rFonts w:hint="eastAsia"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月</w:t>
                  </w:r>
                </w:p>
              </w:tc>
              <w:tc>
                <w:tcPr>
                  <w:tcW w:w="690" w:type="dxa"/>
                  <w:shd w:val="clear" w:color="auto" w:fill="auto"/>
                  <w:noWrap w:val="0"/>
                  <w:vAlign w:val="center"/>
                </w:tcPr>
                <w:p w14:paraId="2EFCCE52">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州河水系</w:t>
                  </w:r>
                </w:p>
              </w:tc>
              <w:tc>
                <w:tcPr>
                  <w:tcW w:w="698" w:type="dxa"/>
                  <w:shd w:val="clear" w:color="auto" w:fill="auto"/>
                  <w:noWrap w:val="0"/>
                  <w:vAlign w:val="center"/>
                </w:tcPr>
                <w:p w14:paraId="1C4B9279">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东柳河</w:t>
                  </w:r>
                </w:p>
              </w:tc>
              <w:tc>
                <w:tcPr>
                  <w:tcW w:w="821" w:type="dxa"/>
                  <w:shd w:val="clear" w:color="auto" w:fill="auto"/>
                  <w:noWrap w:val="0"/>
                  <w:vAlign w:val="center"/>
                </w:tcPr>
                <w:p w14:paraId="06818602">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墩子河</w:t>
                  </w:r>
                </w:p>
              </w:tc>
              <w:tc>
                <w:tcPr>
                  <w:tcW w:w="1846" w:type="dxa"/>
                  <w:shd w:val="clear" w:color="auto" w:fill="auto"/>
                  <w:noWrap w:val="0"/>
                  <w:vAlign w:val="center"/>
                </w:tcPr>
                <w:p w14:paraId="1DEE089F">
                  <w:pPr>
                    <w:spacing w:line="240" w:lineRule="auto"/>
                    <w:ind w:firstLine="0" w:firstLineChars="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县界</w:t>
                  </w:r>
                </w:p>
                <w:p w14:paraId="3BC118A6">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（大竹县→渠县）</w:t>
                  </w:r>
                </w:p>
              </w:tc>
              <w:tc>
                <w:tcPr>
                  <w:tcW w:w="1074" w:type="dxa"/>
                  <w:shd w:val="clear" w:color="auto" w:fill="auto"/>
                  <w:noWrap w:val="0"/>
                  <w:vAlign w:val="center"/>
                </w:tcPr>
                <w:p w14:paraId="4D94C669">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省控考核评价</w:t>
                  </w:r>
                </w:p>
              </w:tc>
              <w:tc>
                <w:tcPr>
                  <w:tcW w:w="804" w:type="dxa"/>
                  <w:shd w:val="clear" w:color="auto" w:fill="auto"/>
                  <w:noWrap w:val="0"/>
                  <w:vAlign w:val="center"/>
                </w:tcPr>
                <w:p w14:paraId="482BBE9B">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Ⅲ</w:t>
                  </w:r>
                </w:p>
              </w:tc>
              <w:tc>
                <w:tcPr>
                  <w:tcW w:w="791" w:type="dxa"/>
                  <w:shd w:val="clear" w:color="auto" w:fill="auto"/>
                  <w:noWrap w:val="0"/>
                  <w:vAlign w:val="center"/>
                </w:tcPr>
                <w:p w14:paraId="13121C0D">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Ⅲ</w:t>
                  </w:r>
                </w:p>
              </w:tc>
              <w:tc>
                <w:tcPr>
                  <w:tcW w:w="663" w:type="dxa"/>
                  <w:shd w:val="clear" w:color="auto" w:fill="auto"/>
                  <w:noWrap w:val="0"/>
                  <w:vAlign w:val="center"/>
                </w:tcPr>
                <w:p w14:paraId="2DCACAB8">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Ⅲ</w:t>
                  </w:r>
                </w:p>
              </w:tc>
            </w:tr>
            <w:tr w14:paraId="7110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41" w:type="dxa"/>
                  <w:noWrap w:val="0"/>
                  <w:vAlign w:val="center"/>
                </w:tcPr>
                <w:p w14:paraId="3D0F2F69">
                  <w:pPr>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970" w:type="dxa"/>
                  <w:shd w:val="clear" w:color="auto" w:fill="auto"/>
                  <w:noWrap w:val="0"/>
                  <w:vAlign w:val="center"/>
                </w:tcPr>
                <w:p w14:paraId="36C13E9E">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202</w:t>
                  </w:r>
                  <w:r>
                    <w:rPr>
                      <w:rFonts w:hint="eastAsia"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年</w:t>
                  </w:r>
                  <w:r>
                    <w:rPr>
                      <w:rFonts w:hint="eastAsia" w:ascii="Times New Roman" w:hAnsi="Times New Roman" w:eastAsia="宋体" w:cs="Times New Roman"/>
                      <w:color w:val="auto"/>
                      <w:sz w:val="21"/>
                      <w:szCs w:val="21"/>
                      <w:highlight w:val="none"/>
                      <w:vertAlign w:val="baseline"/>
                      <w:lang w:val="en-US" w:eastAsia="zh-CN"/>
                    </w:rPr>
                    <w:t>2</w:t>
                  </w:r>
                  <w:r>
                    <w:rPr>
                      <w:rFonts w:hint="default" w:ascii="Times New Roman" w:hAnsi="Times New Roman" w:eastAsia="宋体" w:cs="Times New Roman"/>
                      <w:color w:val="auto"/>
                      <w:sz w:val="21"/>
                      <w:szCs w:val="21"/>
                      <w:highlight w:val="none"/>
                      <w:vertAlign w:val="baseline"/>
                      <w:lang w:val="en-US" w:eastAsia="zh-CN"/>
                    </w:rPr>
                    <w:t>月</w:t>
                  </w:r>
                </w:p>
              </w:tc>
              <w:tc>
                <w:tcPr>
                  <w:tcW w:w="690" w:type="dxa"/>
                  <w:shd w:val="clear" w:color="auto" w:fill="auto"/>
                  <w:noWrap w:val="0"/>
                  <w:vAlign w:val="center"/>
                </w:tcPr>
                <w:p w14:paraId="54DB150F">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州河水系</w:t>
                  </w:r>
                </w:p>
              </w:tc>
              <w:tc>
                <w:tcPr>
                  <w:tcW w:w="698" w:type="dxa"/>
                  <w:shd w:val="clear" w:color="auto" w:fill="auto"/>
                  <w:noWrap w:val="0"/>
                  <w:vAlign w:val="center"/>
                </w:tcPr>
                <w:p w14:paraId="4A2C4FE7">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东柳河</w:t>
                  </w:r>
                </w:p>
              </w:tc>
              <w:tc>
                <w:tcPr>
                  <w:tcW w:w="821" w:type="dxa"/>
                  <w:shd w:val="clear" w:color="auto" w:fill="auto"/>
                  <w:noWrap w:val="0"/>
                  <w:vAlign w:val="center"/>
                </w:tcPr>
                <w:p w14:paraId="1F4B167F">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墩子河</w:t>
                  </w:r>
                </w:p>
              </w:tc>
              <w:tc>
                <w:tcPr>
                  <w:tcW w:w="1846" w:type="dxa"/>
                  <w:shd w:val="clear" w:color="auto" w:fill="auto"/>
                  <w:noWrap w:val="0"/>
                  <w:vAlign w:val="center"/>
                </w:tcPr>
                <w:p w14:paraId="1B18D2FC">
                  <w:pPr>
                    <w:spacing w:line="240" w:lineRule="auto"/>
                    <w:ind w:firstLine="0" w:firstLineChars="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县界</w:t>
                  </w:r>
                </w:p>
                <w:p w14:paraId="44145893">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（大竹县→渠县）</w:t>
                  </w:r>
                </w:p>
              </w:tc>
              <w:tc>
                <w:tcPr>
                  <w:tcW w:w="1074" w:type="dxa"/>
                  <w:shd w:val="clear" w:color="auto" w:fill="auto"/>
                  <w:noWrap w:val="0"/>
                  <w:vAlign w:val="center"/>
                </w:tcPr>
                <w:p w14:paraId="6018CD5C">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省控考核评价</w:t>
                  </w:r>
                </w:p>
              </w:tc>
              <w:tc>
                <w:tcPr>
                  <w:tcW w:w="804" w:type="dxa"/>
                  <w:shd w:val="clear" w:color="auto" w:fill="auto"/>
                  <w:noWrap w:val="0"/>
                  <w:vAlign w:val="center"/>
                </w:tcPr>
                <w:p w14:paraId="00173D68">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Ⅲ</w:t>
                  </w:r>
                </w:p>
              </w:tc>
              <w:tc>
                <w:tcPr>
                  <w:tcW w:w="791" w:type="dxa"/>
                  <w:shd w:val="clear" w:color="auto" w:fill="auto"/>
                  <w:noWrap w:val="0"/>
                  <w:vAlign w:val="center"/>
                </w:tcPr>
                <w:p w14:paraId="0BE9E836">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Ⅲ</w:t>
                  </w:r>
                </w:p>
              </w:tc>
              <w:tc>
                <w:tcPr>
                  <w:tcW w:w="663" w:type="dxa"/>
                  <w:shd w:val="clear" w:color="auto" w:fill="auto"/>
                  <w:noWrap w:val="0"/>
                  <w:vAlign w:val="center"/>
                </w:tcPr>
                <w:p w14:paraId="3440291A">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Ⅲ</w:t>
                  </w:r>
                </w:p>
              </w:tc>
            </w:tr>
            <w:tr w14:paraId="5490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1" w:type="dxa"/>
                  <w:noWrap w:val="0"/>
                  <w:vAlign w:val="center"/>
                </w:tcPr>
                <w:p w14:paraId="72DE87F2">
                  <w:pPr>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970" w:type="dxa"/>
                  <w:shd w:val="clear" w:color="auto" w:fill="auto"/>
                  <w:noWrap w:val="0"/>
                  <w:vAlign w:val="center"/>
                </w:tcPr>
                <w:p w14:paraId="49E7A683">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202</w:t>
                  </w:r>
                  <w:r>
                    <w:rPr>
                      <w:rFonts w:hint="eastAsia"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年</w:t>
                  </w:r>
                  <w:r>
                    <w:rPr>
                      <w:rFonts w:hint="eastAsia" w:ascii="Times New Roman" w:hAnsi="Times New Roman" w:eastAsia="宋体" w:cs="Times New Roman"/>
                      <w:color w:val="auto"/>
                      <w:sz w:val="21"/>
                      <w:szCs w:val="21"/>
                      <w:highlight w:val="none"/>
                      <w:vertAlign w:val="baseline"/>
                      <w:lang w:val="en-US" w:eastAsia="zh-CN"/>
                    </w:rPr>
                    <w:t>3</w:t>
                  </w:r>
                  <w:r>
                    <w:rPr>
                      <w:rFonts w:hint="default" w:ascii="Times New Roman" w:hAnsi="Times New Roman" w:eastAsia="宋体" w:cs="Times New Roman"/>
                      <w:color w:val="auto"/>
                      <w:sz w:val="21"/>
                      <w:szCs w:val="21"/>
                      <w:highlight w:val="none"/>
                      <w:vertAlign w:val="baseline"/>
                      <w:lang w:val="en-US" w:eastAsia="zh-CN"/>
                    </w:rPr>
                    <w:t>月</w:t>
                  </w:r>
                </w:p>
              </w:tc>
              <w:tc>
                <w:tcPr>
                  <w:tcW w:w="690" w:type="dxa"/>
                  <w:shd w:val="clear" w:color="auto" w:fill="auto"/>
                  <w:noWrap w:val="0"/>
                  <w:vAlign w:val="center"/>
                </w:tcPr>
                <w:p w14:paraId="2A280F08">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州河水系</w:t>
                  </w:r>
                </w:p>
              </w:tc>
              <w:tc>
                <w:tcPr>
                  <w:tcW w:w="698" w:type="dxa"/>
                  <w:shd w:val="clear" w:color="auto" w:fill="auto"/>
                  <w:noWrap w:val="0"/>
                  <w:vAlign w:val="center"/>
                </w:tcPr>
                <w:p w14:paraId="535B7178">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东柳河</w:t>
                  </w:r>
                </w:p>
              </w:tc>
              <w:tc>
                <w:tcPr>
                  <w:tcW w:w="821" w:type="dxa"/>
                  <w:shd w:val="clear" w:color="auto" w:fill="auto"/>
                  <w:noWrap w:val="0"/>
                  <w:vAlign w:val="center"/>
                </w:tcPr>
                <w:p w14:paraId="79B83979">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墩子河</w:t>
                  </w:r>
                </w:p>
              </w:tc>
              <w:tc>
                <w:tcPr>
                  <w:tcW w:w="1846" w:type="dxa"/>
                  <w:shd w:val="clear" w:color="auto" w:fill="auto"/>
                  <w:noWrap w:val="0"/>
                  <w:vAlign w:val="center"/>
                </w:tcPr>
                <w:p w14:paraId="147CACAC">
                  <w:pPr>
                    <w:spacing w:line="240" w:lineRule="auto"/>
                    <w:ind w:firstLine="0" w:firstLineChars="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县界</w:t>
                  </w:r>
                </w:p>
                <w:p w14:paraId="26D24803">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（大竹县→渠县）</w:t>
                  </w:r>
                </w:p>
              </w:tc>
              <w:tc>
                <w:tcPr>
                  <w:tcW w:w="1074" w:type="dxa"/>
                  <w:shd w:val="clear" w:color="auto" w:fill="auto"/>
                  <w:noWrap w:val="0"/>
                  <w:vAlign w:val="center"/>
                </w:tcPr>
                <w:p w14:paraId="1622C541">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省控考核评价</w:t>
                  </w:r>
                </w:p>
              </w:tc>
              <w:tc>
                <w:tcPr>
                  <w:tcW w:w="804" w:type="dxa"/>
                  <w:shd w:val="clear" w:color="auto" w:fill="auto"/>
                  <w:noWrap w:val="0"/>
                  <w:vAlign w:val="center"/>
                </w:tcPr>
                <w:p w14:paraId="4511FF55">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Ⅲ</w:t>
                  </w:r>
                </w:p>
              </w:tc>
              <w:tc>
                <w:tcPr>
                  <w:tcW w:w="791" w:type="dxa"/>
                  <w:shd w:val="clear" w:color="auto" w:fill="auto"/>
                  <w:noWrap w:val="0"/>
                  <w:vAlign w:val="center"/>
                </w:tcPr>
                <w:p w14:paraId="2983FBD6">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Ⅲ</w:t>
                  </w:r>
                </w:p>
              </w:tc>
              <w:tc>
                <w:tcPr>
                  <w:tcW w:w="663" w:type="dxa"/>
                  <w:shd w:val="clear" w:color="auto" w:fill="auto"/>
                  <w:noWrap w:val="0"/>
                  <w:vAlign w:val="center"/>
                </w:tcPr>
                <w:p w14:paraId="5E21C955">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Ⅲ</w:t>
                  </w:r>
                </w:p>
              </w:tc>
            </w:tr>
            <w:tr w14:paraId="65E9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41" w:type="dxa"/>
                  <w:noWrap w:val="0"/>
                  <w:vAlign w:val="center"/>
                </w:tcPr>
                <w:p w14:paraId="77E2F06F">
                  <w:pPr>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970" w:type="dxa"/>
                  <w:shd w:val="clear" w:color="auto" w:fill="auto"/>
                  <w:noWrap w:val="0"/>
                  <w:vAlign w:val="center"/>
                </w:tcPr>
                <w:p w14:paraId="162CCDCD">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202</w:t>
                  </w:r>
                  <w:r>
                    <w:rPr>
                      <w:rFonts w:hint="eastAsia"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年</w:t>
                  </w:r>
                  <w:r>
                    <w:rPr>
                      <w:rFonts w:hint="eastAsia" w:ascii="Times New Roman" w:hAnsi="Times New Roman" w:eastAsia="宋体" w:cs="Times New Roman"/>
                      <w:color w:val="auto"/>
                      <w:sz w:val="21"/>
                      <w:szCs w:val="21"/>
                      <w:highlight w:val="none"/>
                      <w:vertAlign w:val="baseline"/>
                      <w:lang w:val="en-US" w:eastAsia="zh-CN"/>
                    </w:rPr>
                    <w:t>4</w:t>
                  </w:r>
                  <w:r>
                    <w:rPr>
                      <w:rFonts w:hint="default" w:ascii="Times New Roman" w:hAnsi="Times New Roman" w:eastAsia="宋体" w:cs="Times New Roman"/>
                      <w:color w:val="auto"/>
                      <w:sz w:val="21"/>
                      <w:szCs w:val="21"/>
                      <w:highlight w:val="none"/>
                      <w:vertAlign w:val="baseline"/>
                      <w:lang w:val="en-US" w:eastAsia="zh-CN"/>
                    </w:rPr>
                    <w:t>月</w:t>
                  </w:r>
                </w:p>
              </w:tc>
              <w:tc>
                <w:tcPr>
                  <w:tcW w:w="690" w:type="dxa"/>
                  <w:shd w:val="clear" w:color="auto" w:fill="auto"/>
                  <w:noWrap w:val="0"/>
                  <w:vAlign w:val="center"/>
                </w:tcPr>
                <w:p w14:paraId="12E6DBD4">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州河水系</w:t>
                  </w:r>
                </w:p>
              </w:tc>
              <w:tc>
                <w:tcPr>
                  <w:tcW w:w="698" w:type="dxa"/>
                  <w:shd w:val="clear" w:color="auto" w:fill="auto"/>
                  <w:noWrap w:val="0"/>
                  <w:vAlign w:val="center"/>
                </w:tcPr>
                <w:p w14:paraId="1F5784ED">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东柳河</w:t>
                  </w:r>
                </w:p>
              </w:tc>
              <w:tc>
                <w:tcPr>
                  <w:tcW w:w="821" w:type="dxa"/>
                  <w:shd w:val="clear" w:color="auto" w:fill="auto"/>
                  <w:noWrap w:val="0"/>
                  <w:vAlign w:val="center"/>
                </w:tcPr>
                <w:p w14:paraId="6F812462">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墩子河</w:t>
                  </w:r>
                </w:p>
              </w:tc>
              <w:tc>
                <w:tcPr>
                  <w:tcW w:w="1846" w:type="dxa"/>
                  <w:shd w:val="clear" w:color="auto" w:fill="auto"/>
                  <w:noWrap w:val="0"/>
                  <w:vAlign w:val="center"/>
                </w:tcPr>
                <w:p w14:paraId="137283A6">
                  <w:pPr>
                    <w:spacing w:line="240" w:lineRule="auto"/>
                    <w:ind w:firstLine="0" w:firstLineChars="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县界</w:t>
                  </w:r>
                </w:p>
                <w:p w14:paraId="60EF7F64">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（大竹县→渠县）</w:t>
                  </w:r>
                </w:p>
              </w:tc>
              <w:tc>
                <w:tcPr>
                  <w:tcW w:w="1074" w:type="dxa"/>
                  <w:shd w:val="clear" w:color="auto" w:fill="auto"/>
                  <w:noWrap w:val="0"/>
                  <w:vAlign w:val="center"/>
                </w:tcPr>
                <w:p w14:paraId="0336BC56">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省控考核评价</w:t>
                  </w:r>
                </w:p>
              </w:tc>
              <w:tc>
                <w:tcPr>
                  <w:tcW w:w="804" w:type="dxa"/>
                  <w:shd w:val="clear" w:color="auto" w:fill="auto"/>
                  <w:noWrap w:val="0"/>
                  <w:vAlign w:val="center"/>
                </w:tcPr>
                <w:p w14:paraId="7B5AAA9B">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Ⅲ</w:t>
                  </w:r>
                </w:p>
              </w:tc>
              <w:tc>
                <w:tcPr>
                  <w:tcW w:w="791" w:type="dxa"/>
                  <w:shd w:val="clear" w:color="auto" w:fill="auto"/>
                  <w:noWrap w:val="0"/>
                  <w:vAlign w:val="center"/>
                </w:tcPr>
                <w:p w14:paraId="00EEA648">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Ⅲ</w:t>
                  </w:r>
                </w:p>
              </w:tc>
              <w:tc>
                <w:tcPr>
                  <w:tcW w:w="663" w:type="dxa"/>
                  <w:shd w:val="clear" w:color="auto" w:fill="auto"/>
                  <w:noWrap w:val="0"/>
                  <w:vAlign w:val="center"/>
                </w:tcPr>
                <w:p w14:paraId="29024B12">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Ⅲ</w:t>
                  </w:r>
                </w:p>
              </w:tc>
            </w:tr>
            <w:tr w14:paraId="18BFF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641" w:type="dxa"/>
                  <w:noWrap w:val="0"/>
                  <w:vAlign w:val="center"/>
                </w:tcPr>
                <w:p w14:paraId="27EB73D5">
                  <w:pPr>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w:t>
                  </w:r>
                </w:p>
              </w:tc>
              <w:tc>
                <w:tcPr>
                  <w:tcW w:w="970" w:type="dxa"/>
                  <w:shd w:val="clear" w:color="auto" w:fill="auto"/>
                  <w:noWrap w:val="0"/>
                  <w:vAlign w:val="center"/>
                </w:tcPr>
                <w:p w14:paraId="1729F1AD">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202</w:t>
                  </w:r>
                  <w:r>
                    <w:rPr>
                      <w:rFonts w:hint="eastAsia"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年</w:t>
                  </w:r>
                  <w:r>
                    <w:rPr>
                      <w:rFonts w:hint="eastAsia" w:cs="Times New Roman"/>
                      <w:color w:val="auto"/>
                      <w:sz w:val="21"/>
                      <w:szCs w:val="21"/>
                      <w:highlight w:val="none"/>
                      <w:vertAlign w:val="baseline"/>
                      <w:lang w:val="en-US" w:eastAsia="zh-CN"/>
                    </w:rPr>
                    <w:t>5</w:t>
                  </w:r>
                  <w:r>
                    <w:rPr>
                      <w:rFonts w:hint="default" w:ascii="Times New Roman" w:hAnsi="Times New Roman" w:eastAsia="宋体" w:cs="Times New Roman"/>
                      <w:color w:val="auto"/>
                      <w:sz w:val="21"/>
                      <w:szCs w:val="21"/>
                      <w:highlight w:val="none"/>
                      <w:vertAlign w:val="baseline"/>
                      <w:lang w:val="en-US" w:eastAsia="zh-CN"/>
                    </w:rPr>
                    <w:t>月</w:t>
                  </w:r>
                </w:p>
              </w:tc>
              <w:tc>
                <w:tcPr>
                  <w:tcW w:w="690" w:type="dxa"/>
                  <w:shd w:val="clear" w:color="auto" w:fill="auto"/>
                  <w:noWrap w:val="0"/>
                  <w:vAlign w:val="center"/>
                </w:tcPr>
                <w:p w14:paraId="4D4F512F">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州河水系</w:t>
                  </w:r>
                </w:p>
              </w:tc>
              <w:tc>
                <w:tcPr>
                  <w:tcW w:w="698" w:type="dxa"/>
                  <w:shd w:val="clear" w:color="auto" w:fill="auto"/>
                  <w:noWrap w:val="0"/>
                  <w:vAlign w:val="center"/>
                </w:tcPr>
                <w:p w14:paraId="773C6005">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东柳河</w:t>
                  </w:r>
                </w:p>
              </w:tc>
              <w:tc>
                <w:tcPr>
                  <w:tcW w:w="821" w:type="dxa"/>
                  <w:shd w:val="clear" w:color="auto" w:fill="auto"/>
                  <w:noWrap w:val="0"/>
                  <w:vAlign w:val="center"/>
                </w:tcPr>
                <w:p w14:paraId="7828838E">
                  <w:pPr>
                    <w:spacing w:line="240" w:lineRule="auto"/>
                    <w:ind w:firstLine="0" w:firstLineChars="0"/>
                    <w:jc w:val="center"/>
                    <w:rPr>
                      <w:rFonts w:hint="eastAsia" w:ascii="Times New Roman" w:hAnsi="Times New Roman" w:eastAsia="宋体" w:cs="Times New Roman"/>
                      <w:snapToGrid w:val="0"/>
                      <w:color w:val="auto"/>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墩子河</w:t>
                  </w:r>
                </w:p>
              </w:tc>
              <w:tc>
                <w:tcPr>
                  <w:tcW w:w="1846" w:type="dxa"/>
                  <w:shd w:val="clear" w:color="auto" w:fill="auto"/>
                  <w:noWrap w:val="0"/>
                  <w:vAlign w:val="center"/>
                </w:tcPr>
                <w:p w14:paraId="5EB759B6">
                  <w:pPr>
                    <w:spacing w:line="240" w:lineRule="auto"/>
                    <w:ind w:firstLine="0" w:firstLineChars="0"/>
                    <w:jc w:val="center"/>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县界</w:t>
                  </w:r>
                </w:p>
                <w:p w14:paraId="1BD88704">
                  <w:pPr>
                    <w:spacing w:line="240" w:lineRule="auto"/>
                    <w:ind w:firstLine="0" w:firstLineChars="0"/>
                    <w:jc w:val="center"/>
                    <w:rPr>
                      <w:rFonts w:hint="eastAsia" w:ascii="Times New Roman" w:hAnsi="Times New Roman" w:eastAsia="宋体" w:cs="Times New Roman"/>
                      <w:snapToGrid w:val="0"/>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（大竹县→渠县）</w:t>
                  </w:r>
                </w:p>
              </w:tc>
              <w:tc>
                <w:tcPr>
                  <w:tcW w:w="1074" w:type="dxa"/>
                  <w:shd w:val="clear" w:color="auto" w:fill="auto"/>
                  <w:noWrap w:val="0"/>
                  <w:vAlign w:val="center"/>
                </w:tcPr>
                <w:p w14:paraId="1D3A6D62">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省控考核评价</w:t>
                  </w:r>
                </w:p>
              </w:tc>
              <w:tc>
                <w:tcPr>
                  <w:tcW w:w="804" w:type="dxa"/>
                  <w:shd w:val="clear" w:color="auto" w:fill="auto"/>
                  <w:noWrap w:val="0"/>
                  <w:vAlign w:val="center"/>
                </w:tcPr>
                <w:p w14:paraId="4FC11E4B">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Ⅲ</w:t>
                  </w:r>
                </w:p>
              </w:tc>
              <w:tc>
                <w:tcPr>
                  <w:tcW w:w="791" w:type="dxa"/>
                  <w:shd w:val="clear" w:color="auto" w:fill="auto"/>
                  <w:noWrap w:val="0"/>
                  <w:vAlign w:val="center"/>
                </w:tcPr>
                <w:p w14:paraId="2C72D57D">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Ⅲ</w:t>
                  </w:r>
                </w:p>
              </w:tc>
              <w:tc>
                <w:tcPr>
                  <w:tcW w:w="663" w:type="dxa"/>
                  <w:shd w:val="clear" w:color="auto" w:fill="auto"/>
                  <w:noWrap w:val="0"/>
                  <w:vAlign w:val="center"/>
                </w:tcPr>
                <w:p w14:paraId="572D2D6B">
                  <w:pPr>
                    <w:spacing w:line="240" w:lineRule="auto"/>
                    <w:ind w:firstLine="0" w:firstLineChars="0"/>
                    <w:jc w:val="center"/>
                    <w:rPr>
                      <w:rFonts w:hint="default" w:ascii="Times New Roman" w:hAnsi="Times New Roman" w:eastAsia="宋体" w:cs="Times New Roman"/>
                      <w:snapToGrid w:val="0"/>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Ⅲ</w:t>
                  </w:r>
                </w:p>
              </w:tc>
            </w:tr>
          </w:tbl>
          <w:p w14:paraId="73978B18">
            <w:pPr>
              <w:widowControl/>
              <w:wordWrap w:val="0"/>
              <w:ind w:firstLine="480"/>
              <w:rPr>
                <w:rFonts w:hint="default" w:ascii="Times New Roman" w:hAnsi="Times New Roman" w:cs="Times New Roman"/>
                <w:color w:val="auto"/>
                <w:highlight w:val="none"/>
                <w:shd w:val="clear" w:color="auto" w:fill="FFFFFF"/>
                <w:lang w:bidi="ar"/>
              </w:rPr>
            </w:pPr>
            <w:r>
              <w:rPr>
                <w:rFonts w:hint="default" w:ascii="Times New Roman" w:hAnsi="Times New Roman" w:cs="Times New Roman"/>
                <w:color w:val="auto"/>
                <w:highlight w:val="none"/>
                <w:shd w:val="clear" w:color="auto" w:fill="FFFFFF"/>
                <w:lang w:bidi="ar"/>
              </w:rPr>
              <w:t>根据监测结果，</w:t>
            </w:r>
            <w:r>
              <w:rPr>
                <w:rFonts w:hint="default" w:ascii="Times New Roman" w:hAnsi="Times New Roman" w:cs="Times New Roman"/>
                <w:color w:val="auto"/>
                <w:highlight w:val="none"/>
                <w:shd w:val="clear" w:color="auto" w:fill="FFFFFF"/>
                <w:lang w:val="en-US" w:eastAsia="zh-CN" w:bidi="ar"/>
              </w:rPr>
              <w:t>项目区域地表水</w:t>
            </w:r>
            <w:r>
              <w:rPr>
                <w:rFonts w:hint="eastAsia"/>
                <w:color w:val="auto"/>
                <w:sz w:val="24"/>
                <w:highlight w:val="none"/>
              </w:rPr>
              <w:t>东柳河-墩子河</w:t>
            </w:r>
            <w:r>
              <w:rPr>
                <w:rFonts w:hint="default" w:ascii="Times New Roman" w:hAnsi="Times New Roman" w:cs="Times New Roman"/>
                <w:color w:val="auto"/>
                <w:highlight w:val="none"/>
                <w:shd w:val="clear" w:color="auto" w:fill="FFFFFF"/>
                <w:lang w:val="en-US" w:eastAsia="zh-CN" w:bidi="ar"/>
              </w:rPr>
              <w:t>监测</w:t>
            </w:r>
            <w:r>
              <w:rPr>
                <w:rFonts w:hint="default" w:ascii="Times New Roman" w:hAnsi="Times New Roman" w:cs="Times New Roman"/>
                <w:color w:val="auto"/>
                <w:highlight w:val="none"/>
                <w:shd w:val="clear" w:color="auto" w:fill="FFFFFF"/>
                <w:lang w:bidi="ar"/>
              </w:rPr>
              <w:t>断面</w:t>
            </w:r>
            <w:r>
              <w:rPr>
                <w:rFonts w:hint="default" w:ascii="Times New Roman" w:hAnsi="Times New Roman" w:cs="Times New Roman"/>
                <w:color w:val="auto"/>
                <w:highlight w:val="none"/>
                <w:shd w:val="clear" w:color="auto" w:fill="FFFFFF"/>
                <w:lang w:val="en-US" w:eastAsia="zh-CN" w:bidi="ar"/>
              </w:rPr>
              <w:t>水质能</w:t>
            </w:r>
            <w:r>
              <w:rPr>
                <w:rFonts w:hint="default" w:ascii="Times New Roman" w:hAnsi="Times New Roman" w:cs="Times New Roman"/>
                <w:color w:val="auto"/>
                <w:highlight w:val="none"/>
                <w:shd w:val="clear" w:color="auto" w:fill="FFFFFF"/>
                <w:lang w:bidi="ar"/>
              </w:rPr>
              <w:t>满足《地表水环境质量标准》（GB3838-2002）中Ⅲ类水域标准要求。</w:t>
            </w:r>
          </w:p>
          <w:p w14:paraId="12BEB121">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3.4.3 声环境质量现状</w:t>
            </w:r>
          </w:p>
          <w:p w14:paraId="43E16FE7">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为了解本项目周边环境现状，本次评价委托达州恒福环境监测服务有限公司于</w:t>
            </w:r>
            <w:r>
              <w:rPr>
                <w:rFonts w:hint="eastAsia" w:cs="Times New Roman"/>
                <w:bCs w:val="0"/>
                <w:color w:val="auto"/>
                <w:szCs w:val="22"/>
                <w:highlight w:val="none"/>
                <w:lang w:eastAsia="zh-CN"/>
              </w:rPr>
              <w:t>2025年2月21日、</w:t>
            </w:r>
            <w:r>
              <w:rPr>
                <w:rFonts w:hint="eastAsia" w:cs="Times New Roman"/>
                <w:bCs w:val="0"/>
                <w:color w:val="auto"/>
                <w:szCs w:val="22"/>
                <w:highlight w:val="none"/>
                <w:lang w:val="en-US" w:eastAsia="zh-CN"/>
              </w:rPr>
              <w:t>22日</w:t>
            </w:r>
            <w:r>
              <w:rPr>
                <w:rFonts w:hint="default" w:ascii="Times New Roman" w:hAnsi="Times New Roman" w:cs="Times New Roman"/>
                <w:bCs w:val="0"/>
                <w:color w:val="auto"/>
                <w:szCs w:val="22"/>
                <w:highlight w:val="none"/>
              </w:rPr>
              <w:t>对</w:t>
            </w:r>
            <w:r>
              <w:rPr>
                <w:rFonts w:hint="eastAsia"/>
                <w:color w:val="auto"/>
                <w:kern w:val="0"/>
                <w:sz w:val="24"/>
                <w:highlight w:val="none"/>
              </w:rPr>
              <w:t>本项目各工程河段沿线代表性居民点周边昼、夜间等效声级进行了环境质量现状监测</w:t>
            </w:r>
            <w:r>
              <w:rPr>
                <w:rFonts w:hint="eastAsia" w:cs="Times New Roman"/>
                <w:bCs w:val="0"/>
                <w:color w:val="auto"/>
                <w:szCs w:val="22"/>
                <w:highlight w:val="none"/>
                <w:lang w:eastAsia="zh-CN"/>
              </w:rPr>
              <w:t>。</w:t>
            </w:r>
            <w:r>
              <w:rPr>
                <w:rFonts w:hint="eastAsia" w:cs="Times New Roman"/>
                <w:bCs w:val="0"/>
                <w:color w:val="auto"/>
                <w:szCs w:val="22"/>
                <w:highlight w:val="none"/>
                <w:lang w:val="en-US" w:eastAsia="zh-CN"/>
              </w:rPr>
              <w:t>检测</w:t>
            </w:r>
            <w:r>
              <w:rPr>
                <w:rFonts w:hint="default" w:ascii="Times New Roman" w:hAnsi="Times New Roman" w:cs="Times New Roman"/>
                <w:bCs w:val="0"/>
                <w:color w:val="auto"/>
                <w:szCs w:val="22"/>
                <w:highlight w:val="none"/>
              </w:rPr>
              <w:t>报告详见附件</w:t>
            </w:r>
            <w:r>
              <w:rPr>
                <w:rFonts w:hint="eastAsia" w:cs="Times New Roman"/>
                <w:bCs w:val="0"/>
                <w:color w:val="auto"/>
                <w:szCs w:val="22"/>
                <w:highlight w:val="none"/>
                <w:lang w:val="en-US" w:eastAsia="zh-CN"/>
              </w:rPr>
              <w:t>2</w:t>
            </w:r>
            <w:r>
              <w:rPr>
                <w:rFonts w:hint="default" w:ascii="Times New Roman" w:hAnsi="Times New Roman" w:cs="Times New Roman"/>
                <w:bCs w:val="0"/>
                <w:color w:val="auto"/>
                <w:szCs w:val="22"/>
                <w:highlight w:val="none"/>
              </w:rPr>
              <w:t>。</w:t>
            </w:r>
          </w:p>
          <w:p w14:paraId="16B52455">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（1）监测布点</w:t>
            </w:r>
          </w:p>
          <w:p w14:paraId="0C603CB9">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本次评价在项目区共设置了</w:t>
            </w:r>
            <w:r>
              <w:rPr>
                <w:rFonts w:hint="eastAsia" w:cs="Times New Roman"/>
                <w:bCs w:val="0"/>
                <w:color w:val="auto"/>
                <w:szCs w:val="22"/>
                <w:highlight w:val="none"/>
                <w:lang w:val="en-US" w:eastAsia="zh-CN"/>
              </w:rPr>
              <w:t>18</w:t>
            </w:r>
            <w:r>
              <w:rPr>
                <w:rFonts w:hint="default" w:ascii="Times New Roman" w:hAnsi="Times New Roman" w:cs="Times New Roman"/>
                <w:bCs w:val="0"/>
                <w:color w:val="auto"/>
                <w:szCs w:val="22"/>
                <w:highlight w:val="none"/>
              </w:rPr>
              <w:t>个噪声监测点，详见表3.4-3。</w:t>
            </w:r>
          </w:p>
          <w:p w14:paraId="61E418C1">
            <w:pPr>
              <w:pStyle w:val="34"/>
              <w:spacing w:line="360" w:lineRule="auto"/>
              <w:ind w:firstLine="0" w:firstLineChars="0"/>
              <w:jc w:val="center"/>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表3.4-3 噪声监测布点情况</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3786"/>
              <w:gridCol w:w="1131"/>
              <w:gridCol w:w="1237"/>
              <w:gridCol w:w="1614"/>
            </w:tblGrid>
            <w:tr w14:paraId="0001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noWrap w:val="0"/>
                  <w:vAlign w:val="center"/>
                </w:tcPr>
                <w:p w14:paraId="6305FAF1">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工程河段</w:t>
                  </w:r>
                </w:p>
              </w:tc>
              <w:tc>
                <w:tcPr>
                  <w:tcW w:w="2104" w:type="pct"/>
                  <w:noWrap w:val="0"/>
                  <w:vAlign w:val="center"/>
                </w:tcPr>
                <w:p w14:paraId="508AC399">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监测点位</w:t>
                  </w:r>
                </w:p>
              </w:tc>
              <w:tc>
                <w:tcPr>
                  <w:tcW w:w="629" w:type="pct"/>
                  <w:noWrap w:val="0"/>
                  <w:vAlign w:val="center"/>
                </w:tcPr>
                <w:p w14:paraId="4AFE6B6C">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监测项目</w:t>
                  </w:r>
                </w:p>
              </w:tc>
              <w:tc>
                <w:tcPr>
                  <w:tcW w:w="687" w:type="pct"/>
                  <w:noWrap w:val="0"/>
                  <w:vAlign w:val="center"/>
                </w:tcPr>
                <w:p w14:paraId="0811A0E7">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监测频率</w:t>
                  </w:r>
                </w:p>
              </w:tc>
              <w:tc>
                <w:tcPr>
                  <w:tcW w:w="897" w:type="pct"/>
                  <w:noWrap w:val="0"/>
                  <w:vAlign w:val="center"/>
                </w:tcPr>
                <w:p w14:paraId="6E4FFAB5">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执行标准</w:t>
                  </w:r>
                </w:p>
              </w:tc>
            </w:tr>
            <w:tr w14:paraId="5A0A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restart"/>
                  <w:noWrap w:val="0"/>
                  <w:vAlign w:val="center"/>
                </w:tcPr>
                <w:p w14:paraId="223844B6">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石河镇二郎、福兴段</w:t>
                  </w:r>
                </w:p>
              </w:tc>
              <w:tc>
                <w:tcPr>
                  <w:tcW w:w="2104" w:type="pct"/>
                  <w:shd w:val="clear" w:color="auto" w:fill="auto"/>
                  <w:noWrap w:val="0"/>
                  <w:vAlign w:val="center"/>
                </w:tcPr>
                <w:p w14:paraId="3C10DF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N1，二郎段起点</w:t>
                  </w:r>
                </w:p>
              </w:tc>
              <w:tc>
                <w:tcPr>
                  <w:tcW w:w="629" w:type="pct"/>
                  <w:vMerge w:val="restart"/>
                  <w:noWrap w:val="0"/>
                  <w:vAlign w:val="center"/>
                </w:tcPr>
                <w:p w14:paraId="7366FDB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等效连续A声级</w:t>
                  </w:r>
                </w:p>
              </w:tc>
              <w:tc>
                <w:tcPr>
                  <w:tcW w:w="687" w:type="pct"/>
                  <w:vMerge w:val="restart"/>
                  <w:noWrap w:val="0"/>
                  <w:vAlign w:val="center"/>
                </w:tcPr>
                <w:p w14:paraId="10715875">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监测1天，昼、夜各一次</w:t>
                  </w:r>
                </w:p>
              </w:tc>
              <w:tc>
                <w:tcPr>
                  <w:tcW w:w="897" w:type="pct"/>
                  <w:vMerge w:val="restart"/>
                  <w:noWrap w:val="0"/>
                  <w:vAlign w:val="center"/>
                </w:tcPr>
                <w:p w14:paraId="34131AF6">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《声环境质量标准》（GB3096-2008）中2类标准</w:t>
                  </w:r>
                </w:p>
              </w:tc>
            </w:tr>
            <w:tr w14:paraId="0879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continue"/>
                  <w:noWrap w:val="0"/>
                  <w:vAlign w:val="center"/>
                </w:tcPr>
                <w:p w14:paraId="76AE13CB">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2104" w:type="pct"/>
                  <w:shd w:val="clear" w:color="auto" w:fill="auto"/>
                  <w:noWrap w:val="0"/>
                  <w:vAlign w:val="center"/>
                </w:tcPr>
                <w:p w14:paraId="52F18B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N2，二郎段1#居民点</w:t>
                  </w:r>
                </w:p>
              </w:tc>
              <w:tc>
                <w:tcPr>
                  <w:tcW w:w="629" w:type="pct"/>
                  <w:vMerge w:val="continue"/>
                  <w:noWrap w:val="0"/>
                  <w:vAlign w:val="center"/>
                </w:tcPr>
                <w:p w14:paraId="561ABF78">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noWrap w:val="0"/>
                  <w:vAlign w:val="center"/>
                </w:tcPr>
                <w:p w14:paraId="0E7B0D7F">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noWrap w:val="0"/>
                  <w:vAlign w:val="center"/>
                </w:tcPr>
                <w:p w14:paraId="52BB8568">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123C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continue"/>
                  <w:vAlign w:val="center"/>
                </w:tcPr>
                <w:p w14:paraId="18A3C477">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val="0"/>
                      <w:color w:val="auto"/>
                      <w:sz w:val="21"/>
                      <w:szCs w:val="21"/>
                      <w:highlight w:val="none"/>
                      <w:lang w:val="en-US" w:eastAsia="zh-CN"/>
                    </w:rPr>
                  </w:pPr>
                </w:p>
              </w:tc>
              <w:tc>
                <w:tcPr>
                  <w:tcW w:w="2104" w:type="pct"/>
                  <w:shd w:val="clear" w:color="auto" w:fill="auto"/>
                  <w:vAlign w:val="center"/>
                </w:tcPr>
                <w:p w14:paraId="7F2933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，二郎段终点</w:t>
                  </w:r>
                </w:p>
              </w:tc>
              <w:tc>
                <w:tcPr>
                  <w:tcW w:w="629" w:type="pct"/>
                  <w:vMerge w:val="continue"/>
                </w:tcPr>
                <w:p w14:paraId="62027861">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tcPr>
                <w:p w14:paraId="5C29AD35">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tcPr>
                <w:p w14:paraId="44DB564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4B57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continue"/>
                  <w:vAlign w:val="center"/>
                </w:tcPr>
                <w:p w14:paraId="7294E27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val="0"/>
                      <w:color w:val="auto"/>
                      <w:sz w:val="21"/>
                      <w:szCs w:val="21"/>
                      <w:highlight w:val="none"/>
                      <w:lang w:val="en-US" w:eastAsia="zh-CN"/>
                    </w:rPr>
                  </w:pPr>
                </w:p>
              </w:tc>
              <w:tc>
                <w:tcPr>
                  <w:tcW w:w="2104" w:type="pct"/>
                  <w:shd w:val="clear" w:color="auto" w:fill="auto"/>
                  <w:vAlign w:val="center"/>
                </w:tcPr>
                <w:p w14:paraId="1EB48E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，福兴段起点</w:t>
                  </w:r>
                </w:p>
              </w:tc>
              <w:tc>
                <w:tcPr>
                  <w:tcW w:w="629" w:type="pct"/>
                  <w:vMerge w:val="continue"/>
                </w:tcPr>
                <w:p w14:paraId="570F6A63">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tcPr>
                <w:p w14:paraId="67FF8122">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tcPr>
                <w:p w14:paraId="2CC2E401">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3CF2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continue"/>
                  <w:vAlign w:val="center"/>
                </w:tcPr>
                <w:p w14:paraId="2D363449">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val="0"/>
                      <w:color w:val="auto"/>
                      <w:sz w:val="21"/>
                      <w:szCs w:val="21"/>
                      <w:highlight w:val="none"/>
                      <w:lang w:val="en-US" w:eastAsia="zh-CN"/>
                    </w:rPr>
                  </w:pPr>
                </w:p>
              </w:tc>
              <w:tc>
                <w:tcPr>
                  <w:tcW w:w="2104" w:type="pct"/>
                  <w:shd w:val="clear" w:color="auto" w:fill="auto"/>
                  <w:vAlign w:val="center"/>
                </w:tcPr>
                <w:p w14:paraId="5AD848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，福兴段2#居民点</w:t>
                  </w:r>
                </w:p>
              </w:tc>
              <w:tc>
                <w:tcPr>
                  <w:tcW w:w="629" w:type="pct"/>
                  <w:vMerge w:val="continue"/>
                </w:tcPr>
                <w:p w14:paraId="315F3F8D">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tcPr>
                <w:p w14:paraId="555BC483">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tcPr>
                <w:p w14:paraId="0826A73C">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7EF2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continue"/>
                  <w:vAlign w:val="center"/>
                </w:tcPr>
                <w:p w14:paraId="36F90FB4">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val="0"/>
                      <w:color w:val="auto"/>
                      <w:sz w:val="21"/>
                      <w:szCs w:val="21"/>
                      <w:highlight w:val="none"/>
                      <w:lang w:val="en-US" w:eastAsia="zh-CN"/>
                    </w:rPr>
                  </w:pPr>
                </w:p>
              </w:tc>
              <w:tc>
                <w:tcPr>
                  <w:tcW w:w="2104" w:type="pct"/>
                  <w:shd w:val="clear" w:color="auto" w:fill="auto"/>
                  <w:vAlign w:val="center"/>
                </w:tcPr>
                <w:p w14:paraId="4AE85B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，福兴段终点</w:t>
                  </w:r>
                </w:p>
              </w:tc>
              <w:tc>
                <w:tcPr>
                  <w:tcW w:w="629" w:type="pct"/>
                  <w:vMerge w:val="continue"/>
                </w:tcPr>
                <w:p w14:paraId="02F800A7">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tcPr>
                <w:p w14:paraId="5248567C">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tcPr>
                <w:p w14:paraId="6890FDB0">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3858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restart"/>
                  <w:vAlign w:val="center"/>
                </w:tcPr>
                <w:p w14:paraId="0283D24E">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石河镇石河镇段、双拱场段</w:t>
                  </w:r>
                </w:p>
              </w:tc>
              <w:tc>
                <w:tcPr>
                  <w:tcW w:w="2104" w:type="pct"/>
                  <w:shd w:val="clear" w:color="auto" w:fill="auto"/>
                  <w:vAlign w:val="center"/>
                </w:tcPr>
                <w:p w14:paraId="2F0891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N1，石河镇段起点</w:t>
                  </w:r>
                </w:p>
              </w:tc>
              <w:tc>
                <w:tcPr>
                  <w:tcW w:w="629" w:type="pct"/>
                  <w:vMerge w:val="continue"/>
                </w:tcPr>
                <w:p w14:paraId="45C61675">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tcPr>
                <w:p w14:paraId="2C963C66">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tcPr>
                <w:p w14:paraId="7CFE90A4">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14D3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continue"/>
                </w:tcPr>
                <w:p w14:paraId="098E2EED">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val="0"/>
                      <w:color w:val="auto"/>
                      <w:sz w:val="21"/>
                      <w:szCs w:val="21"/>
                      <w:highlight w:val="none"/>
                      <w:lang w:val="en-US" w:eastAsia="zh-CN"/>
                    </w:rPr>
                  </w:pPr>
                </w:p>
              </w:tc>
              <w:tc>
                <w:tcPr>
                  <w:tcW w:w="2104" w:type="pct"/>
                  <w:shd w:val="clear" w:color="auto" w:fill="auto"/>
                  <w:vAlign w:val="center"/>
                </w:tcPr>
                <w:p w14:paraId="254AA0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N2</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石河镇段1#居民点</w:t>
                  </w:r>
                </w:p>
              </w:tc>
              <w:tc>
                <w:tcPr>
                  <w:tcW w:w="629" w:type="pct"/>
                  <w:vMerge w:val="continue"/>
                </w:tcPr>
                <w:p w14:paraId="65145A5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tcPr>
                <w:p w14:paraId="59B5C39E">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tcPr>
                <w:p w14:paraId="2C4D240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3A8F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continue"/>
                </w:tcPr>
                <w:p w14:paraId="655C5638">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val="0"/>
                      <w:color w:val="auto"/>
                      <w:sz w:val="21"/>
                      <w:szCs w:val="21"/>
                      <w:highlight w:val="none"/>
                      <w:lang w:val="en-US" w:eastAsia="zh-CN"/>
                    </w:rPr>
                  </w:pPr>
                </w:p>
              </w:tc>
              <w:tc>
                <w:tcPr>
                  <w:tcW w:w="2104" w:type="pct"/>
                  <w:shd w:val="clear" w:color="auto" w:fill="auto"/>
                  <w:vAlign w:val="center"/>
                </w:tcPr>
                <w:p w14:paraId="628C14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N3</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石河镇段终点</w:t>
                  </w:r>
                </w:p>
              </w:tc>
              <w:tc>
                <w:tcPr>
                  <w:tcW w:w="629" w:type="pct"/>
                  <w:vMerge w:val="continue"/>
                </w:tcPr>
                <w:p w14:paraId="049338CF">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tcPr>
                <w:p w14:paraId="2AB030E6">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tcPr>
                <w:p w14:paraId="2FF43D61">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59A8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0" w:type="pct"/>
                  <w:vMerge w:val="continue"/>
                </w:tcPr>
                <w:p w14:paraId="2652E322">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val="0"/>
                      <w:color w:val="auto"/>
                      <w:sz w:val="21"/>
                      <w:szCs w:val="21"/>
                      <w:highlight w:val="none"/>
                      <w:lang w:val="en-US" w:eastAsia="zh-CN"/>
                    </w:rPr>
                  </w:pPr>
                </w:p>
              </w:tc>
              <w:tc>
                <w:tcPr>
                  <w:tcW w:w="2104" w:type="pct"/>
                  <w:shd w:val="clear" w:color="auto" w:fill="auto"/>
                  <w:vAlign w:val="center"/>
                </w:tcPr>
                <w:p w14:paraId="1AC229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N4</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双拱场段起点</w:t>
                  </w:r>
                </w:p>
              </w:tc>
              <w:tc>
                <w:tcPr>
                  <w:tcW w:w="629" w:type="pct"/>
                  <w:vMerge w:val="continue"/>
                </w:tcPr>
                <w:p w14:paraId="6C10F06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tcPr>
                <w:p w14:paraId="03192AA4">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tcPr>
                <w:p w14:paraId="506C7DE1">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21A4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continue"/>
                </w:tcPr>
                <w:p w14:paraId="076A165C">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val="0"/>
                      <w:color w:val="auto"/>
                      <w:sz w:val="21"/>
                      <w:szCs w:val="21"/>
                      <w:highlight w:val="none"/>
                      <w:lang w:val="en-US" w:eastAsia="zh-CN"/>
                    </w:rPr>
                  </w:pPr>
                </w:p>
              </w:tc>
              <w:tc>
                <w:tcPr>
                  <w:tcW w:w="2104" w:type="pct"/>
                  <w:shd w:val="clear" w:color="auto" w:fill="auto"/>
                  <w:vAlign w:val="center"/>
                </w:tcPr>
                <w:p w14:paraId="26AF8D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N5</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双拱场段2</w:t>
                  </w:r>
                  <w:r>
                    <w:rPr>
                      <w:rFonts w:hint="default" w:ascii="Times New Roman" w:hAnsi="Times New Roman" w:eastAsia="宋体" w:cs="Times New Roman"/>
                      <w:color w:val="auto"/>
                      <w:sz w:val="21"/>
                      <w:szCs w:val="21"/>
                      <w:highlight w:val="none"/>
                      <w:lang w:eastAsia="zh-CN"/>
                    </w:rPr>
                    <w:t>#居民点</w:t>
                  </w:r>
                </w:p>
              </w:tc>
              <w:tc>
                <w:tcPr>
                  <w:tcW w:w="629" w:type="pct"/>
                  <w:vMerge w:val="continue"/>
                </w:tcPr>
                <w:p w14:paraId="401B775E">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tcPr>
                <w:p w14:paraId="46068425">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tcPr>
                <w:p w14:paraId="23D665A2">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17AF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continue"/>
                </w:tcPr>
                <w:p w14:paraId="04F6092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val="0"/>
                      <w:color w:val="auto"/>
                      <w:sz w:val="21"/>
                      <w:szCs w:val="21"/>
                      <w:highlight w:val="none"/>
                      <w:lang w:val="en-US" w:eastAsia="zh-CN"/>
                    </w:rPr>
                  </w:pPr>
                </w:p>
              </w:tc>
              <w:tc>
                <w:tcPr>
                  <w:tcW w:w="2104" w:type="pct"/>
                  <w:shd w:val="clear" w:color="auto" w:fill="auto"/>
                  <w:vAlign w:val="center"/>
                </w:tcPr>
                <w:p w14:paraId="0B3854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双拱场段终点</w:t>
                  </w:r>
                </w:p>
              </w:tc>
              <w:tc>
                <w:tcPr>
                  <w:tcW w:w="629" w:type="pct"/>
                  <w:vMerge w:val="continue"/>
                </w:tcPr>
                <w:p w14:paraId="6622D46B">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tcPr>
                <w:p w14:paraId="5C40F175">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tcPr>
                <w:p w14:paraId="2F717AC9">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52B3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restart"/>
                  <w:vAlign w:val="center"/>
                </w:tcPr>
                <w:p w14:paraId="518120B0">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清河镇及杨家镇段</w:t>
                  </w:r>
                </w:p>
              </w:tc>
              <w:tc>
                <w:tcPr>
                  <w:tcW w:w="2104" w:type="pct"/>
                  <w:shd w:val="clear" w:color="auto" w:fill="auto"/>
                  <w:vAlign w:val="center"/>
                </w:tcPr>
                <w:p w14:paraId="48155E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N1，清河镇治理河段起点东侧居民点</w:t>
                  </w:r>
                </w:p>
              </w:tc>
              <w:tc>
                <w:tcPr>
                  <w:tcW w:w="629" w:type="pct"/>
                  <w:vMerge w:val="continue"/>
                </w:tcPr>
                <w:p w14:paraId="7A266D17">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tcPr>
                <w:p w14:paraId="5E3EF399">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tcPr>
                <w:p w14:paraId="22007304">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441B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continue"/>
                </w:tcPr>
                <w:p w14:paraId="1C922E89">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val="0"/>
                      <w:color w:val="auto"/>
                      <w:sz w:val="21"/>
                      <w:szCs w:val="21"/>
                      <w:highlight w:val="none"/>
                      <w:lang w:val="en-US" w:eastAsia="zh-CN"/>
                    </w:rPr>
                  </w:pPr>
                </w:p>
              </w:tc>
              <w:tc>
                <w:tcPr>
                  <w:tcW w:w="2104" w:type="pct"/>
                  <w:shd w:val="clear" w:color="auto" w:fill="auto"/>
                  <w:vAlign w:val="center"/>
                </w:tcPr>
                <w:p w14:paraId="11DF94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N2，清河镇治理河段清河镇居民点</w:t>
                  </w:r>
                </w:p>
              </w:tc>
              <w:tc>
                <w:tcPr>
                  <w:tcW w:w="629" w:type="pct"/>
                  <w:vMerge w:val="continue"/>
                </w:tcPr>
                <w:p w14:paraId="262DC140">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tcPr>
                <w:p w14:paraId="2585C857">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tcPr>
                <w:p w14:paraId="244B5826">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7837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80" w:type="pct"/>
                  <w:vMerge w:val="continue"/>
                </w:tcPr>
                <w:p w14:paraId="6EAA0383">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val="0"/>
                      <w:color w:val="auto"/>
                      <w:sz w:val="21"/>
                      <w:szCs w:val="21"/>
                      <w:highlight w:val="none"/>
                      <w:lang w:val="en-US" w:eastAsia="zh-CN"/>
                    </w:rPr>
                  </w:pPr>
                </w:p>
              </w:tc>
              <w:tc>
                <w:tcPr>
                  <w:tcW w:w="2104" w:type="pct"/>
                  <w:shd w:val="clear" w:color="auto" w:fill="auto"/>
                  <w:vAlign w:val="center"/>
                </w:tcPr>
                <w:p w14:paraId="2B103F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N3，清河镇治理河段终点西侧居民点</w:t>
                  </w:r>
                </w:p>
              </w:tc>
              <w:tc>
                <w:tcPr>
                  <w:tcW w:w="629" w:type="pct"/>
                  <w:vMerge w:val="continue"/>
                </w:tcPr>
                <w:p w14:paraId="12A3D510">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tcPr>
                <w:p w14:paraId="3A873FC4">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tcPr>
                <w:p w14:paraId="3280DD86">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5DA1B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continue"/>
                </w:tcPr>
                <w:p w14:paraId="5DAAECC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val="0"/>
                      <w:color w:val="auto"/>
                      <w:sz w:val="21"/>
                      <w:szCs w:val="21"/>
                      <w:highlight w:val="none"/>
                      <w:lang w:val="en-US" w:eastAsia="zh-CN"/>
                    </w:rPr>
                  </w:pPr>
                </w:p>
              </w:tc>
              <w:tc>
                <w:tcPr>
                  <w:tcW w:w="2104" w:type="pct"/>
                  <w:shd w:val="clear" w:color="auto" w:fill="auto"/>
                  <w:vAlign w:val="center"/>
                </w:tcPr>
                <w:p w14:paraId="5234E0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N4，杨家镇治理河段狮谭村居民点</w:t>
                  </w:r>
                </w:p>
              </w:tc>
              <w:tc>
                <w:tcPr>
                  <w:tcW w:w="629" w:type="pct"/>
                  <w:vMerge w:val="continue"/>
                </w:tcPr>
                <w:p w14:paraId="6BE90D84">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tcPr>
                <w:p w14:paraId="27654C3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tcPr>
                <w:p w14:paraId="29008BA7">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59ED4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continue"/>
                </w:tcPr>
                <w:p w14:paraId="68E2DE2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val="0"/>
                      <w:color w:val="auto"/>
                      <w:sz w:val="21"/>
                      <w:szCs w:val="21"/>
                      <w:highlight w:val="none"/>
                      <w:lang w:val="en-US" w:eastAsia="zh-CN"/>
                    </w:rPr>
                  </w:pPr>
                </w:p>
              </w:tc>
              <w:tc>
                <w:tcPr>
                  <w:tcW w:w="2104" w:type="pct"/>
                  <w:shd w:val="clear" w:color="auto" w:fill="auto"/>
                  <w:vAlign w:val="center"/>
                </w:tcPr>
                <w:p w14:paraId="4B9660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N5，杨家镇治理河段杨家镇居民点</w:t>
                  </w:r>
                </w:p>
              </w:tc>
              <w:tc>
                <w:tcPr>
                  <w:tcW w:w="629" w:type="pct"/>
                  <w:vMerge w:val="continue"/>
                </w:tcPr>
                <w:p w14:paraId="09DB06D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tcPr>
                <w:p w14:paraId="4DFF19CC">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tcPr>
                <w:p w14:paraId="1CB3EAA4">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49E1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pct"/>
                  <w:vMerge w:val="continue"/>
                </w:tcPr>
                <w:p w14:paraId="214540A0">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val="0"/>
                      <w:color w:val="auto"/>
                      <w:sz w:val="21"/>
                      <w:szCs w:val="21"/>
                      <w:highlight w:val="none"/>
                      <w:lang w:val="en-US" w:eastAsia="zh-CN"/>
                    </w:rPr>
                  </w:pPr>
                </w:p>
              </w:tc>
              <w:tc>
                <w:tcPr>
                  <w:tcW w:w="2104" w:type="pct"/>
                  <w:shd w:val="clear" w:color="auto" w:fill="auto"/>
                  <w:vAlign w:val="center"/>
                </w:tcPr>
                <w:p w14:paraId="60F90B29">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color w:val="auto"/>
                      <w:sz w:val="21"/>
                      <w:szCs w:val="21"/>
                      <w:highlight w:val="none"/>
                    </w:rPr>
                    <w:t>N6，杨家镇治理河段终点西北侧居民点</w:t>
                  </w:r>
                </w:p>
              </w:tc>
              <w:tc>
                <w:tcPr>
                  <w:tcW w:w="629" w:type="pct"/>
                  <w:vMerge w:val="continue"/>
                </w:tcPr>
                <w:p w14:paraId="6AA88D37">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87" w:type="pct"/>
                  <w:vMerge w:val="continue"/>
                </w:tcPr>
                <w:p w14:paraId="3A169D97">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897" w:type="pct"/>
                  <w:vMerge w:val="continue"/>
                </w:tcPr>
                <w:p w14:paraId="01C3EC6F">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bl>
          <w:p w14:paraId="3E9F8983">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（2）监测时间</w:t>
            </w:r>
          </w:p>
          <w:p w14:paraId="4D76D0C5">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监测时间为</w:t>
            </w:r>
            <w:r>
              <w:rPr>
                <w:rFonts w:hint="eastAsia" w:cs="Times New Roman"/>
                <w:snapToGrid w:val="0"/>
                <w:color w:val="auto"/>
                <w:szCs w:val="24"/>
                <w:highlight w:val="none"/>
                <w:lang w:eastAsia="zh-CN"/>
              </w:rPr>
              <w:t>2025年2月21日</w:t>
            </w:r>
            <w:r>
              <w:rPr>
                <w:rFonts w:hint="eastAsia" w:cs="Times New Roman"/>
                <w:bCs w:val="0"/>
                <w:color w:val="auto"/>
                <w:szCs w:val="22"/>
                <w:highlight w:val="none"/>
                <w:lang w:eastAsia="zh-CN"/>
              </w:rPr>
              <w:t>、</w:t>
            </w:r>
            <w:r>
              <w:rPr>
                <w:rFonts w:hint="eastAsia" w:cs="Times New Roman"/>
                <w:bCs w:val="0"/>
                <w:color w:val="auto"/>
                <w:szCs w:val="22"/>
                <w:highlight w:val="none"/>
                <w:lang w:val="en-US" w:eastAsia="zh-CN"/>
              </w:rPr>
              <w:t>22日；</w:t>
            </w:r>
            <w:r>
              <w:rPr>
                <w:rFonts w:hint="default" w:ascii="Times New Roman" w:hAnsi="Times New Roman" w:cs="Times New Roman"/>
                <w:bCs w:val="0"/>
                <w:color w:val="auto"/>
                <w:szCs w:val="22"/>
                <w:highlight w:val="none"/>
              </w:rPr>
              <w:t>监测1天</w:t>
            </w:r>
            <w:r>
              <w:rPr>
                <w:rFonts w:hint="eastAsia"/>
                <w:color w:val="auto"/>
                <w:highlight w:val="none"/>
              </w:rPr>
              <w:t>，昼</w:t>
            </w:r>
            <w:r>
              <w:rPr>
                <w:rFonts w:hint="eastAsia"/>
                <w:color w:val="auto"/>
                <w:highlight w:val="none"/>
                <w:lang w:eastAsia="zh-CN"/>
              </w:rPr>
              <w:t>、夜间各</w:t>
            </w:r>
            <w:r>
              <w:rPr>
                <w:rFonts w:hint="eastAsia"/>
                <w:color w:val="auto"/>
                <w:highlight w:val="none"/>
                <w:lang w:val="en-US" w:eastAsia="zh-CN"/>
              </w:rPr>
              <w:t>监测</w:t>
            </w:r>
            <w:r>
              <w:rPr>
                <w:rFonts w:hint="eastAsia"/>
                <w:color w:val="auto"/>
                <w:highlight w:val="none"/>
              </w:rPr>
              <w:t>1次</w:t>
            </w:r>
            <w:r>
              <w:rPr>
                <w:rFonts w:hint="default" w:ascii="Times New Roman" w:hAnsi="Times New Roman" w:cs="Times New Roman"/>
                <w:bCs w:val="0"/>
                <w:color w:val="auto"/>
                <w:szCs w:val="22"/>
                <w:highlight w:val="none"/>
              </w:rPr>
              <w:t>。</w:t>
            </w:r>
          </w:p>
          <w:p w14:paraId="1AD82108">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（3）评价标准</w:t>
            </w:r>
          </w:p>
          <w:p w14:paraId="4B9A842D">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噪声评价方法采用与标准值比较评述法，声环境质量评价标准执行《声环境质量标准》（GB3096-2008）2类标准。</w:t>
            </w:r>
          </w:p>
          <w:p w14:paraId="07186171">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（4）评价结果及分析</w:t>
            </w:r>
          </w:p>
          <w:p w14:paraId="6A4739DF">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监测数据统计和评价结果见表3.4-4。</w:t>
            </w:r>
          </w:p>
          <w:p w14:paraId="503E252B">
            <w:pPr>
              <w:pStyle w:val="34"/>
              <w:spacing w:line="360" w:lineRule="auto"/>
              <w:ind w:firstLine="0" w:firstLineChars="0"/>
              <w:jc w:val="center"/>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表3.4-4 环境噪声监测结果一览表</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52"/>
              <w:gridCol w:w="2334"/>
              <w:gridCol w:w="1295"/>
              <w:gridCol w:w="926"/>
              <w:gridCol w:w="1104"/>
              <w:gridCol w:w="1185"/>
              <w:gridCol w:w="994"/>
            </w:tblGrid>
            <w:tr w14:paraId="35B6BE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restart"/>
                  <w:shd w:val="clear" w:color="auto" w:fill="auto"/>
                  <w:noWrap w:val="0"/>
                  <w:vAlign w:val="center"/>
                </w:tcPr>
                <w:p w14:paraId="2C16156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eastAsia" w:cs="Times New Roman"/>
                      <w:b/>
                      <w:bCs/>
                      <w:color w:val="auto"/>
                      <w:sz w:val="21"/>
                      <w:szCs w:val="21"/>
                      <w:highlight w:val="none"/>
                      <w:lang w:val="en-US" w:eastAsia="zh-CN"/>
                    </w:rPr>
                    <w:t>工程河段</w:t>
                  </w:r>
                </w:p>
              </w:tc>
              <w:tc>
                <w:tcPr>
                  <w:tcW w:w="1298" w:type="pct"/>
                  <w:vMerge w:val="restart"/>
                  <w:shd w:val="clear" w:color="auto" w:fill="auto"/>
                  <w:noWrap w:val="0"/>
                  <w:vAlign w:val="center"/>
                </w:tcPr>
                <w:p w14:paraId="2120188F">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cs="Times New Roman"/>
                      <w:b/>
                      <w:bCs/>
                      <w:color w:val="auto"/>
                      <w:sz w:val="21"/>
                      <w:szCs w:val="21"/>
                      <w:highlight w:val="none"/>
                    </w:rPr>
                    <w:t>监测点位</w:t>
                  </w:r>
                </w:p>
              </w:tc>
              <w:tc>
                <w:tcPr>
                  <w:tcW w:w="720" w:type="pct"/>
                  <w:vMerge w:val="restart"/>
                  <w:noWrap w:val="0"/>
                  <w:vAlign w:val="center"/>
                </w:tcPr>
                <w:p w14:paraId="343C7115">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监测时间</w:t>
                  </w:r>
                </w:p>
              </w:tc>
              <w:tc>
                <w:tcPr>
                  <w:tcW w:w="515" w:type="pct"/>
                  <w:vMerge w:val="restart"/>
                  <w:noWrap w:val="0"/>
                  <w:vAlign w:val="center"/>
                </w:tcPr>
                <w:p w14:paraId="0537F4C4">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所在</w:t>
                  </w:r>
                </w:p>
                <w:p w14:paraId="513FE478">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功能区</w:t>
                  </w:r>
                </w:p>
              </w:tc>
              <w:tc>
                <w:tcPr>
                  <w:tcW w:w="1273" w:type="pct"/>
                  <w:gridSpan w:val="2"/>
                  <w:noWrap w:val="0"/>
                  <w:vAlign w:val="center"/>
                </w:tcPr>
                <w:p w14:paraId="3E9EBF6C">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监测结果（dB(A))</w:t>
                  </w:r>
                </w:p>
              </w:tc>
              <w:tc>
                <w:tcPr>
                  <w:tcW w:w="552" w:type="pct"/>
                  <w:vMerge w:val="restart"/>
                  <w:noWrap w:val="0"/>
                  <w:vAlign w:val="center"/>
                </w:tcPr>
                <w:p w14:paraId="591BE26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主要声源</w:t>
                  </w:r>
                </w:p>
              </w:tc>
            </w:tr>
            <w:tr w14:paraId="5DCA95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continue"/>
                  <w:noWrap w:val="0"/>
                  <w:vAlign w:val="center"/>
                </w:tcPr>
                <w:p w14:paraId="32DDF91D">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p>
              </w:tc>
              <w:tc>
                <w:tcPr>
                  <w:tcW w:w="1298" w:type="pct"/>
                  <w:vMerge w:val="continue"/>
                  <w:shd w:val="clear" w:color="auto" w:fill="auto"/>
                  <w:noWrap w:val="0"/>
                  <w:vAlign w:val="center"/>
                </w:tcPr>
                <w:p w14:paraId="1817091F">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napToGrid w:val="0"/>
                      <w:color w:val="auto"/>
                      <w:sz w:val="21"/>
                      <w:szCs w:val="21"/>
                      <w:highlight w:val="none"/>
                      <w:lang w:val="en-US" w:eastAsia="zh-CN" w:bidi="ar-SA"/>
                    </w:rPr>
                  </w:pPr>
                </w:p>
              </w:tc>
              <w:tc>
                <w:tcPr>
                  <w:tcW w:w="720" w:type="pct"/>
                  <w:vMerge w:val="continue"/>
                  <w:noWrap w:val="0"/>
                  <w:vAlign w:val="center"/>
                </w:tcPr>
                <w:p w14:paraId="4FC96FF0">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p>
              </w:tc>
              <w:tc>
                <w:tcPr>
                  <w:tcW w:w="515" w:type="pct"/>
                  <w:vMerge w:val="continue"/>
                  <w:noWrap w:val="0"/>
                  <w:vAlign w:val="center"/>
                </w:tcPr>
                <w:p w14:paraId="7D6F0870">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p>
              </w:tc>
              <w:tc>
                <w:tcPr>
                  <w:tcW w:w="614" w:type="pct"/>
                  <w:noWrap w:val="0"/>
                  <w:vAlign w:val="center"/>
                </w:tcPr>
                <w:p w14:paraId="2A747C4C">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659" w:type="pct"/>
                  <w:noWrap w:val="0"/>
                  <w:vAlign w:val="center"/>
                </w:tcPr>
                <w:p w14:paraId="287C2D3C">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c>
                <w:tcPr>
                  <w:tcW w:w="552" w:type="pct"/>
                  <w:vMerge w:val="continue"/>
                  <w:noWrap w:val="0"/>
                  <w:vAlign w:val="center"/>
                </w:tcPr>
                <w:p w14:paraId="283B1100">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38CFF6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restart"/>
                  <w:shd w:val="clear" w:color="auto" w:fill="auto"/>
                  <w:noWrap w:val="0"/>
                  <w:vAlign w:val="center"/>
                </w:tcPr>
                <w:p w14:paraId="6B5FC31D">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bCs w:val="0"/>
                      <w:color w:val="auto"/>
                      <w:sz w:val="21"/>
                      <w:szCs w:val="21"/>
                      <w:highlight w:val="none"/>
                      <w:lang w:val="en-US" w:eastAsia="zh-CN"/>
                    </w:rPr>
                    <w:t>石河镇二郎、福兴段</w:t>
                  </w:r>
                </w:p>
              </w:tc>
              <w:tc>
                <w:tcPr>
                  <w:tcW w:w="1298" w:type="pct"/>
                  <w:shd w:val="clear" w:color="auto" w:fill="auto"/>
                  <w:noWrap w:val="0"/>
                  <w:vAlign w:val="center"/>
                </w:tcPr>
                <w:p w14:paraId="147CDC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N1，二郎段起点</w:t>
                  </w:r>
                </w:p>
              </w:tc>
              <w:tc>
                <w:tcPr>
                  <w:tcW w:w="720" w:type="pct"/>
                  <w:shd w:val="clear" w:color="auto" w:fill="auto"/>
                  <w:noWrap w:val="0"/>
                  <w:vAlign w:val="center"/>
                </w:tcPr>
                <w:p w14:paraId="328922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lang w:val="en-US" w:eastAsia="zh-CN"/>
                    </w:rPr>
                    <w:t>2025.02.21</w:t>
                  </w:r>
                </w:p>
              </w:tc>
              <w:tc>
                <w:tcPr>
                  <w:tcW w:w="515" w:type="pct"/>
                  <w:vMerge w:val="restart"/>
                  <w:noWrap w:val="0"/>
                  <w:vAlign w:val="center"/>
                </w:tcPr>
                <w:p w14:paraId="61FEC754">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2类</w:t>
                  </w:r>
                </w:p>
              </w:tc>
              <w:tc>
                <w:tcPr>
                  <w:tcW w:w="614" w:type="pct"/>
                  <w:shd w:val="clear" w:color="auto" w:fill="auto"/>
                  <w:noWrap w:val="0"/>
                  <w:vAlign w:val="center"/>
                </w:tcPr>
                <w:p w14:paraId="2118F49C">
                  <w:pPr>
                    <w:pStyle w:val="3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55</w:t>
                  </w:r>
                </w:p>
              </w:tc>
              <w:tc>
                <w:tcPr>
                  <w:tcW w:w="659" w:type="pct"/>
                  <w:shd w:val="clear" w:color="auto" w:fill="auto"/>
                  <w:noWrap w:val="0"/>
                  <w:vAlign w:val="center"/>
                </w:tcPr>
                <w:p w14:paraId="7C1687D7">
                  <w:pPr>
                    <w:pStyle w:val="3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48</w:t>
                  </w:r>
                </w:p>
              </w:tc>
              <w:tc>
                <w:tcPr>
                  <w:tcW w:w="552" w:type="pct"/>
                  <w:vMerge w:val="restart"/>
                  <w:noWrap w:val="0"/>
                  <w:vAlign w:val="center"/>
                </w:tcPr>
                <w:p w14:paraId="4B0B198C">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环境噪声</w:t>
                  </w:r>
                </w:p>
              </w:tc>
            </w:tr>
            <w:tr w14:paraId="5BE3E6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continue"/>
                  <w:shd w:val="clear" w:color="auto" w:fill="auto"/>
                  <w:noWrap w:val="0"/>
                  <w:vAlign w:val="center"/>
                </w:tcPr>
                <w:p w14:paraId="579362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p>
              </w:tc>
              <w:tc>
                <w:tcPr>
                  <w:tcW w:w="1298" w:type="pct"/>
                  <w:tcBorders>
                    <w:top w:val="single" w:color="auto" w:sz="4" w:space="0"/>
                  </w:tcBorders>
                  <w:shd w:val="clear" w:color="auto" w:fill="auto"/>
                  <w:noWrap w:val="0"/>
                  <w:vAlign w:val="center"/>
                </w:tcPr>
                <w:p w14:paraId="1D3171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N2，二郎段1#居民点</w:t>
                  </w:r>
                </w:p>
              </w:tc>
              <w:tc>
                <w:tcPr>
                  <w:tcW w:w="720" w:type="pct"/>
                  <w:shd w:val="clear" w:color="auto" w:fill="auto"/>
                  <w:noWrap w:val="0"/>
                  <w:vAlign w:val="center"/>
                </w:tcPr>
                <w:p w14:paraId="15D365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lang w:val="en-US" w:eastAsia="zh-CN"/>
                    </w:rPr>
                    <w:t>2025.02.21</w:t>
                  </w:r>
                </w:p>
              </w:tc>
              <w:tc>
                <w:tcPr>
                  <w:tcW w:w="515" w:type="pct"/>
                  <w:vMerge w:val="continue"/>
                  <w:noWrap w:val="0"/>
                  <w:vAlign w:val="center"/>
                </w:tcPr>
                <w:p w14:paraId="2550DCC4">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14" w:type="pct"/>
                  <w:shd w:val="clear" w:color="auto" w:fill="auto"/>
                  <w:noWrap w:val="0"/>
                  <w:vAlign w:val="center"/>
                </w:tcPr>
                <w:p w14:paraId="69914A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58</w:t>
                  </w:r>
                </w:p>
              </w:tc>
              <w:tc>
                <w:tcPr>
                  <w:tcW w:w="659" w:type="pct"/>
                  <w:shd w:val="clear" w:color="auto" w:fill="auto"/>
                  <w:noWrap w:val="0"/>
                  <w:vAlign w:val="center"/>
                </w:tcPr>
                <w:p w14:paraId="08CEBA2E">
                  <w:pPr>
                    <w:pStyle w:val="3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48</w:t>
                  </w:r>
                </w:p>
              </w:tc>
              <w:tc>
                <w:tcPr>
                  <w:tcW w:w="552" w:type="pct"/>
                  <w:vMerge w:val="continue"/>
                  <w:noWrap w:val="0"/>
                  <w:vAlign w:val="center"/>
                </w:tcPr>
                <w:p w14:paraId="1B58BB87">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418289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continue"/>
                  <w:shd w:val="clear" w:color="auto" w:fill="auto"/>
                  <w:noWrap w:val="0"/>
                  <w:vAlign w:val="center"/>
                </w:tcPr>
                <w:p w14:paraId="5B35FC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p>
              </w:tc>
              <w:tc>
                <w:tcPr>
                  <w:tcW w:w="1298" w:type="pct"/>
                  <w:tcBorders>
                    <w:top w:val="single" w:color="auto" w:sz="4" w:space="0"/>
                  </w:tcBorders>
                  <w:shd w:val="clear" w:color="auto" w:fill="auto"/>
                  <w:noWrap w:val="0"/>
                  <w:vAlign w:val="center"/>
                </w:tcPr>
                <w:p w14:paraId="6654C3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，二郎段终点</w:t>
                  </w:r>
                </w:p>
              </w:tc>
              <w:tc>
                <w:tcPr>
                  <w:tcW w:w="720" w:type="pct"/>
                  <w:shd w:val="clear" w:color="auto" w:fill="auto"/>
                  <w:noWrap w:val="0"/>
                  <w:vAlign w:val="center"/>
                </w:tcPr>
                <w:p w14:paraId="1B2344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2025.02.21</w:t>
                  </w:r>
                </w:p>
              </w:tc>
              <w:tc>
                <w:tcPr>
                  <w:tcW w:w="515" w:type="pct"/>
                  <w:vMerge w:val="continue"/>
                  <w:noWrap w:val="0"/>
                  <w:vAlign w:val="center"/>
                </w:tcPr>
                <w:p w14:paraId="302FACF7">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14" w:type="pct"/>
                  <w:shd w:val="clear" w:color="auto" w:fill="auto"/>
                  <w:noWrap w:val="0"/>
                  <w:vAlign w:val="center"/>
                </w:tcPr>
                <w:p w14:paraId="318FD0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54</w:t>
                  </w:r>
                </w:p>
              </w:tc>
              <w:tc>
                <w:tcPr>
                  <w:tcW w:w="659" w:type="pct"/>
                  <w:shd w:val="clear" w:color="auto" w:fill="auto"/>
                  <w:noWrap w:val="0"/>
                  <w:vAlign w:val="center"/>
                </w:tcPr>
                <w:p w14:paraId="333464F2">
                  <w:pPr>
                    <w:pStyle w:val="3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eastAsia="宋体" w:cs="Times New Roman"/>
                      <w:bCs/>
                      <w:snapToGrid w:val="0"/>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48</w:t>
                  </w:r>
                </w:p>
              </w:tc>
              <w:tc>
                <w:tcPr>
                  <w:tcW w:w="552" w:type="pct"/>
                  <w:vMerge w:val="continue"/>
                  <w:noWrap w:val="0"/>
                  <w:vAlign w:val="center"/>
                </w:tcPr>
                <w:p w14:paraId="7A27D026">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1E0CCD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continue"/>
                  <w:shd w:val="clear" w:color="auto" w:fill="auto"/>
                  <w:noWrap w:val="0"/>
                  <w:vAlign w:val="center"/>
                </w:tcPr>
                <w:p w14:paraId="567E46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p>
              </w:tc>
              <w:tc>
                <w:tcPr>
                  <w:tcW w:w="1298" w:type="pct"/>
                  <w:tcBorders>
                    <w:top w:val="single" w:color="auto" w:sz="4" w:space="0"/>
                  </w:tcBorders>
                  <w:shd w:val="clear" w:color="auto" w:fill="auto"/>
                  <w:noWrap w:val="0"/>
                  <w:vAlign w:val="center"/>
                </w:tcPr>
                <w:p w14:paraId="1852A0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，福兴段起点</w:t>
                  </w:r>
                </w:p>
              </w:tc>
              <w:tc>
                <w:tcPr>
                  <w:tcW w:w="720" w:type="pct"/>
                  <w:shd w:val="clear" w:color="auto" w:fill="auto"/>
                  <w:noWrap w:val="0"/>
                  <w:vAlign w:val="center"/>
                </w:tcPr>
                <w:p w14:paraId="2376D7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2025.02.21</w:t>
                  </w:r>
                </w:p>
              </w:tc>
              <w:tc>
                <w:tcPr>
                  <w:tcW w:w="515" w:type="pct"/>
                  <w:vMerge w:val="continue"/>
                  <w:noWrap w:val="0"/>
                  <w:vAlign w:val="center"/>
                </w:tcPr>
                <w:p w14:paraId="04EE19CE">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14" w:type="pct"/>
                  <w:shd w:val="clear" w:color="auto" w:fill="auto"/>
                  <w:noWrap w:val="0"/>
                  <w:vAlign w:val="center"/>
                </w:tcPr>
                <w:p w14:paraId="4ECB7C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53</w:t>
                  </w:r>
                </w:p>
              </w:tc>
              <w:tc>
                <w:tcPr>
                  <w:tcW w:w="659" w:type="pct"/>
                  <w:shd w:val="clear" w:color="auto" w:fill="auto"/>
                  <w:noWrap w:val="0"/>
                  <w:vAlign w:val="center"/>
                </w:tcPr>
                <w:p w14:paraId="37DA7DFD">
                  <w:pPr>
                    <w:pStyle w:val="3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eastAsia="宋体" w:cs="Times New Roman"/>
                      <w:bCs/>
                      <w:snapToGrid w:val="0"/>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44</w:t>
                  </w:r>
                </w:p>
              </w:tc>
              <w:tc>
                <w:tcPr>
                  <w:tcW w:w="552" w:type="pct"/>
                  <w:vMerge w:val="continue"/>
                  <w:noWrap w:val="0"/>
                  <w:vAlign w:val="center"/>
                </w:tcPr>
                <w:p w14:paraId="02F943EE">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36B4E9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continue"/>
                  <w:shd w:val="clear" w:color="auto" w:fill="auto"/>
                  <w:noWrap w:val="0"/>
                  <w:vAlign w:val="center"/>
                </w:tcPr>
                <w:p w14:paraId="4F9E3D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p>
              </w:tc>
              <w:tc>
                <w:tcPr>
                  <w:tcW w:w="1298" w:type="pct"/>
                  <w:tcBorders>
                    <w:top w:val="single" w:color="auto" w:sz="4" w:space="0"/>
                  </w:tcBorders>
                  <w:shd w:val="clear" w:color="auto" w:fill="auto"/>
                  <w:noWrap w:val="0"/>
                  <w:vAlign w:val="center"/>
                </w:tcPr>
                <w:p w14:paraId="553E8F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，福兴段2#居民点</w:t>
                  </w:r>
                </w:p>
              </w:tc>
              <w:tc>
                <w:tcPr>
                  <w:tcW w:w="720" w:type="pct"/>
                  <w:shd w:val="clear" w:color="auto" w:fill="auto"/>
                  <w:noWrap w:val="0"/>
                  <w:vAlign w:val="center"/>
                </w:tcPr>
                <w:p w14:paraId="6B6E6A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2025.02.21</w:t>
                  </w:r>
                </w:p>
              </w:tc>
              <w:tc>
                <w:tcPr>
                  <w:tcW w:w="515" w:type="pct"/>
                  <w:vMerge w:val="continue"/>
                  <w:noWrap w:val="0"/>
                  <w:vAlign w:val="center"/>
                </w:tcPr>
                <w:p w14:paraId="2841067B">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14" w:type="pct"/>
                  <w:shd w:val="clear" w:color="auto" w:fill="auto"/>
                  <w:noWrap w:val="0"/>
                  <w:vAlign w:val="center"/>
                </w:tcPr>
                <w:p w14:paraId="247F0D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58</w:t>
                  </w:r>
                </w:p>
              </w:tc>
              <w:tc>
                <w:tcPr>
                  <w:tcW w:w="659" w:type="pct"/>
                  <w:shd w:val="clear" w:color="auto" w:fill="auto"/>
                  <w:noWrap w:val="0"/>
                  <w:vAlign w:val="center"/>
                </w:tcPr>
                <w:p w14:paraId="3F0E3B10">
                  <w:pPr>
                    <w:pStyle w:val="3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eastAsia="宋体" w:cs="Times New Roman"/>
                      <w:bCs/>
                      <w:snapToGrid w:val="0"/>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44</w:t>
                  </w:r>
                </w:p>
              </w:tc>
              <w:tc>
                <w:tcPr>
                  <w:tcW w:w="552" w:type="pct"/>
                  <w:vMerge w:val="continue"/>
                  <w:noWrap w:val="0"/>
                  <w:vAlign w:val="center"/>
                </w:tcPr>
                <w:p w14:paraId="7715E005">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117C61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continue"/>
                  <w:shd w:val="clear" w:color="auto" w:fill="auto"/>
                  <w:noWrap w:val="0"/>
                  <w:vAlign w:val="center"/>
                </w:tcPr>
                <w:p w14:paraId="5181C1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p>
              </w:tc>
              <w:tc>
                <w:tcPr>
                  <w:tcW w:w="1298" w:type="pct"/>
                  <w:tcBorders>
                    <w:top w:val="single" w:color="auto" w:sz="4" w:space="0"/>
                  </w:tcBorders>
                  <w:shd w:val="clear" w:color="auto" w:fill="auto"/>
                  <w:noWrap w:val="0"/>
                  <w:vAlign w:val="center"/>
                </w:tcPr>
                <w:p w14:paraId="17952B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N</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，福兴段终点</w:t>
                  </w:r>
                </w:p>
              </w:tc>
              <w:tc>
                <w:tcPr>
                  <w:tcW w:w="720" w:type="pct"/>
                  <w:shd w:val="clear" w:color="auto" w:fill="auto"/>
                  <w:noWrap w:val="0"/>
                  <w:vAlign w:val="center"/>
                </w:tcPr>
                <w:p w14:paraId="577E0B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2025.02.21</w:t>
                  </w:r>
                </w:p>
              </w:tc>
              <w:tc>
                <w:tcPr>
                  <w:tcW w:w="515" w:type="pct"/>
                  <w:vMerge w:val="continue"/>
                  <w:noWrap w:val="0"/>
                  <w:vAlign w:val="center"/>
                </w:tcPr>
                <w:p w14:paraId="36997E6E">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14" w:type="pct"/>
                  <w:shd w:val="clear" w:color="auto" w:fill="auto"/>
                  <w:noWrap w:val="0"/>
                  <w:vAlign w:val="center"/>
                </w:tcPr>
                <w:p w14:paraId="1C24B9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52</w:t>
                  </w:r>
                </w:p>
              </w:tc>
              <w:tc>
                <w:tcPr>
                  <w:tcW w:w="659" w:type="pct"/>
                  <w:shd w:val="clear" w:color="auto" w:fill="auto"/>
                  <w:noWrap w:val="0"/>
                  <w:vAlign w:val="center"/>
                </w:tcPr>
                <w:p w14:paraId="492A2693">
                  <w:pPr>
                    <w:pStyle w:val="3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eastAsia="宋体" w:cs="Times New Roman"/>
                      <w:bCs/>
                      <w:snapToGrid w:val="0"/>
                      <w:color w:val="auto"/>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42</w:t>
                  </w:r>
                </w:p>
              </w:tc>
              <w:tc>
                <w:tcPr>
                  <w:tcW w:w="552" w:type="pct"/>
                  <w:vMerge w:val="continue"/>
                  <w:noWrap w:val="0"/>
                  <w:vAlign w:val="center"/>
                </w:tcPr>
                <w:p w14:paraId="2584B7BF">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27AD8C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restart"/>
                  <w:tcBorders>
                    <w:top w:val="single" w:color="auto" w:sz="4" w:space="0"/>
                  </w:tcBorders>
                  <w:shd w:val="clear" w:color="auto" w:fill="auto"/>
                  <w:noWrap w:val="0"/>
                  <w:vAlign w:val="center"/>
                </w:tcPr>
                <w:p w14:paraId="6D5BC493">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bCs w:val="0"/>
                      <w:color w:val="auto"/>
                      <w:sz w:val="21"/>
                      <w:szCs w:val="21"/>
                      <w:highlight w:val="none"/>
                      <w:lang w:val="en-US" w:eastAsia="zh-CN"/>
                    </w:rPr>
                    <w:t>石河镇石河镇段、双拱场段</w:t>
                  </w:r>
                </w:p>
              </w:tc>
              <w:tc>
                <w:tcPr>
                  <w:tcW w:w="1298" w:type="pct"/>
                  <w:tcBorders>
                    <w:top w:val="single" w:color="auto" w:sz="4" w:space="0"/>
                  </w:tcBorders>
                  <w:shd w:val="clear" w:color="auto" w:fill="auto"/>
                  <w:noWrap w:val="0"/>
                  <w:vAlign w:val="center"/>
                </w:tcPr>
                <w:p w14:paraId="0BA3D9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N1，石河镇段起点</w:t>
                  </w:r>
                </w:p>
              </w:tc>
              <w:tc>
                <w:tcPr>
                  <w:tcW w:w="720" w:type="pct"/>
                  <w:shd w:val="clear" w:color="auto" w:fill="auto"/>
                  <w:noWrap w:val="0"/>
                  <w:vAlign w:val="center"/>
                </w:tcPr>
                <w:p w14:paraId="0868F9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2025.02.21</w:t>
                  </w:r>
                </w:p>
              </w:tc>
              <w:tc>
                <w:tcPr>
                  <w:tcW w:w="515" w:type="pct"/>
                  <w:vMerge w:val="restart"/>
                  <w:shd w:val="clear" w:color="auto" w:fill="auto"/>
                  <w:noWrap w:val="0"/>
                  <w:vAlign w:val="center"/>
                </w:tcPr>
                <w:p w14:paraId="42ECD01C">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val="0"/>
                      <w:snapToGrid w:val="0"/>
                      <w:color w:val="auto"/>
                      <w:sz w:val="21"/>
                      <w:szCs w:val="21"/>
                      <w:highlight w:val="none"/>
                      <w:lang w:val="en-US" w:eastAsia="zh-CN" w:bidi="ar-SA"/>
                    </w:rPr>
                  </w:pPr>
                  <w:r>
                    <w:rPr>
                      <w:rFonts w:hint="default" w:ascii="Times New Roman" w:hAnsi="Times New Roman" w:cs="Times New Roman"/>
                      <w:bCs w:val="0"/>
                      <w:color w:val="auto"/>
                      <w:sz w:val="21"/>
                      <w:szCs w:val="21"/>
                      <w:highlight w:val="none"/>
                    </w:rPr>
                    <w:t>2类</w:t>
                  </w:r>
                </w:p>
              </w:tc>
              <w:tc>
                <w:tcPr>
                  <w:tcW w:w="614" w:type="pct"/>
                  <w:shd w:val="clear" w:color="auto" w:fill="auto"/>
                  <w:noWrap w:val="0"/>
                  <w:vAlign w:val="center"/>
                </w:tcPr>
                <w:p w14:paraId="3802B2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57</w:t>
                  </w:r>
                </w:p>
              </w:tc>
              <w:tc>
                <w:tcPr>
                  <w:tcW w:w="659" w:type="pct"/>
                  <w:shd w:val="clear" w:color="auto" w:fill="auto"/>
                  <w:noWrap w:val="0"/>
                  <w:vAlign w:val="center"/>
                </w:tcPr>
                <w:p w14:paraId="244589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44</w:t>
                  </w:r>
                </w:p>
              </w:tc>
              <w:tc>
                <w:tcPr>
                  <w:tcW w:w="552" w:type="pct"/>
                  <w:vMerge w:val="restart"/>
                  <w:noWrap w:val="0"/>
                  <w:vAlign w:val="center"/>
                </w:tcPr>
                <w:p w14:paraId="1FDBDE78">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环境噪声</w:t>
                  </w:r>
                </w:p>
              </w:tc>
            </w:tr>
            <w:tr w14:paraId="23991A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continue"/>
                  <w:shd w:val="clear" w:color="auto" w:fill="auto"/>
                  <w:noWrap w:val="0"/>
                  <w:vAlign w:val="center"/>
                </w:tcPr>
                <w:p w14:paraId="490724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p>
              </w:tc>
              <w:tc>
                <w:tcPr>
                  <w:tcW w:w="1298" w:type="pct"/>
                  <w:tcBorders>
                    <w:top w:val="single" w:color="auto" w:sz="4" w:space="0"/>
                  </w:tcBorders>
                  <w:shd w:val="clear" w:color="auto" w:fill="auto"/>
                  <w:noWrap w:val="0"/>
                  <w:vAlign w:val="center"/>
                </w:tcPr>
                <w:p w14:paraId="2CD66B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N2</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石河镇段1#居民点</w:t>
                  </w:r>
                </w:p>
              </w:tc>
              <w:tc>
                <w:tcPr>
                  <w:tcW w:w="720" w:type="pct"/>
                  <w:shd w:val="clear" w:color="auto" w:fill="auto"/>
                  <w:noWrap w:val="0"/>
                  <w:vAlign w:val="center"/>
                </w:tcPr>
                <w:p w14:paraId="254AAC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2025.02.21</w:t>
                  </w:r>
                </w:p>
              </w:tc>
              <w:tc>
                <w:tcPr>
                  <w:tcW w:w="515" w:type="pct"/>
                  <w:vMerge w:val="continue"/>
                  <w:noWrap w:val="0"/>
                  <w:vAlign w:val="center"/>
                </w:tcPr>
                <w:p w14:paraId="18A1377F">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14" w:type="pct"/>
                  <w:shd w:val="clear" w:color="auto" w:fill="auto"/>
                  <w:noWrap w:val="0"/>
                  <w:vAlign w:val="center"/>
                </w:tcPr>
                <w:p w14:paraId="39C65E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54</w:t>
                  </w:r>
                </w:p>
              </w:tc>
              <w:tc>
                <w:tcPr>
                  <w:tcW w:w="659" w:type="pct"/>
                  <w:shd w:val="clear" w:color="auto" w:fill="auto"/>
                  <w:noWrap w:val="0"/>
                  <w:vAlign w:val="center"/>
                </w:tcPr>
                <w:p w14:paraId="55B84F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45</w:t>
                  </w:r>
                </w:p>
              </w:tc>
              <w:tc>
                <w:tcPr>
                  <w:tcW w:w="552" w:type="pct"/>
                  <w:vMerge w:val="continue"/>
                  <w:noWrap w:val="0"/>
                  <w:vAlign w:val="center"/>
                </w:tcPr>
                <w:p w14:paraId="20164683">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22DF15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continue"/>
                  <w:shd w:val="clear" w:color="auto" w:fill="auto"/>
                  <w:noWrap w:val="0"/>
                  <w:vAlign w:val="center"/>
                </w:tcPr>
                <w:p w14:paraId="785EB2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p>
              </w:tc>
              <w:tc>
                <w:tcPr>
                  <w:tcW w:w="1298" w:type="pct"/>
                  <w:tcBorders>
                    <w:top w:val="single" w:color="auto" w:sz="4" w:space="0"/>
                  </w:tcBorders>
                  <w:shd w:val="clear" w:color="auto" w:fill="auto"/>
                  <w:noWrap w:val="0"/>
                  <w:vAlign w:val="center"/>
                </w:tcPr>
                <w:p w14:paraId="64393D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N3</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石河镇段终点</w:t>
                  </w:r>
                </w:p>
              </w:tc>
              <w:tc>
                <w:tcPr>
                  <w:tcW w:w="720" w:type="pct"/>
                  <w:shd w:val="clear" w:color="auto" w:fill="auto"/>
                  <w:noWrap w:val="0"/>
                  <w:vAlign w:val="center"/>
                </w:tcPr>
                <w:p w14:paraId="56D09D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2025.02.21</w:t>
                  </w:r>
                </w:p>
              </w:tc>
              <w:tc>
                <w:tcPr>
                  <w:tcW w:w="515" w:type="pct"/>
                  <w:vMerge w:val="continue"/>
                  <w:noWrap w:val="0"/>
                  <w:vAlign w:val="center"/>
                </w:tcPr>
                <w:p w14:paraId="3BD66D6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14" w:type="pct"/>
                  <w:shd w:val="clear" w:color="auto" w:fill="auto"/>
                  <w:noWrap w:val="0"/>
                  <w:vAlign w:val="center"/>
                </w:tcPr>
                <w:p w14:paraId="60BA46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51</w:t>
                  </w:r>
                </w:p>
              </w:tc>
              <w:tc>
                <w:tcPr>
                  <w:tcW w:w="659" w:type="pct"/>
                  <w:shd w:val="clear" w:color="auto" w:fill="auto"/>
                  <w:noWrap w:val="0"/>
                  <w:vAlign w:val="center"/>
                </w:tcPr>
                <w:p w14:paraId="48110C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42</w:t>
                  </w:r>
                </w:p>
              </w:tc>
              <w:tc>
                <w:tcPr>
                  <w:tcW w:w="552" w:type="pct"/>
                  <w:vMerge w:val="continue"/>
                  <w:noWrap w:val="0"/>
                  <w:vAlign w:val="center"/>
                </w:tcPr>
                <w:p w14:paraId="053E9084">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198384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continue"/>
                  <w:shd w:val="clear" w:color="auto" w:fill="auto"/>
                  <w:noWrap w:val="0"/>
                  <w:vAlign w:val="center"/>
                </w:tcPr>
                <w:p w14:paraId="3FD430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p>
              </w:tc>
              <w:tc>
                <w:tcPr>
                  <w:tcW w:w="1298" w:type="pct"/>
                  <w:tcBorders>
                    <w:top w:val="single" w:color="auto" w:sz="4" w:space="0"/>
                  </w:tcBorders>
                  <w:shd w:val="clear" w:color="auto" w:fill="auto"/>
                  <w:noWrap w:val="0"/>
                  <w:vAlign w:val="center"/>
                </w:tcPr>
                <w:p w14:paraId="0718D7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N4</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双拱场段起点</w:t>
                  </w:r>
                </w:p>
              </w:tc>
              <w:tc>
                <w:tcPr>
                  <w:tcW w:w="720" w:type="pct"/>
                  <w:shd w:val="clear" w:color="auto" w:fill="auto"/>
                  <w:noWrap w:val="0"/>
                  <w:vAlign w:val="center"/>
                </w:tcPr>
                <w:p w14:paraId="4698B9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2025.02.21</w:t>
                  </w:r>
                </w:p>
              </w:tc>
              <w:tc>
                <w:tcPr>
                  <w:tcW w:w="515" w:type="pct"/>
                  <w:vMerge w:val="continue"/>
                  <w:noWrap w:val="0"/>
                  <w:vAlign w:val="center"/>
                </w:tcPr>
                <w:p w14:paraId="211ADAA9">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14" w:type="pct"/>
                  <w:shd w:val="clear" w:color="auto" w:fill="auto"/>
                  <w:noWrap w:val="0"/>
                  <w:vAlign w:val="center"/>
                </w:tcPr>
                <w:p w14:paraId="5A53D9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50</w:t>
                  </w:r>
                </w:p>
              </w:tc>
              <w:tc>
                <w:tcPr>
                  <w:tcW w:w="659" w:type="pct"/>
                  <w:shd w:val="clear" w:color="auto" w:fill="auto"/>
                  <w:noWrap w:val="0"/>
                  <w:vAlign w:val="center"/>
                </w:tcPr>
                <w:p w14:paraId="2A4DA1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43</w:t>
                  </w:r>
                </w:p>
              </w:tc>
              <w:tc>
                <w:tcPr>
                  <w:tcW w:w="552" w:type="pct"/>
                  <w:vMerge w:val="continue"/>
                  <w:noWrap w:val="0"/>
                  <w:vAlign w:val="center"/>
                </w:tcPr>
                <w:p w14:paraId="192E773F">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1FB11D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continue"/>
                  <w:shd w:val="clear" w:color="auto" w:fill="auto"/>
                  <w:noWrap w:val="0"/>
                  <w:vAlign w:val="center"/>
                </w:tcPr>
                <w:p w14:paraId="0BBEE6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p>
              </w:tc>
              <w:tc>
                <w:tcPr>
                  <w:tcW w:w="1298" w:type="pct"/>
                  <w:tcBorders>
                    <w:top w:val="single" w:color="auto" w:sz="4" w:space="0"/>
                  </w:tcBorders>
                  <w:shd w:val="clear" w:color="auto" w:fill="auto"/>
                  <w:noWrap w:val="0"/>
                  <w:vAlign w:val="center"/>
                </w:tcPr>
                <w:p w14:paraId="571330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N5</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双拱场段2</w:t>
                  </w:r>
                  <w:r>
                    <w:rPr>
                      <w:rFonts w:hint="default" w:ascii="Times New Roman" w:hAnsi="Times New Roman" w:eastAsia="宋体" w:cs="Times New Roman"/>
                      <w:color w:val="auto"/>
                      <w:sz w:val="21"/>
                      <w:szCs w:val="21"/>
                      <w:highlight w:val="none"/>
                      <w:lang w:eastAsia="zh-CN"/>
                    </w:rPr>
                    <w:t>#居民点</w:t>
                  </w:r>
                </w:p>
              </w:tc>
              <w:tc>
                <w:tcPr>
                  <w:tcW w:w="720" w:type="pct"/>
                  <w:shd w:val="clear" w:color="auto" w:fill="auto"/>
                  <w:noWrap w:val="0"/>
                  <w:vAlign w:val="center"/>
                </w:tcPr>
                <w:p w14:paraId="4D333C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2025.02.21</w:t>
                  </w:r>
                </w:p>
              </w:tc>
              <w:tc>
                <w:tcPr>
                  <w:tcW w:w="515" w:type="pct"/>
                  <w:vMerge w:val="continue"/>
                  <w:noWrap w:val="0"/>
                  <w:vAlign w:val="center"/>
                </w:tcPr>
                <w:p w14:paraId="381B433C">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14" w:type="pct"/>
                  <w:shd w:val="clear" w:color="auto" w:fill="auto"/>
                  <w:noWrap w:val="0"/>
                  <w:vAlign w:val="center"/>
                </w:tcPr>
                <w:p w14:paraId="429ECD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54</w:t>
                  </w:r>
                </w:p>
              </w:tc>
              <w:tc>
                <w:tcPr>
                  <w:tcW w:w="659" w:type="pct"/>
                  <w:shd w:val="clear" w:color="auto" w:fill="auto"/>
                  <w:noWrap w:val="0"/>
                  <w:vAlign w:val="center"/>
                </w:tcPr>
                <w:p w14:paraId="6321AF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47</w:t>
                  </w:r>
                </w:p>
              </w:tc>
              <w:tc>
                <w:tcPr>
                  <w:tcW w:w="552" w:type="pct"/>
                  <w:vMerge w:val="continue"/>
                  <w:noWrap w:val="0"/>
                  <w:vAlign w:val="center"/>
                </w:tcPr>
                <w:p w14:paraId="314AAE9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338E28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continue"/>
                  <w:shd w:val="clear" w:color="auto" w:fill="auto"/>
                  <w:noWrap w:val="0"/>
                  <w:vAlign w:val="center"/>
                </w:tcPr>
                <w:p w14:paraId="6205E9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p>
              </w:tc>
              <w:tc>
                <w:tcPr>
                  <w:tcW w:w="1298" w:type="pct"/>
                  <w:tcBorders>
                    <w:top w:val="single" w:color="auto" w:sz="4" w:space="0"/>
                  </w:tcBorders>
                  <w:shd w:val="clear" w:color="auto" w:fill="auto"/>
                  <w:noWrap w:val="0"/>
                  <w:vAlign w:val="center"/>
                </w:tcPr>
                <w:p w14:paraId="0E890A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N6</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双拱场段终点</w:t>
                  </w:r>
                </w:p>
              </w:tc>
              <w:tc>
                <w:tcPr>
                  <w:tcW w:w="720" w:type="pct"/>
                  <w:shd w:val="clear" w:color="auto" w:fill="auto"/>
                  <w:noWrap w:val="0"/>
                  <w:vAlign w:val="center"/>
                </w:tcPr>
                <w:p w14:paraId="2BC5A4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2025.02.21</w:t>
                  </w:r>
                </w:p>
              </w:tc>
              <w:tc>
                <w:tcPr>
                  <w:tcW w:w="515" w:type="pct"/>
                  <w:vMerge w:val="continue"/>
                  <w:noWrap w:val="0"/>
                  <w:vAlign w:val="center"/>
                </w:tcPr>
                <w:p w14:paraId="78599BED">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c>
                <w:tcPr>
                  <w:tcW w:w="614" w:type="pct"/>
                  <w:shd w:val="clear" w:color="auto" w:fill="auto"/>
                  <w:noWrap w:val="0"/>
                  <w:vAlign w:val="center"/>
                </w:tcPr>
                <w:p w14:paraId="7C0452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53</w:t>
                  </w:r>
                </w:p>
              </w:tc>
              <w:tc>
                <w:tcPr>
                  <w:tcW w:w="659" w:type="pct"/>
                  <w:shd w:val="clear" w:color="auto" w:fill="auto"/>
                  <w:noWrap w:val="0"/>
                  <w:vAlign w:val="center"/>
                </w:tcPr>
                <w:p w14:paraId="547092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42</w:t>
                  </w:r>
                </w:p>
              </w:tc>
              <w:tc>
                <w:tcPr>
                  <w:tcW w:w="552" w:type="pct"/>
                  <w:vMerge w:val="continue"/>
                  <w:noWrap w:val="0"/>
                  <w:vAlign w:val="center"/>
                </w:tcPr>
                <w:p w14:paraId="31102310">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p>
              </w:tc>
            </w:tr>
            <w:tr w14:paraId="33FF9B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restart"/>
                  <w:shd w:val="clear" w:color="auto" w:fill="auto"/>
                  <w:noWrap w:val="0"/>
                  <w:vAlign w:val="center"/>
                </w:tcPr>
                <w:p w14:paraId="690D03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清河镇及</w:t>
                  </w:r>
                </w:p>
                <w:p w14:paraId="794DC5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杨家镇段</w:t>
                  </w:r>
                </w:p>
              </w:tc>
              <w:tc>
                <w:tcPr>
                  <w:tcW w:w="1298" w:type="pct"/>
                  <w:tcBorders>
                    <w:top w:val="single" w:color="auto" w:sz="4" w:space="0"/>
                  </w:tcBorders>
                  <w:shd w:val="clear" w:color="auto" w:fill="auto"/>
                  <w:noWrap w:val="0"/>
                  <w:vAlign w:val="center"/>
                </w:tcPr>
                <w:p w14:paraId="5FA85B61">
                  <w:pPr>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N1，清河镇治理河段起点东侧居民点</w:t>
                  </w:r>
                </w:p>
              </w:tc>
              <w:tc>
                <w:tcPr>
                  <w:tcW w:w="720" w:type="pct"/>
                  <w:shd w:val="clear" w:color="auto" w:fill="auto"/>
                  <w:noWrap w:val="0"/>
                  <w:vAlign w:val="center"/>
                </w:tcPr>
                <w:p w14:paraId="36D0EF8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rPr>
                    <w:t>2</w:t>
                  </w:r>
                  <w:r>
                    <w:rPr>
                      <w:color w:val="auto"/>
                      <w:sz w:val="21"/>
                      <w:szCs w:val="21"/>
                      <w:highlight w:val="none"/>
                    </w:rPr>
                    <w:t>025.2.22</w:t>
                  </w:r>
                </w:p>
              </w:tc>
              <w:tc>
                <w:tcPr>
                  <w:tcW w:w="515" w:type="pct"/>
                  <w:vMerge w:val="restart"/>
                  <w:shd w:val="clear" w:color="auto" w:fill="auto"/>
                  <w:noWrap w:val="0"/>
                  <w:vAlign w:val="center"/>
                </w:tcPr>
                <w:p w14:paraId="5D6333AA">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val="0"/>
                      <w:snapToGrid w:val="0"/>
                      <w:color w:val="auto"/>
                      <w:sz w:val="21"/>
                      <w:szCs w:val="21"/>
                      <w:highlight w:val="none"/>
                      <w:lang w:val="en-US" w:eastAsia="zh-CN" w:bidi="ar-SA"/>
                    </w:rPr>
                  </w:pPr>
                  <w:r>
                    <w:rPr>
                      <w:rFonts w:hint="default" w:ascii="Times New Roman" w:hAnsi="Times New Roman" w:cs="Times New Roman"/>
                      <w:bCs w:val="0"/>
                      <w:color w:val="auto"/>
                      <w:sz w:val="21"/>
                      <w:szCs w:val="21"/>
                      <w:highlight w:val="none"/>
                    </w:rPr>
                    <w:t>2类</w:t>
                  </w:r>
                </w:p>
              </w:tc>
              <w:tc>
                <w:tcPr>
                  <w:tcW w:w="614" w:type="pct"/>
                  <w:shd w:val="clear" w:color="auto" w:fill="auto"/>
                  <w:noWrap w:val="0"/>
                  <w:vAlign w:val="center"/>
                </w:tcPr>
                <w:p w14:paraId="0E1C780B">
                  <w:pPr>
                    <w:pStyle w:val="36"/>
                    <w:keepNext w:val="0"/>
                    <w:keepLines w:val="0"/>
                    <w:pageBreakBefore w:val="0"/>
                    <w:widowControl w:val="0"/>
                    <w:kinsoku/>
                    <w:wordWrap/>
                    <w:overflowPunct/>
                    <w:topLinePunct w:val="0"/>
                    <w:autoSpaceDE/>
                    <w:autoSpaceDN/>
                    <w:bidi w:val="0"/>
                    <w:adjustRightInd/>
                    <w:snapToGrid/>
                    <w:spacing w:before="0" w:after="0" w:line="240" w:lineRule="exact"/>
                    <w:ind w:left="0" w:leftChars="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cs="Times New Roman"/>
                      <w:bCs/>
                      <w:color w:val="auto"/>
                      <w:sz w:val="21"/>
                      <w:szCs w:val="21"/>
                      <w:highlight w:val="none"/>
                    </w:rPr>
                    <w:t>5</w:t>
                  </w:r>
                  <w:r>
                    <w:rPr>
                      <w:rFonts w:cs="Times New Roman"/>
                      <w:bCs/>
                      <w:color w:val="auto"/>
                      <w:sz w:val="21"/>
                      <w:szCs w:val="21"/>
                      <w:highlight w:val="none"/>
                    </w:rPr>
                    <w:t>5</w:t>
                  </w:r>
                </w:p>
              </w:tc>
              <w:tc>
                <w:tcPr>
                  <w:tcW w:w="659" w:type="pct"/>
                  <w:shd w:val="clear" w:color="auto" w:fill="auto"/>
                  <w:noWrap w:val="0"/>
                  <w:vAlign w:val="center"/>
                </w:tcPr>
                <w:p w14:paraId="59B16724">
                  <w:pPr>
                    <w:pStyle w:val="36"/>
                    <w:keepNext w:val="0"/>
                    <w:keepLines w:val="0"/>
                    <w:pageBreakBefore w:val="0"/>
                    <w:widowControl w:val="0"/>
                    <w:kinsoku/>
                    <w:wordWrap/>
                    <w:overflowPunct/>
                    <w:topLinePunct w:val="0"/>
                    <w:autoSpaceDE/>
                    <w:autoSpaceDN/>
                    <w:bidi w:val="0"/>
                    <w:adjustRightInd/>
                    <w:snapToGrid/>
                    <w:spacing w:before="0" w:after="0" w:line="240" w:lineRule="exact"/>
                    <w:ind w:left="0" w:leftChars="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cs="Times New Roman"/>
                      <w:bCs/>
                      <w:color w:val="auto"/>
                      <w:sz w:val="21"/>
                      <w:szCs w:val="21"/>
                      <w:highlight w:val="none"/>
                    </w:rPr>
                    <w:t>4</w:t>
                  </w:r>
                  <w:r>
                    <w:rPr>
                      <w:rFonts w:cs="Times New Roman"/>
                      <w:bCs/>
                      <w:color w:val="auto"/>
                      <w:sz w:val="21"/>
                      <w:szCs w:val="21"/>
                      <w:highlight w:val="none"/>
                    </w:rPr>
                    <w:t>5</w:t>
                  </w:r>
                </w:p>
              </w:tc>
              <w:tc>
                <w:tcPr>
                  <w:tcW w:w="552" w:type="pct"/>
                  <w:vMerge w:val="restart"/>
                  <w:noWrap w:val="0"/>
                  <w:vAlign w:val="center"/>
                </w:tcPr>
                <w:p w14:paraId="1376E677">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环境噪声</w:t>
                  </w:r>
                </w:p>
              </w:tc>
            </w:tr>
            <w:tr w14:paraId="3B4DEE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continue"/>
                  <w:shd w:val="clear" w:color="auto" w:fill="auto"/>
                  <w:noWrap w:val="0"/>
                  <w:vAlign w:val="center"/>
                </w:tcPr>
                <w:p w14:paraId="5C6DE3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p>
              </w:tc>
              <w:tc>
                <w:tcPr>
                  <w:tcW w:w="1298" w:type="pct"/>
                  <w:tcBorders>
                    <w:top w:val="single" w:color="auto" w:sz="4" w:space="0"/>
                  </w:tcBorders>
                  <w:shd w:val="clear" w:color="auto" w:fill="auto"/>
                  <w:noWrap w:val="0"/>
                  <w:vAlign w:val="center"/>
                </w:tcPr>
                <w:p w14:paraId="660B3FCC">
                  <w:pPr>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N2，清河镇治理河段清河镇居民点</w:t>
                  </w:r>
                </w:p>
              </w:tc>
              <w:tc>
                <w:tcPr>
                  <w:tcW w:w="720" w:type="pct"/>
                  <w:shd w:val="clear" w:color="auto" w:fill="auto"/>
                  <w:noWrap w:val="0"/>
                  <w:vAlign w:val="center"/>
                </w:tcPr>
                <w:p w14:paraId="476DF47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rPr>
                    <w:t>2</w:t>
                  </w:r>
                  <w:r>
                    <w:rPr>
                      <w:color w:val="auto"/>
                      <w:sz w:val="21"/>
                      <w:szCs w:val="21"/>
                      <w:highlight w:val="none"/>
                    </w:rPr>
                    <w:t>025.2.22</w:t>
                  </w:r>
                </w:p>
              </w:tc>
              <w:tc>
                <w:tcPr>
                  <w:tcW w:w="515" w:type="pct"/>
                  <w:vMerge w:val="continue"/>
                  <w:noWrap w:val="0"/>
                  <w:vAlign w:val="center"/>
                </w:tcPr>
                <w:p w14:paraId="66F50EA3">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bCs w:val="0"/>
                      <w:color w:val="auto"/>
                      <w:sz w:val="21"/>
                      <w:szCs w:val="21"/>
                      <w:highlight w:val="none"/>
                    </w:rPr>
                  </w:pPr>
                </w:p>
              </w:tc>
              <w:tc>
                <w:tcPr>
                  <w:tcW w:w="614" w:type="pct"/>
                  <w:shd w:val="clear" w:color="auto" w:fill="auto"/>
                  <w:noWrap w:val="0"/>
                  <w:vAlign w:val="center"/>
                </w:tcPr>
                <w:p w14:paraId="257F30C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bCs/>
                      <w:color w:val="auto"/>
                      <w:sz w:val="21"/>
                      <w:szCs w:val="21"/>
                      <w:highlight w:val="none"/>
                    </w:rPr>
                    <w:t>5</w:t>
                  </w:r>
                  <w:r>
                    <w:rPr>
                      <w:bCs/>
                      <w:color w:val="auto"/>
                      <w:sz w:val="21"/>
                      <w:szCs w:val="21"/>
                      <w:highlight w:val="none"/>
                    </w:rPr>
                    <w:t>4</w:t>
                  </w:r>
                </w:p>
              </w:tc>
              <w:tc>
                <w:tcPr>
                  <w:tcW w:w="659" w:type="pct"/>
                  <w:shd w:val="clear" w:color="auto" w:fill="auto"/>
                  <w:noWrap w:val="0"/>
                  <w:vAlign w:val="center"/>
                </w:tcPr>
                <w:p w14:paraId="4EC0A25C">
                  <w:pPr>
                    <w:pStyle w:val="36"/>
                    <w:keepNext w:val="0"/>
                    <w:keepLines w:val="0"/>
                    <w:pageBreakBefore w:val="0"/>
                    <w:widowControl w:val="0"/>
                    <w:kinsoku/>
                    <w:wordWrap/>
                    <w:overflowPunct/>
                    <w:topLinePunct w:val="0"/>
                    <w:autoSpaceDE/>
                    <w:autoSpaceDN/>
                    <w:bidi w:val="0"/>
                    <w:adjustRightInd/>
                    <w:snapToGrid/>
                    <w:spacing w:before="0" w:after="0" w:line="240" w:lineRule="exact"/>
                    <w:ind w:left="0" w:leftChars="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cs="Times New Roman"/>
                      <w:bCs/>
                      <w:color w:val="auto"/>
                      <w:sz w:val="21"/>
                      <w:szCs w:val="21"/>
                      <w:highlight w:val="none"/>
                    </w:rPr>
                    <w:t>4</w:t>
                  </w:r>
                  <w:r>
                    <w:rPr>
                      <w:rFonts w:cs="Times New Roman"/>
                      <w:bCs/>
                      <w:color w:val="auto"/>
                      <w:sz w:val="21"/>
                      <w:szCs w:val="21"/>
                      <w:highlight w:val="none"/>
                    </w:rPr>
                    <w:t>8</w:t>
                  </w:r>
                </w:p>
              </w:tc>
              <w:tc>
                <w:tcPr>
                  <w:tcW w:w="552" w:type="pct"/>
                  <w:vMerge w:val="continue"/>
                  <w:noWrap w:val="0"/>
                  <w:vAlign w:val="center"/>
                </w:tcPr>
                <w:p w14:paraId="6AB05CDF">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bCs w:val="0"/>
                      <w:color w:val="auto"/>
                      <w:sz w:val="21"/>
                      <w:szCs w:val="21"/>
                      <w:highlight w:val="none"/>
                    </w:rPr>
                  </w:pPr>
                </w:p>
              </w:tc>
            </w:tr>
            <w:tr w14:paraId="4FF8B1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continue"/>
                  <w:shd w:val="clear" w:color="auto" w:fill="auto"/>
                  <w:noWrap w:val="0"/>
                  <w:vAlign w:val="center"/>
                </w:tcPr>
                <w:p w14:paraId="356FC1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p>
              </w:tc>
              <w:tc>
                <w:tcPr>
                  <w:tcW w:w="1298" w:type="pct"/>
                  <w:tcBorders>
                    <w:top w:val="single" w:color="auto" w:sz="4" w:space="0"/>
                  </w:tcBorders>
                  <w:shd w:val="clear" w:color="auto" w:fill="auto"/>
                  <w:noWrap w:val="0"/>
                  <w:vAlign w:val="center"/>
                </w:tcPr>
                <w:p w14:paraId="76E6D825">
                  <w:pPr>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N3，清河镇治理河段终点西侧居民点</w:t>
                  </w:r>
                </w:p>
              </w:tc>
              <w:tc>
                <w:tcPr>
                  <w:tcW w:w="720" w:type="pct"/>
                  <w:shd w:val="clear" w:color="auto" w:fill="auto"/>
                  <w:noWrap w:val="0"/>
                  <w:vAlign w:val="center"/>
                </w:tcPr>
                <w:p w14:paraId="65F2CA4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rPr>
                    <w:t>2</w:t>
                  </w:r>
                  <w:r>
                    <w:rPr>
                      <w:color w:val="auto"/>
                      <w:sz w:val="21"/>
                      <w:szCs w:val="21"/>
                      <w:highlight w:val="none"/>
                    </w:rPr>
                    <w:t>025.2.22</w:t>
                  </w:r>
                </w:p>
              </w:tc>
              <w:tc>
                <w:tcPr>
                  <w:tcW w:w="515" w:type="pct"/>
                  <w:vMerge w:val="continue"/>
                  <w:noWrap w:val="0"/>
                  <w:vAlign w:val="center"/>
                </w:tcPr>
                <w:p w14:paraId="2D8B4287">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bCs w:val="0"/>
                      <w:color w:val="auto"/>
                      <w:sz w:val="21"/>
                      <w:szCs w:val="21"/>
                      <w:highlight w:val="none"/>
                    </w:rPr>
                  </w:pPr>
                </w:p>
              </w:tc>
              <w:tc>
                <w:tcPr>
                  <w:tcW w:w="614" w:type="pct"/>
                  <w:shd w:val="clear" w:color="auto" w:fill="auto"/>
                  <w:noWrap w:val="0"/>
                  <w:vAlign w:val="center"/>
                </w:tcPr>
                <w:p w14:paraId="692BB50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bCs/>
                      <w:color w:val="auto"/>
                      <w:sz w:val="21"/>
                      <w:szCs w:val="21"/>
                      <w:highlight w:val="none"/>
                    </w:rPr>
                    <w:t>5</w:t>
                  </w:r>
                  <w:r>
                    <w:rPr>
                      <w:bCs/>
                      <w:color w:val="auto"/>
                      <w:sz w:val="21"/>
                      <w:szCs w:val="21"/>
                      <w:highlight w:val="none"/>
                    </w:rPr>
                    <w:t>4</w:t>
                  </w:r>
                </w:p>
              </w:tc>
              <w:tc>
                <w:tcPr>
                  <w:tcW w:w="659" w:type="pct"/>
                  <w:shd w:val="clear" w:color="auto" w:fill="auto"/>
                  <w:noWrap w:val="0"/>
                  <w:vAlign w:val="center"/>
                </w:tcPr>
                <w:p w14:paraId="6B0F47CA">
                  <w:pPr>
                    <w:pStyle w:val="36"/>
                    <w:keepNext w:val="0"/>
                    <w:keepLines w:val="0"/>
                    <w:pageBreakBefore w:val="0"/>
                    <w:widowControl w:val="0"/>
                    <w:kinsoku/>
                    <w:wordWrap/>
                    <w:overflowPunct/>
                    <w:topLinePunct w:val="0"/>
                    <w:autoSpaceDE/>
                    <w:autoSpaceDN/>
                    <w:bidi w:val="0"/>
                    <w:adjustRightInd/>
                    <w:snapToGrid/>
                    <w:spacing w:before="0" w:after="0" w:line="240" w:lineRule="exact"/>
                    <w:ind w:left="0" w:leftChars="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cs="Times New Roman"/>
                      <w:bCs/>
                      <w:color w:val="auto"/>
                      <w:sz w:val="21"/>
                      <w:szCs w:val="21"/>
                      <w:highlight w:val="none"/>
                    </w:rPr>
                    <w:t>4</w:t>
                  </w:r>
                  <w:r>
                    <w:rPr>
                      <w:rFonts w:cs="Times New Roman"/>
                      <w:bCs/>
                      <w:color w:val="auto"/>
                      <w:sz w:val="21"/>
                      <w:szCs w:val="21"/>
                      <w:highlight w:val="none"/>
                    </w:rPr>
                    <w:t>3</w:t>
                  </w:r>
                </w:p>
              </w:tc>
              <w:tc>
                <w:tcPr>
                  <w:tcW w:w="552" w:type="pct"/>
                  <w:vMerge w:val="continue"/>
                  <w:noWrap w:val="0"/>
                  <w:vAlign w:val="center"/>
                </w:tcPr>
                <w:p w14:paraId="4CABB35D">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bCs w:val="0"/>
                      <w:color w:val="auto"/>
                      <w:sz w:val="21"/>
                      <w:szCs w:val="21"/>
                      <w:highlight w:val="none"/>
                    </w:rPr>
                  </w:pPr>
                </w:p>
              </w:tc>
            </w:tr>
            <w:tr w14:paraId="119922F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continue"/>
                  <w:shd w:val="clear" w:color="auto" w:fill="auto"/>
                  <w:noWrap w:val="0"/>
                  <w:vAlign w:val="center"/>
                </w:tcPr>
                <w:p w14:paraId="04B6C4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p>
              </w:tc>
              <w:tc>
                <w:tcPr>
                  <w:tcW w:w="1298" w:type="pct"/>
                  <w:tcBorders>
                    <w:top w:val="single" w:color="auto" w:sz="4" w:space="0"/>
                  </w:tcBorders>
                  <w:shd w:val="clear" w:color="auto" w:fill="auto"/>
                  <w:noWrap w:val="0"/>
                  <w:vAlign w:val="center"/>
                </w:tcPr>
                <w:p w14:paraId="22F92FB7">
                  <w:pPr>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N4，杨家镇治理河段狮谭村居民点</w:t>
                  </w:r>
                </w:p>
              </w:tc>
              <w:tc>
                <w:tcPr>
                  <w:tcW w:w="720" w:type="pct"/>
                  <w:shd w:val="clear" w:color="auto" w:fill="auto"/>
                  <w:noWrap w:val="0"/>
                  <w:vAlign w:val="center"/>
                </w:tcPr>
                <w:p w14:paraId="01E1014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rPr>
                    <w:t>2</w:t>
                  </w:r>
                  <w:r>
                    <w:rPr>
                      <w:color w:val="auto"/>
                      <w:sz w:val="21"/>
                      <w:szCs w:val="21"/>
                      <w:highlight w:val="none"/>
                    </w:rPr>
                    <w:t>025.2.22</w:t>
                  </w:r>
                </w:p>
              </w:tc>
              <w:tc>
                <w:tcPr>
                  <w:tcW w:w="515" w:type="pct"/>
                  <w:vMerge w:val="continue"/>
                  <w:noWrap w:val="0"/>
                  <w:vAlign w:val="center"/>
                </w:tcPr>
                <w:p w14:paraId="1DEEAE2E">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bCs w:val="0"/>
                      <w:color w:val="auto"/>
                      <w:sz w:val="21"/>
                      <w:szCs w:val="21"/>
                      <w:highlight w:val="none"/>
                    </w:rPr>
                  </w:pPr>
                </w:p>
              </w:tc>
              <w:tc>
                <w:tcPr>
                  <w:tcW w:w="614" w:type="pct"/>
                  <w:shd w:val="clear" w:color="auto" w:fill="auto"/>
                  <w:noWrap w:val="0"/>
                  <w:vAlign w:val="center"/>
                </w:tcPr>
                <w:p w14:paraId="151A455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bCs/>
                      <w:color w:val="auto"/>
                      <w:sz w:val="21"/>
                      <w:szCs w:val="21"/>
                      <w:highlight w:val="none"/>
                    </w:rPr>
                    <w:t>5</w:t>
                  </w:r>
                  <w:r>
                    <w:rPr>
                      <w:bCs/>
                      <w:color w:val="auto"/>
                      <w:sz w:val="21"/>
                      <w:szCs w:val="21"/>
                      <w:highlight w:val="none"/>
                    </w:rPr>
                    <w:t>6</w:t>
                  </w:r>
                </w:p>
              </w:tc>
              <w:tc>
                <w:tcPr>
                  <w:tcW w:w="659" w:type="pct"/>
                  <w:shd w:val="clear" w:color="auto" w:fill="auto"/>
                  <w:noWrap w:val="0"/>
                  <w:vAlign w:val="center"/>
                </w:tcPr>
                <w:p w14:paraId="148048B6">
                  <w:pPr>
                    <w:pStyle w:val="36"/>
                    <w:keepNext w:val="0"/>
                    <w:keepLines w:val="0"/>
                    <w:pageBreakBefore w:val="0"/>
                    <w:widowControl w:val="0"/>
                    <w:kinsoku/>
                    <w:wordWrap/>
                    <w:overflowPunct/>
                    <w:topLinePunct w:val="0"/>
                    <w:autoSpaceDE/>
                    <w:autoSpaceDN/>
                    <w:bidi w:val="0"/>
                    <w:adjustRightInd/>
                    <w:snapToGrid/>
                    <w:spacing w:before="0" w:after="0" w:line="240" w:lineRule="exact"/>
                    <w:ind w:left="0" w:leftChars="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cs="Times New Roman"/>
                      <w:bCs/>
                      <w:color w:val="auto"/>
                      <w:sz w:val="21"/>
                      <w:szCs w:val="21"/>
                      <w:highlight w:val="none"/>
                    </w:rPr>
                    <w:t>4</w:t>
                  </w:r>
                  <w:r>
                    <w:rPr>
                      <w:rFonts w:cs="Times New Roman"/>
                      <w:bCs/>
                      <w:color w:val="auto"/>
                      <w:sz w:val="21"/>
                      <w:szCs w:val="21"/>
                      <w:highlight w:val="none"/>
                    </w:rPr>
                    <w:t>5</w:t>
                  </w:r>
                </w:p>
              </w:tc>
              <w:tc>
                <w:tcPr>
                  <w:tcW w:w="552" w:type="pct"/>
                  <w:vMerge w:val="continue"/>
                  <w:noWrap w:val="0"/>
                  <w:vAlign w:val="center"/>
                </w:tcPr>
                <w:p w14:paraId="41042107">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bCs w:val="0"/>
                      <w:color w:val="auto"/>
                      <w:sz w:val="21"/>
                      <w:szCs w:val="21"/>
                      <w:highlight w:val="none"/>
                    </w:rPr>
                  </w:pPr>
                </w:p>
              </w:tc>
            </w:tr>
            <w:tr w14:paraId="39403E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continue"/>
                  <w:shd w:val="clear" w:color="auto" w:fill="auto"/>
                  <w:noWrap w:val="0"/>
                  <w:vAlign w:val="center"/>
                </w:tcPr>
                <w:p w14:paraId="7B22A7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p>
              </w:tc>
              <w:tc>
                <w:tcPr>
                  <w:tcW w:w="1298" w:type="pct"/>
                  <w:tcBorders>
                    <w:top w:val="single" w:color="auto" w:sz="4" w:space="0"/>
                  </w:tcBorders>
                  <w:shd w:val="clear" w:color="auto" w:fill="auto"/>
                  <w:noWrap w:val="0"/>
                  <w:vAlign w:val="center"/>
                </w:tcPr>
                <w:p w14:paraId="2FF81C1E">
                  <w:pPr>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N5，杨家镇治理河段杨家镇居民点</w:t>
                  </w:r>
                </w:p>
              </w:tc>
              <w:tc>
                <w:tcPr>
                  <w:tcW w:w="720" w:type="pct"/>
                  <w:shd w:val="clear" w:color="auto" w:fill="auto"/>
                  <w:noWrap w:val="0"/>
                  <w:vAlign w:val="center"/>
                </w:tcPr>
                <w:p w14:paraId="2EF37CA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rPr>
                    <w:t>2</w:t>
                  </w:r>
                  <w:r>
                    <w:rPr>
                      <w:color w:val="auto"/>
                      <w:sz w:val="21"/>
                      <w:szCs w:val="21"/>
                      <w:highlight w:val="none"/>
                    </w:rPr>
                    <w:t>025.2.22</w:t>
                  </w:r>
                </w:p>
              </w:tc>
              <w:tc>
                <w:tcPr>
                  <w:tcW w:w="515" w:type="pct"/>
                  <w:vMerge w:val="continue"/>
                  <w:noWrap w:val="0"/>
                  <w:vAlign w:val="center"/>
                </w:tcPr>
                <w:p w14:paraId="2DCE6448">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bCs w:val="0"/>
                      <w:color w:val="auto"/>
                      <w:sz w:val="21"/>
                      <w:szCs w:val="21"/>
                      <w:highlight w:val="none"/>
                    </w:rPr>
                  </w:pPr>
                </w:p>
              </w:tc>
              <w:tc>
                <w:tcPr>
                  <w:tcW w:w="614" w:type="pct"/>
                  <w:shd w:val="clear" w:color="auto" w:fill="auto"/>
                  <w:noWrap w:val="0"/>
                  <w:vAlign w:val="center"/>
                </w:tcPr>
                <w:p w14:paraId="2CAB705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bCs/>
                      <w:color w:val="auto"/>
                      <w:sz w:val="21"/>
                      <w:szCs w:val="21"/>
                      <w:highlight w:val="none"/>
                    </w:rPr>
                    <w:t>5</w:t>
                  </w:r>
                  <w:r>
                    <w:rPr>
                      <w:bCs/>
                      <w:color w:val="auto"/>
                      <w:sz w:val="21"/>
                      <w:szCs w:val="21"/>
                      <w:highlight w:val="none"/>
                    </w:rPr>
                    <w:t>5</w:t>
                  </w:r>
                </w:p>
              </w:tc>
              <w:tc>
                <w:tcPr>
                  <w:tcW w:w="659" w:type="pct"/>
                  <w:shd w:val="clear" w:color="auto" w:fill="auto"/>
                  <w:noWrap w:val="0"/>
                  <w:vAlign w:val="center"/>
                </w:tcPr>
                <w:p w14:paraId="207D178E">
                  <w:pPr>
                    <w:pStyle w:val="36"/>
                    <w:keepNext w:val="0"/>
                    <w:keepLines w:val="0"/>
                    <w:pageBreakBefore w:val="0"/>
                    <w:widowControl w:val="0"/>
                    <w:kinsoku/>
                    <w:wordWrap/>
                    <w:overflowPunct/>
                    <w:topLinePunct w:val="0"/>
                    <w:autoSpaceDE/>
                    <w:autoSpaceDN/>
                    <w:bidi w:val="0"/>
                    <w:adjustRightInd/>
                    <w:snapToGrid/>
                    <w:spacing w:before="0" w:after="0" w:line="240" w:lineRule="exact"/>
                    <w:ind w:left="0" w:leftChars="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cs="Times New Roman"/>
                      <w:bCs/>
                      <w:color w:val="auto"/>
                      <w:sz w:val="21"/>
                      <w:szCs w:val="21"/>
                      <w:highlight w:val="none"/>
                    </w:rPr>
                    <w:t>4</w:t>
                  </w:r>
                  <w:r>
                    <w:rPr>
                      <w:rFonts w:cs="Times New Roman"/>
                      <w:bCs/>
                      <w:color w:val="auto"/>
                      <w:sz w:val="21"/>
                      <w:szCs w:val="21"/>
                      <w:highlight w:val="none"/>
                    </w:rPr>
                    <w:t>5</w:t>
                  </w:r>
                </w:p>
              </w:tc>
              <w:tc>
                <w:tcPr>
                  <w:tcW w:w="552" w:type="pct"/>
                  <w:vMerge w:val="continue"/>
                  <w:noWrap w:val="0"/>
                  <w:vAlign w:val="center"/>
                </w:tcPr>
                <w:p w14:paraId="7C400B46">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bCs w:val="0"/>
                      <w:color w:val="auto"/>
                      <w:sz w:val="21"/>
                      <w:szCs w:val="21"/>
                      <w:highlight w:val="none"/>
                    </w:rPr>
                  </w:pPr>
                </w:p>
              </w:tc>
            </w:tr>
            <w:tr w14:paraId="6824ED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0" w:type="pct"/>
                  <w:vMerge w:val="continue"/>
                  <w:shd w:val="clear" w:color="auto" w:fill="auto"/>
                  <w:noWrap w:val="0"/>
                  <w:vAlign w:val="center"/>
                </w:tcPr>
                <w:p w14:paraId="5E67F1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p>
              </w:tc>
              <w:tc>
                <w:tcPr>
                  <w:tcW w:w="1298" w:type="pct"/>
                  <w:tcBorders>
                    <w:top w:val="single" w:color="auto" w:sz="4" w:space="0"/>
                  </w:tcBorders>
                  <w:shd w:val="clear" w:color="auto" w:fill="auto"/>
                  <w:noWrap w:val="0"/>
                  <w:vAlign w:val="center"/>
                </w:tcPr>
                <w:p w14:paraId="4DFA3CF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color w:val="auto"/>
                      <w:sz w:val="21"/>
                      <w:szCs w:val="21"/>
                      <w:highlight w:val="none"/>
                    </w:rPr>
                    <w:t>N6，杨家镇治理河段终点西北侧居民点</w:t>
                  </w:r>
                </w:p>
              </w:tc>
              <w:tc>
                <w:tcPr>
                  <w:tcW w:w="720" w:type="pct"/>
                  <w:shd w:val="clear" w:color="auto" w:fill="auto"/>
                  <w:noWrap w:val="0"/>
                  <w:vAlign w:val="center"/>
                </w:tcPr>
                <w:p w14:paraId="6E831E6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rPr>
                    <w:t>2</w:t>
                  </w:r>
                  <w:r>
                    <w:rPr>
                      <w:color w:val="auto"/>
                      <w:sz w:val="21"/>
                      <w:szCs w:val="21"/>
                      <w:highlight w:val="none"/>
                    </w:rPr>
                    <w:t>025.2.22</w:t>
                  </w:r>
                </w:p>
              </w:tc>
              <w:tc>
                <w:tcPr>
                  <w:tcW w:w="515" w:type="pct"/>
                  <w:vMerge w:val="continue"/>
                  <w:noWrap w:val="0"/>
                  <w:vAlign w:val="center"/>
                </w:tcPr>
                <w:p w14:paraId="375A0C62">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bCs w:val="0"/>
                      <w:color w:val="auto"/>
                      <w:sz w:val="21"/>
                      <w:szCs w:val="21"/>
                      <w:highlight w:val="none"/>
                    </w:rPr>
                  </w:pPr>
                </w:p>
              </w:tc>
              <w:tc>
                <w:tcPr>
                  <w:tcW w:w="614" w:type="pct"/>
                  <w:shd w:val="clear" w:color="auto" w:fill="auto"/>
                  <w:noWrap w:val="0"/>
                  <w:vAlign w:val="center"/>
                </w:tcPr>
                <w:p w14:paraId="7EED267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bCs/>
                      <w:color w:val="auto"/>
                      <w:sz w:val="21"/>
                      <w:szCs w:val="21"/>
                      <w:highlight w:val="none"/>
                    </w:rPr>
                    <w:t>5</w:t>
                  </w:r>
                  <w:r>
                    <w:rPr>
                      <w:bCs/>
                      <w:color w:val="auto"/>
                      <w:sz w:val="21"/>
                      <w:szCs w:val="21"/>
                      <w:highlight w:val="none"/>
                    </w:rPr>
                    <w:t>6</w:t>
                  </w:r>
                </w:p>
              </w:tc>
              <w:tc>
                <w:tcPr>
                  <w:tcW w:w="659" w:type="pct"/>
                  <w:shd w:val="clear" w:color="auto" w:fill="auto"/>
                  <w:noWrap w:val="0"/>
                  <w:vAlign w:val="center"/>
                </w:tcPr>
                <w:p w14:paraId="1E537D30">
                  <w:pPr>
                    <w:pStyle w:val="36"/>
                    <w:keepNext w:val="0"/>
                    <w:keepLines w:val="0"/>
                    <w:pageBreakBefore w:val="0"/>
                    <w:widowControl w:val="0"/>
                    <w:kinsoku/>
                    <w:wordWrap/>
                    <w:overflowPunct/>
                    <w:topLinePunct w:val="0"/>
                    <w:autoSpaceDE/>
                    <w:autoSpaceDN/>
                    <w:bidi w:val="0"/>
                    <w:adjustRightInd/>
                    <w:snapToGrid/>
                    <w:spacing w:before="0" w:after="0" w:line="240" w:lineRule="exact"/>
                    <w:ind w:left="0" w:leftChars="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cs="Times New Roman"/>
                      <w:bCs/>
                      <w:color w:val="auto"/>
                      <w:sz w:val="21"/>
                      <w:szCs w:val="21"/>
                      <w:highlight w:val="none"/>
                    </w:rPr>
                    <w:t>4</w:t>
                  </w:r>
                  <w:r>
                    <w:rPr>
                      <w:rFonts w:cs="Times New Roman"/>
                      <w:bCs/>
                      <w:color w:val="auto"/>
                      <w:sz w:val="21"/>
                      <w:szCs w:val="21"/>
                      <w:highlight w:val="none"/>
                    </w:rPr>
                    <w:t>5</w:t>
                  </w:r>
                </w:p>
              </w:tc>
              <w:tc>
                <w:tcPr>
                  <w:tcW w:w="552" w:type="pct"/>
                  <w:vMerge w:val="continue"/>
                  <w:noWrap w:val="0"/>
                  <w:vAlign w:val="center"/>
                </w:tcPr>
                <w:p w14:paraId="172A10D6">
                  <w:pPr>
                    <w:pStyle w:val="34"/>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bCs w:val="0"/>
                      <w:color w:val="auto"/>
                      <w:sz w:val="21"/>
                      <w:szCs w:val="21"/>
                      <w:highlight w:val="none"/>
                    </w:rPr>
                  </w:pPr>
                </w:p>
              </w:tc>
            </w:tr>
            <w:tr w14:paraId="51CBA3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38" w:type="pct"/>
                  <w:gridSpan w:val="2"/>
                  <w:noWrap w:val="0"/>
                  <w:vAlign w:val="center"/>
                </w:tcPr>
                <w:p w14:paraId="3C9414F1">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噪声标准</w:t>
                  </w:r>
                </w:p>
              </w:tc>
              <w:tc>
                <w:tcPr>
                  <w:tcW w:w="3061" w:type="pct"/>
                  <w:gridSpan w:val="5"/>
                  <w:noWrap w:val="0"/>
                  <w:vAlign w:val="center"/>
                </w:tcPr>
                <w:p w14:paraId="5128A02E">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val="0"/>
                      <w:color w:val="auto"/>
                      <w:sz w:val="21"/>
                      <w:szCs w:val="21"/>
                      <w:highlight w:val="none"/>
                    </w:rPr>
                  </w:pPr>
                  <w:r>
                    <w:rPr>
                      <w:rFonts w:hint="default" w:ascii="Times New Roman" w:hAnsi="Times New Roman" w:cs="Times New Roman"/>
                      <w:bCs w:val="0"/>
                      <w:color w:val="auto"/>
                      <w:sz w:val="21"/>
                      <w:szCs w:val="21"/>
                      <w:highlight w:val="none"/>
                    </w:rPr>
                    <w:t>2类：环境噪声昼间≤60dB(A)，夜间≤</w:t>
                  </w:r>
                  <w:r>
                    <w:rPr>
                      <w:rFonts w:hint="eastAsia" w:cs="Times New Roman"/>
                      <w:bCs w:val="0"/>
                      <w:color w:val="auto"/>
                      <w:sz w:val="21"/>
                      <w:szCs w:val="21"/>
                      <w:highlight w:val="none"/>
                      <w:lang w:val="en-US" w:eastAsia="zh-CN"/>
                    </w:rPr>
                    <w:t>50</w:t>
                  </w:r>
                  <w:r>
                    <w:rPr>
                      <w:rFonts w:hint="default" w:ascii="Times New Roman" w:hAnsi="Times New Roman" w:cs="Times New Roman"/>
                      <w:bCs w:val="0"/>
                      <w:color w:val="auto"/>
                      <w:sz w:val="21"/>
                      <w:szCs w:val="21"/>
                      <w:highlight w:val="none"/>
                    </w:rPr>
                    <w:t>dB(A)</w:t>
                  </w:r>
                </w:p>
              </w:tc>
            </w:tr>
          </w:tbl>
          <w:p w14:paraId="1EC09CFF">
            <w:pPr>
              <w:pStyle w:val="34"/>
              <w:spacing w:line="360" w:lineRule="auto"/>
              <w:rPr>
                <w:rFonts w:hint="default" w:ascii="Times New Roman" w:hAnsi="Times New Roman" w:eastAsia="宋体" w:cs="Times New Roman"/>
                <w:bCs w:val="0"/>
                <w:color w:val="auto"/>
                <w:sz w:val="21"/>
                <w:szCs w:val="21"/>
                <w:highlight w:val="none"/>
                <w:lang w:val="en-US" w:eastAsia="zh-CN"/>
              </w:rPr>
            </w:pPr>
            <w:r>
              <w:rPr>
                <w:rFonts w:hint="eastAsia" w:cs="Times New Roman"/>
                <w:bCs w:val="0"/>
                <w:color w:val="auto"/>
                <w:sz w:val="21"/>
                <w:szCs w:val="21"/>
                <w:highlight w:val="none"/>
                <w:lang w:val="en-US" w:eastAsia="zh-CN"/>
              </w:rPr>
              <w:t>备注：监测期间，清河镇及杨家镇段已施工完。</w:t>
            </w:r>
          </w:p>
          <w:p w14:paraId="4E35A2B5">
            <w:pPr>
              <w:pStyle w:val="34"/>
              <w:spacing w:line="360" w:lineRule="auto"/>
              <w:rPr>
                <w:rFonts w:hint="default" w:ascii="Times New Roman" w:hAnsi="Times New Roman" w:cs="Times New Roman"/>
                <w:bCs w:val="0"/>
                <w:color w:val="auto"/>
                <w:szCs w:val="22"/>
                <w:highlight w:val="none"/>
              </w:rPr>
            </w:pPr>
            <w:r>
              <w:rPr>
                <w:rFonts w:hint="default" w:ascii="Times New Roman" w:hAnsi="Times New Roman" w:cs="Times New Roman"/>
                <w:bCs w:val="0"/>
                <w:color w:val="auto"/>
                <w:szCs w:val="22"/>
                <w:highlight w:val="none"/>
              </w:rPr>
              <w:t>由表3.4-4可知，各监测点现状噪声昼、夜间均能满足《声环境质量标准》（GB3096-2008）中相应的2类标准。</w:t>
            </w:r>
          </w:p>
          <w:p w14:paraId="76300699">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3.4.4 底泥现状评价</w:t>
            </w:r>
          </w:p>
          <w:p w14:paraId="395DD04E">
            <w:pPr>
              <w:pStyle w:val="34"/>
              <w:spacing w:line="360" w:lineRule="auto"/>
              <w:rPr>
                <w:rFonts w:hint="default" w:ascii="Times New Roman" w:hAnsi="Times New Roman" w:cs="Times New Roman"/>
                <w:color w:val="auto"/>
                <w:highlight w:val="none"/>
              </w:rPr>
            </w:pPr>
            <w:r>
              <w:rPr>
                <w:rFonts w:hint="default" w:ascii="Times New Roman" w:hAnsi="Times New Roman" w:cs="Times New Roman"/>
                <w:bCs w:val="0"/>
                <w:color w:val="auto"/>
                <w:szCs w:val="22"/>
                <w:highlight w:val="none"/>
              </w:rPr>
              <w:t>项目涉及河道疏浚工程</w:t>
            </w:r>
            <w:r>
              <w:rPr>
                <w:rFonts w:hint="eastAsia" w:cs="Times New Roman"/>
                <w:bCs w:val="0"/>
                <w:color w:val="auto"/>
                <w:szCs w:val="22"/>
                <w:highlight w:val="none"/>
                <w:lang w:eastAsia="zh-CN"/>
              </w:rPr>
              <w:t>。</w:t>
            </w:r>
            <w:r>
              <w:rPr>
                <w:rFonts w:hint="default" w:ascii="Times New Roman" w:hAnsi="Times New Roman" w:cs="Times New Roman"/>
                <w:bCs w:val="0"/>
                <w:color w:val="auto"/>
                <w:szCs w:val="22"/>
                <w:highlight w:val="none"/>
              </w:rPr>
              <w:t>因此，本次评价委托达州恒福环境监测服务有限公司于</w:t>
            </w:r>
            <w:r>
              <w:rPr>
                <w:rFonts w:hint="eastAsia" w:cs="Times New Roman"/>
                <w:snapToGrid w:val="0"/>
                <w:color w:val="auto"/>
                <w:szCs w:val="24"/>
                <w:highlight w:val="none"/>
                <w:lang w:eastAsia="zh-CN"/>
              </w:rPr>
              <w:t>2025年2月21日</w:t>
            </w:r>
            <w:r>
              <w:rPr>
                <w:rFonts w:hint="default" w:ascii="Times New Roman" w:hAnsi="Times New Roman" w:cs="Times New Roman"/>
                <w:bCs w:val="0"/>
                <w:color w:val="auto"/>
                <w:szCs w:val="22"/>
                <w:highlight w:val="none"/>
              </w:rPr>
              <w:t>对项目</w:t>
            </w:r>
            <w:r>
              <w:rPr>
                <w:rFonts w:hint="eastAsia"/>
                <w:color w:val="auto"/>
                <w:kern w:val="0"/>
                <w:sz w:val="24"/>
                <w:highlight w:val="none"/>
              </w:rPr>
              <w:t>各工程河段</w:t>
            </w:r>
            <w:r>
              <w:rPr>
                <w:rFonts w:hint="eastAsia"/>
                <w:color w:val="auto"/>
                <w:kern w:val="0"/>
                <w:sz w:val="24"/>
                <w:highlight w:val="none"/>
                <w:lang w:val="en-US" w:eastAsia="zh-CN"/>
              </w:rPr>
              <w:t>的</w:t>
            </w:r>
            <w:r>
              <w:rPr>
                <w:rFonts w:hint="default" w:ascii="Times New Roman" w:hAnsi="Times New Roman" w:cs="Times New Roman"/>
                <w:bCs w:val="0"/>
                <w:color w:val="auto"/>
                <w:szCs w:val="22"/>
                <w:highlight w:val="none"/>
              </w:rPr>
              <w:t>河道底泥进行了监测。</w:t>
            </w:r>
            <w:r>
              <w:rPr>
                <w:rFonts w:hint="default" w:ascii="Times New Roman" w:hAnsi="Times New Roman" w:cs="Times New Roman"/>
                <w:color w:val="auto"/>
                <w:highlight w:val="none"/>
              </w:rPr>
              <w:t>具体情况如下：</w:t>
            </w:r>
          </w:p>
          <w:p w14:paraId="5E37AE7D">
            <w:pPr>
              <w:pStyle w:val="34"/>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（1）监测布点：</w:t>
            </w:r>
            <w:r>
              <w:rPr>
                <w:rFonts w:hint="eastAsia" w:cs="Times New Roman"/>
                <w:color w:val="auto"/>
                <w:highlight w:val="none"/>
                <w:lang w:val="en-US" w:eastAsia="zh-CN"/>
              </w:rPr>
              <w:t>石河镇二郎段、福兴段各</w:t>
            </w:r>
            <w:r>
              <w:rPr>
                <w:rFonts w:hint="default" w:ascii="Times New Roman" w:hAnsi="Times New Roman" w:cs="Times New Roman"/>
                <w:color w:val="auto"/>
                <w:highlight w:val="none"/>
              </w:rPr>
              <w:t>设1个监测点</w:t>
            </w:r>
            <w:r>
              <w:rPr>
                <w:rFonts w:hint="eastAsia" w:cs="Times New Roman"/>
                <w:color w:val="auto"/>
                <w:highlight w:val="none"/>
                <w:lang w:eastAsia="zh-CN"/>
              </w:rPr>
              <w:t>；</w:t>
            </w:r>
            <w:r>
              <w:rPr>
                <w:rFonts w:hint="eastAsia" w:cs="Times New Roman"/>
                <w:color w:val="auto"/>
                <w:highlight w:val="none"/>
                <w:lang w:val="en-US" w:eastAsia="zh-CN"/>
              </w:rPr>
              <w:t>石河镇石河镇段、双拱场段各</w:t>
            </w:r>
            <w:r>
              <w:rPr>
                <w:rFonts w:hint="default" w:ascii="Times New Roman" w:hAnsi="Times New Roman" w:cs="Times New Roman"/>
                <w:color w:val="auto"/>
                <w:highlight w:val="none"/>
              </w:rPr>
              <w:t>设1个监测点</w:t>
            </w:r>
            <w:r>
              <w:rPr>
                <w:rFonts w:hint="eastAsia" w:cs="Times New Roman"/>
                <w:color w:val="auto"/>
                <w:highlight w:val="none"/>
                <w:lang w:eastAsia="zh-CN"/>
              </w:rPr>
              <w:t>；</w:t>
            </w:r>
            <w:r>
              <w:rPr>
                <w:rFonts w:hint="eastAsia" w:cs="Times New Roman"/>
                <w:color w:val="auto"/>
                <w:highlight w:val="none"/>
                <w:lang w:val="en-US" w:eastAsia="zh-CN"/>
              </w:rPr>
              <w:t>清河镇及杨家镇各设1个监测点</w:t>
            </w: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highlight w:val="none"/>
              </w:rPr>
              <w:t>附图</w:t>
            </w:r>
            <w:r>
              <w:rPr>
                <w:rFonts w:hint="eastAsia" w:cs="Times New Roman"/>
                <w:color w:val="auto"/>
                <w:highlight w:val="none"/>
                <w:lang w:val="en-US" w:eastAsia="zh-CN"/>
              </w:rPr>
              <w:t>9</w:t>
            </w:r>
            <w:r>
              <w:rPr>
                <w:rFonts w:hint="default" w:ascii="Times New Roman" w:hAnsi="Times New Roman" w:cs="Times New Roman"/>
                <w:color w:val="auto"/>
                <w:highlight w:val="none"/>
              </w:rPr>
              <w:t>。</w:t>
            </w:r>
          </w:p>
          <w:p w14:paraId="306B2AA0">
            <w:pPr>
              <w:pStyle w:val="34"/>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（2）监测项目：pH、镉、汞、铅、总铬、砷、镍、锌、铜。</w:t>
            </w:r>
          </w:p>
          <w:p w14:paraId="11B05B4D">
            <w:pPr>
              <w:pStyle w:val="34"/>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（3）监测频率：1次。</w:t>
            </w:r>
          </w:p>
          <w:p w14:paraId="03B6198F">
            <w:pPr>
              <w:pStyle w:val="34"/>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（4）评价方法：评价采用单项污染指数法进行现状，计算公式为：</w:t>
            </w:r>
          </w:p>
          <w:p w14:paraId="74D495DC">
            <w:pPr>
              <w:pStyle w:val="34"/>
              <w:spacing w:line="36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Pi=Ci/Si</w:t>
            </w:r>
          </w:p>
          <w:p w14:paraId="1FCD11AD">
            <w:pPr>
              <w:pStyle w:val="34"/>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式中：Pi——单项污染指数（无量纲）；</w:t>
            </w:r>
          </w:p>
          <w:p w14:paraId="56709B86">
            <w:pPr>
              <w:pStyle w:val="34"/>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Ci——i污染物在采样点的实测浓度（污染物在采样点的实测浓度（mg/kg）；</w:t>
            </w:r>
          </w:p>
          <w:p w14:paraId="14C939AB">
            <w:pPr>
              <w:pStyle w:val="34"/>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Si——i污染物的环境质量标准（污染物的环境质量标准mg/kg）；</w:t>
            </w:r>
          </w:p>
          <w:p w14:paraId="3EBE64BD">
            <w:pPr>
              <w:pStyle w:val="34"/>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（5）监测结果及分析</w:t>
            </w:r>
          </w:p>
          <w:p w14:paraId="1F963609">
            <w:pPr>
              <w:pStyle w:val="34"/>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底泥监测及评价结果见表3.4-5。</w:t>
            </w:r>
          </w:p>
          <w:p w14:paraId="7DDDB3DE">
            <w:pPr>
              <w:pStyle w:val="34"/>
              <w:spacing w:line="360" w:lineRule="auto"/>
              <w:ind w:firstLine="0" w:firstLineChars="0"/>
              <w:jc w:val="center"/>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表3.4-5 底泥监测及评价结果统计表 单位：mg/kg（pH无量纲）</w:t>
            </w:r>
          </w:p>
          <w:tbl>
            <w:tblPr>
              <w:tblStyle w:val="11"/>
              <w:tblW w:w="909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247"/>
              <w:gridCol w:w="1070"/>
              <w:gridCol w:w="1070"/>
              <w:gridCol w:w="1549"/>
              <w:gridCol w:w="1286"/>
              <w:gridCol w:w="1647"/>
              <w:gridCol w:w="1228"/>
            </w:tblGrid>
            <w:tr w14:paraId="250961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1247" w:type="dxa"/>
                  <w:noWrap w:val="0"/>
                  <w:vAlign w:val="center"/>
                </w:tcPr>
                <w:p w14:paraId="583C55D0">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rPr>
                  </w:pPr>
                  <w:r>
                    <w:rPr>
                      <w:rFonts w:hint="eastAsia" w:cs="Times New Roman"/>
                      <w:b/>
                      <w:bCs/>
                      <w:color w:val="auto"/>
                      <w:sz w:val="21"/>
                      <w:szCs w:val="21"/>
                      <w:highlight w:val="none"/>
                      <w:lang w:val="en-US" w:eastAsia="zh-CN"/>
                    </w:rPr>
                    <w:t>工程河段</w:t>
                  </w:r>
                </w:p>
              </w:tc>
              <w:tc>
                <w:tcPr>
                  <w:tcW w:w="1070" w:type="dxa"/>
                  <w:shd w:val="clear" w:color="auto" w:fill="auto"/>
                  <w:noWrap w:val="0"/>
                  <w:vAlign w:val="center"/>
                </w:tcPr>
                <w:p w14:paraId="19584F3B">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b/>
                      <w:bCs w:val="0"/>
                      <w:snapToGrid w:val="0"/>
                      <w:color w:val="auto"/>
                      <w:sz w:val="21"/>
                      <w:szCs w:val="21"/>
                      <w:highlight w:val="none"/>
                      <w:lang w:val="en-US" w:eastAsia="zh-CN" w:bidi="ar-SA"/>
                    </w:rPr>
                  </w:pPr>
                  <w:r>
                    <w:rPr>
                      <w:rFonts w:hint="default" w:ascii="Times New Roman" w:hAnsi="Times New Roman" w:cs="Times New Roman"/>
                      <w:b/>
                      <w:bCs w:val="0"/>
                      <w:color w:val="auto"/>
                      <w:sz w:val="21"/>
                      <w:szCs w:val="21"/>
                      <w:highlight w:val="none"/>
                    </w:rPr>
                    <w:t>监测点位</w:t>
                  </w:r>
                </w:p>
              </w:tc>
              <w:tc>
                <w:tcPr>
                  <w:tcW w:w="1070" w:type="dxa"/>
                  <w:noWrap w:val="0"/>
                  <w:vAlign w:val="center"/>
                </w:tcPr>
                <w:p w14:paraId="5EF905E2">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监测时间</w:t>
                  </w:r>
                </w:p>
              </w:tc>
              <w:tc>
                <w:tcPr>
                  <w:tcW w:w="1549" w:type="dxa"/>
                  <w:noWrap w:val="0"/>
                  <w:vAlign w:val="center"/>
                </w:tcPr>
                <w:p w14:paraId="5E0DF92D">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监测因子</w:t>
                  </w:r>
                </w:p>
              </w:tc>
              <w:tc>
                <w:tcPr>
                  <w:tcW w:w="1286" w:type="dxa"/>
                  <w:noWrap w:val="0"/>
                  <w:vAlign w:val="center"/>
                </w:tcPr>
                <w:p w14:paraId="1C4A949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测量值</w:t>
                  </w:r>
                </w:p>
              </w:tc>
              <w:tc>
                <w:tcPr>
                  <w:tcW w:w="1647" w:type="dxa"/>
                  <w:tcBorders>
                    <w:right w:val="single" w:color="auto" w:sz="4" w:space="0"/>
                  </w:tcBorders>
                  <w:noWrap w:val="0"/>
                  <w:vAlign w:val="center"/>
                </w:tcPr>
                <w:p w14:paraId="7938F677">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评价标准限值</w:t>
                  </w:r>
                </w:p>
              </w:tc>
              <w:tc>
                <w:tcPr>
                  <w:tcW w:w="1228" w:type="dxa"/>
                  <w:tcBorders>
                    <w:left w:val="single" w:color="auto" w:sz="4" w:space="0"/>
                  </w:tcBorders>
                  <w:noWrap w:val="0"/>
                  <w:vAlign w:val="center"/>
                </w:tcPr>
                <w:p w14:paraId="666EF85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Pi</w:t>
                  </w:r>
                </w:p>
              </w:tc>
            </w:tr>
            <w:tr w14:paraId="1D3AA4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restart"/>
                  <w:tcBorders>
                    <w:top w:val="single" w:color="auto" w:sz="4" w:space="0"/>
                  </w:tcBorders>
                  <w:shd w:val="clear" w:color="auto" w:fill="auto"/>
                  <w:noWrap w:val="0"/>
                  <w:vAlign w:val="center"/>
                </w:tcPr>
                <w:p w14:paraId="0E01E721">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bCs w:val="0"/>
                      <w:color w:val="auto"/>
                      <w:sz w:val="21"/>
                      <w:szCs w:val="21"/>
                      <w:highlight w:val="none"/>
                      <w:lang w:val="en-US" w:eastAsia="zh-CN"/>
                    </w:rPr>
                    <w:t>石河镇二郎、福兴段</w:t>
                  </w:r>
                </w:p>
              </w:tc>
              <w:tc>
                <w:tcPr>
                  <w:tcW w:w="1070" w:type="dxa"/>
                  <w:vMerge w:val="restart"/>
                  <w:tcBorders>
                    <w:top w:val="single" w:color="auto" w:sz="4" w:space="0"/>
                  </w:tcBorders>
                  <w:shd w:val="clear" w:color="auto" w:fill="auto"/>
                  <w:noWrap w:val="0"/>
                  <w:vAlign w:val="center"/>
                </w:tcPr>
                <w:p w14:paraId="76C7C963">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S1，二郎段清淤段上游</w:t>
                  </w:r>
                </w:p>
              </w:tc>
              <w:tc>
                <w:tcPr>
                  <w:tcW w:w="1070" w:type="dxa"/>
                  <w:vMerge w:val="restart"/>
                  <w:tcBorders>
                    <w:top w:val="single" w:color="auto" w:sz="4" w:space="0"/>
                  </w:tcBorders>
                  <w:shd w:val="clear" w:color="auto" w:fill="auto"/>
                  <w:noWrap w:val="0"/>
                  <w:vAlign w:val="center"/>
                </w:tcPr>
                <w:p w14:paraId="30C68CD1">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kern w:val="0"/>
                      <w:sz w:val="21"/>
                      <w:szCs w:val="21"/>
                      <w:highlight w:val="none"/>
                      <w:lang w:eastAsia="zh-CN"/>
                    </w:rPr>
                    <w:t>2025.02.21</w:t>
                  </w:r>
                </w:p>
              </w:tc>
              <w:tc>
                <w:tcPr>
                  <w:tcW w:w="1549" w:type="dxa"/>
                  <w:shd w:val="clear" w:color="auto" w:fill="auto"/>
                  <w:noWrap w:val="0"/>
                  <w:vAlign w:val="center"/>
                </w:tcPr>
                <w:p w14:paraId="7FBDF4F8">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pH（无量纲）</w:t>
                  </w:r>
                </w:p>
              </w:tc>
              <w:tc>
                <w:tcPr>
                  <w:tcW w:w="1286" w:type="dxa"/>
                  <w:shd w:val="clear" w:color="auto" w:fill="auto"/>
                  <w:noWrap w:val="0"/>
                  <w:vAlign w:val="center"/>
                </w:tcPr>
                <w:p w14:paraId="2986CF6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6.52</w:t>
                  </w:r>
                </w:p>
              </w:tc>
              <w:tc>
                <w:tcPr>
                  <w:tcW w:w="1647" w:type="dxa"/>
                  <w:tcBorders>
                    <w:right w:val="single" w:color="auto" w:sz="4" w:space="0"/>
                  </w:tcBorders>
                  <w:noWrap w:val="0"/>
                  <w:vAlign w:val="top"/>
                </w:tcPr>
                <w:p w14:paraId="0BD5CAB8">
                  <w:pPr>
                    <w:pStyle w:val="23"/>
                    <w:keepNext w:val="0"/>
                    <w:keepLines w:val="0"/>
                    <w:pageBreakBefore w:val="0"/>
                    <w:widowControl w:val="0"/>
                    <w:kinsoku/>
                    <w:wordWrap/>
                    <w:overflowPunct/>
                    <w:topLinePunct w:val="0"/>
                    <w:bidi w:val="0"/>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6.5＜pH≤7.5</w:t>
                  </w:r>
                </w:p>
              </w:tc>
              <w:tc>
                <w:tcPr>
                  <w:tcW w:w="1228" w:type="dxa"/>
                  <w:tcBorders>
                    <w:left w:val="single" w:color="auto" w:sz="4" w:space="0"/>
                  </w:tcBorders>
                  <w:noWrap w:val="0"/>
                  <w:vAlign w:val="center"/>
                </w:tcPr>
                <w:p w14:paraId="5E37193A">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46AD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1247" w:type="dxa"/>
                  <w:vMerge w:val="continue"/>
                  <w:noWrap w:val="0"/>
                  <w:vAlign w:val="center"/>
                </w:tcPr>
                <w:p w14:paraId="38D4797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627D423C">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7A3323F6">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549" w:type="dxa"/>
                  <w:shd w:val="clear" w:color="auto" w:fill="auto"/>
                  <w:noWrap w:val="0"/>
                  <w:vAlign w:val="center"/>
                </w:tcPr>
                <w:p w14:paraId="4D429729">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砷</w:t>
                  </w:r>
                </w:p>
              </w:tc>
              <w:tc>
                <w:tcPr>
                  <w:tcW w:w="1286" w:type="dxa"/>
                  <w:shd w:val="clear" w:color="auto" w:fill="auto"/>
                  <w:noWrap w:val="0"/>
                  <w:vAlign w:val="center"/>
                </w:tcPr>
                <w:p w14:paraId="0204CA77">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7.11</w:t>
                  </w:r>
                </w:p>
              </w:tc>
              <w:tc>
                <w:tcPr>
                  <w:tcW w:w="1647" w:type="dxa"/>
                  <w:tcBorders>
                    <w:right w:val="single" w:color="auto" w:sz="4" w:space="0"/>
                  </w:tcBorders>
                  <w:noWrap w:val="0"/>
                  <w:vAlign w:val="center"/>
                </w:tcPr>
                <w:p w14:paraId="01D3EEBA">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eastAsia="宋体"/>
                      <w:color w:val="auto"/>
                      <w:sz w:val="21"/>
                      <w:szCs w:val="21"/>
                      <w:highlight w:val="none"/>
                      <w:lang w:val="en-US" w:eastAsia="zh-CN"/>
                    </w:rPr>
                    <w:t>30</w:t>
                  </w:r>
                </w:p>
              </w:tc>
              <w:tc>
                <w:tcPr>
                  <w:tcW w:w="1228" w:type="dxa"/>
                  <w:tcBorders>
                    <w:left w:val="single" w:color="auto" w:sz="4" w:space="0"/>
                  </w:tcBorders>
                  <w:noWrap w:val="0"/>
                  <w:vAlign w:val="center"/>
                </w:tcPr>
                <w:p w14:paraId="1FE5A196">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0.24 </w:t>
                  </w:r>
                </w:p>
              </w:tc>
            </w:tr>
            <w:tr w14:paraId="701003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1247" w:type="dxa"/>
                  <w:vMerge w:val="continue"/>
                  <w:noWrap w:val="0"/>
                  <w:vAlign w:val="center"/>
                </w:tcPr>
                <w:p w14:paraId="64B077C3">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4BDA6556">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0523CF4F">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549" w:type="dxa"/>
                  <w:shd w:val="clear" w:color="auto" w:fill="auto"/>
                  <w:noWrap w:val="0"/>
                  <w:vAlign w:val="center"/>
                </w:tcPr>
                <w:p w14:paraId="16A99172">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cs="Times New Roman"/>
                      <w:color w:val="auto"/>
                      <w:sz w:val="21"/>
                      <w:szCs w:val="21"/>
                      <w:highlight w:val="none"/>
                    </w:rPr>
                    <w:t>镉</w:t>
                  </w:r>
                </w:p>
              </w:tc>
              <w:tc>
                <w:tcPr>
                  <w:tcW w:w="1286" w:type="dxa"/>
                  <w:shd w:val="clear" w:color="auto" w:fill="auto"/>
                  <w:noWrap w:val="0"/>
                  <w:vAlign w:val="center"/>
                </w:tcPr>
                <w:p w14:paraId="010B63EE">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0.28</w:t>
                  </w:r>
                </w:p>
              </w:tc>
              <w:tc>
                <w:tcPr>
                  <w:tcW w:w="1647" w:type="dxa"/>
                  <w:tcBorders>
                    <w:right w:val="single" w:color="auto" w:sz="4" w:space="0"/>
                  </w:tcBorders>
                  <w:noWrap w:val="0"/>
                  <w:vAlign w:val="center"/>
                </w:tcPr>
                <w:p w14:paraId="5F608314">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olor w:val="auto"/>
                      <w:kern w:val="0"/>
                      <w:sz w:val="21"/>
                      <w:szCs w:val="21"/>
                      <w:highlight w:val="none"/>
                      <w:lang w:val="en-US" w:eastAsia="zh-CN" w:bidi="ar"/>
                    </w:rPr>
                    <w:t>0.3</w:t>
                  </w:r>
                </w:p>
              </w:tc>
              <w:tc>
                <w:tcPr>
                  <w:tcW w:w="1228" w:type="dxa"/>
                  <w:tcBorders>
                    <w:left w:val="single" w:color="auto" w:sz="4" w:space="0"/>
                  </w:tcBorders>
                  <w:noWrap w:val="0"/>
                  <w:vAlign w:val="center"/>
                </w:tcPr>
                <w:p w14:paraId="4ACF6370">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0.93 </w:t>
                  </w:r>
                </w:p>
              </w:tc>
            </w:tr>
            <w:tr w14:paraId="5564F2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1247" w:type="dxa"/>
                  <w:vMerge w:val="continue"/>
                  <w:noWrap w:val="0"/>
                  <w:vAlign w:val="center"/>
                </w:tcPr>
                <w:p w14:paraId="2DC385CF">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606BFAA9">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02CABE27">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549" w:type="dxa"/>
                  <w:shd w:val="clear" w:color="auto" w:fill="auto"/>
                  <w:noWrap w:val="0"/>
                  <w:vAlign w:val="center"/>
                </w:tcPr>
                <w:p w14:paraId="0E8F811D">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铜</w:t>
                  </w:r>
                </w:p>
              </w:tc>
              <w:tc>
                <w:tcPr>
                  <w:tcW w:w="1286" w:type="dxa"/>
                  <w:shd w:val="clear" w:color="auto" w:fill="auto"/>
                  <w:noWrap w:val="0"/>
                  <w:vAlign w:val="center"/>
                </w:tcPr>
                <w:p w14:paraId="1E87B44D">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36</w:t>
                  </w:r>
                </w:p>
              </w:tc>
              <w:tc>
                <w:tcPr>
                  <w:tcW w:w="1647" w:type="dxa"/>
                  <w:tcBorders>
                    <w:right w:val="single" w:color="auto" w:sz="4" w:space="0"/>
                  </w:tcBorders>
                  <w:noWrap w:val="0"/>
                  <w:vAlign w:val="center"/>
                </w:tcPr>
                <w:p w14:paraId="62598189">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eastAsia="宋体"/>
                      <w:color w:val="auto"/>
                      <w:sz w:val="21"/>
                      <w:szCs w:val="21"/>
                      <w:highlight w:val="none"/>
                      <w:lang w:val="en-US" w:eastAsia="zh-CN"/>
                    </w:rPr>
                    <w:t>100</w:t>
                  </w:r>
                </w:p>
              </w:tc>
              <w:tc>
                <w:tcPr>
                  <w:tcW w:w="1228" w:type="dxa"/>
                  <w:tcBorders>
                    <w:left w:val="single" w:color="auto" w:sz="4" w:space="0"/>
                  </w:tcBorders>
                  <w:noWrap w:val="0"/>
                  <w:vAlign w:val="center"/>
                </w:tcPr>
                <w:p w14:paraId="26692835">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0.36 </w:t>
                  </w:r>
                </w:p>
              </w:tc>
            </w:tr>
            <w:tr w14:paraId="1FD5A7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1247" w:type="dxa"/>
                  <w:vMerge w:val="continue"/>
                  <w:noWrap w:val="0"/>
                  <w:vAlign w:val="center"/>
                </w:tcPr>
                <w:p w14:paraId="23A79082">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617A58C8">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71C818BD">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549" w:type="dxa"/>
                  <w:shd w:val="clear" w:color="auto" w:fill="auto"/>
                  <w:noWrap w:val="0"/>
                  <w:vAlign w:val="center"/>
                </w:tcPr>
                <w:p w14:paraId="70D41209">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铅</w:t>
                  </w:r>
                </w:p>
              </w:tc>
              <w:tc>
                <w:tcPr>
                  <w:tcW w:w="1286" w:type="dxa"/>
                  <w:shd w:val="clear" w:color="auto" w:fill="auto"/>
                  <w:noWrap w:val="0"/>
                  <w:vAlign w:val="center"/>
                </w:tcPr>
                <w:p w14:paraId="4B7DA1B8">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89</w:t>
                  </w:r>
                </w:p>
              </w:tc>
              <w:tc>
                <w:tcPr>
                  <w:tcW w:w="1647" w:type="dxa"/>
                  <w:tcBorders>
                    <w:right w:val="single" w:color="auto" w:sz="4" w:space="0"/>
                  </w:tcBorders>
                  <w:noWrap w:val="0"/>
                  <w:vAlign w:val="center"/>
                </w:tcPr>
                <w:p w14:paraId="33964EAD">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olor w:val="auto"/>
                      <w:sz w:val="21"/>
                      <w:szCs w:val="21"/>
                      <w:highlight w:val="none"/>
                      <w:lang w:val="en-US" w:eastAsia="zh-CN"/>
                    </w:rPr>
                    <w:t>120</w:t>
                  </w:r>
                </w:p>
              </w:tc>
              <w:tc>
                <w:tcPr>
                  <w:tcW w:w="1228" w:type="dxa"/>
                  <w:tcBorders>
                    <w:left w:val="single" w:color="auto" w:sz="4" w:space="0"/>
                  </w:tcBorders>
                  <w:noWrap w:val="0"/>
                  <w:vAlign w:val="center"/>
                </w:tcPr>
                <w:p w14:paraId="5576D265">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0.74 </w:t>
                  </w:r>
                </w:p>
              </w:tc>
            </w:tr>
            <w:tr w14:paraId="18545F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1247" w:type="dxa"/>
                  <w:vMerge w:val="continue"/>
                  <w:noWrap w:val="0"/>
                  <w:vAlign w:val="center"/>
                </w:tcPr>
                <w:p w14:paraId="4001315E">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485F6F6E">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2D7F0B97">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549" w:type="dxa"/>
                  <w:shd w:val="clear" w:color="auto" w:fill="auto"/>
                  <w:noWrap w:val="0"/>
                  <w:vAlign w:val="center"/>
                </w:tcPr>
                <w:p w14:paraId="089B9126">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汞</w:t>
                  </w:r>
                </w:p>
              </w:tc>
              <w:tc>
                <w:tcPr>
                  <w:tcW w:w="1286" w:type="dxa"/>
                  <w:shd w:val="clear" w:color="auto" w:fill="auto"/>
                  <w:noWrap w:val="0"/>
                  <w:vAlign w:val="center"/>
                </w:tcPr>
                <w:p w14:paraId="3096BB8D">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0.251</w:t>
                  </w:r>
                </w:p>
              </w:tc>
              <w:tc>
                <w:tcPr>
                  <w:tcW w:w="1647" w:type="dxa"/>
                  <w:tcBorders>
                    <w:right w:val="single" w:color="auto" w:sz="4" w:space="0"/>
                  </w:tcBorders>
                  <w:noWrap w:val="0"/>
                  <w:vAlign w:val="center"/>
                </w:tcPr>
                <w:p w14:paraId="015CE9A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eastAsia="宋体"/>
                      <w:color w:val="auto"/>
                      <w:sz w:val="21"/>
                      <w:szCs w:val="21"/>
                      <w:highlight w:val="none"/>
                      <w:lang w:val="en-US" w:eastAsia="zh-CN"/>
                    </w:rPr>
                    <w:t>2.4</w:t>
                  </w:r>
                </w:p>
              </w:tc>
              <w:tc>
                <w:tcPr>
                  <w:tcW w:w="1228" w:type="dxa"/>
                  <w:tcBorders>
                    <w:left w:val="single" w:color="auto" w:sz="4" w:space="0"/>
                  </w:tcBorders>
                  <w:noWrap w:val="0"/>
                  <w:vAlign w:val="center"/>
                </w:tcPr>
                <w:p w14:paraId="2A61F814">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0.10 </w:t>
                  </w:r>
                </w:p>
              </w:tc>
            </w:tr>
            <w:tr w14:paraId="3C7583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1247" w:type="dxa"/>
                  <w:vMerge w:val="continue"/>
                  <w:noWrap w:val="0"/>
                  <w:vAlign w:val="center"/>
                </w:tcPr>
                <w:p w14:paraId="5D3CF7F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476242F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7B2F7F4D">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549" w:type="dxa"/>
                  <w:shd w:val="clear" w:color="auto" w:fill="auto"/>
                  <w:noWrap w:val="0"/>
                  <w:vAlign w:val="center"/>
                </w:tcPr>
                <w:p w14:paraId="3C5795DF">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镍</w:t>
                  </w:r>
                </w:p>
              </w:tc>
              <w:tc>
                <w:tcPr>
                  <w:tcW w:w="1286" w:type="dxa"/>
                  <w:shd w:val="clear" w:color="auto" w:fill="auto"/>
                  <w:noWrap w:val="0"/>
                  <w:vAlign w:val="center"/>
                </w:tcPr>
                <w:p w14:paraId="33FA1B16">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19</w:t>
                  </w:r>
                </w:p>
              </w:tc>
              <w:tc>
                <w:tcPr>
                  <w:tcW w:w="1647" w:type="dxa"/>
                  <w:tcBorders>
                    <w:right w:val="single" w:color="auto" w:sz="4" w:space="0"/>
                  </w:tcBorders>
                  <w:noWrap w:val="0"/>
                  <w:vAlign w:val="center"/>
                </w:tcPr>
                <w:p w14:paraId="7BC88F56">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eastAsia="宋体"/>
                      <w:color w:val="auto"/>
                      <w:sz w:val="21"/>
                      <w:szCs w:val="21"/>
                      <w:highlight w:val="none"/>
                      <w:lang w:val="en-US" w:eastAsia="zh-CN"/>
                    </w:rPr>
                    <w:t>100</w:t>
                  </w:r>
                </w:p>
              </w:tc>
              <w:tc>
                <w:tcPr>
                  <w:tcW w:w="1228" w:type="dxa"/>
                  <w:tcBorders>
                    <w:left w:val="single" w:color="auto" w:sz="4" w:space="0"/>
                  </w:tcBorders>
                  <w:noWrap w:val="0"/>
                  <w:vAlign w:val="center"/>
                </w:tcPr>
                <w:p w14:paraId="7CAC8D16">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0.19 </w:t>
                  </w:r>
                </w:p>
              </w:tc>
            </w:tr>
            <w:tr w14:paraId="3DD058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1247" w:type="dxa"/>
                  <w:vMerge w:val="continue"/>
                  <w:noWrap w:val="0"/>
                  <w:vAlign w:val="center"/>
                </w:tcPr>
                <w:p w14:paraId="697F478E">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70644E76">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5094E5E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549" w:type="dxa"/>
                  <w:shd w:val="clear" w:color="auto" w:fill="auto"/>
                  <w:noWrap w:val="0"/>
                  <w:vAlign w:val="center"/>
                </w:tcPr>
                <w:p w14:paraId="29C27B8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铬</w:t>
                  </w:r>
                </w:p>
              </w:tc>
              <w:tc>
                <w:tcPr>
                  <w:tcW w:w="1286" w:type="dxa"/>
                  <w:shd w:val="clear" w:color="auto" w:fill="auto"/>
                  <w:noWrap w:val="0"/>
                  <w:vAlign w:val="center"/>
                </w:tcPr>
                <w:p w14:paraId="1267B707">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61</w:t>
                  </w:r>
                </w:p>
              </w:tc>
              <w:tc>
                <w:tcPr>
                  <w:tcW w:w="1647" w:type="dxa"/>
                  <w:tcBorders>
                    <w:right w:val="single" w:color="auto" w:sz="4" w:space="0"/>
                  </w:tcBorders>
                  <w:noWrap w:val="0"/>
                  <w:vAlign w:val="center"/>
                </w:tcPr>
                <w:p w14:paraId="6AF1BED2">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eastAsia="宋体"/>
                      <w:color w:val="auto"/>
                      <w:sz w:val="21"/>
                      <w:szCs w:val="21"/>
                      <w:highlight w:val="none"/>
                      <w:lang w:val="en-US" w:eastAsia="zh-CN"/>
                    </w:rPr>
                    <w:t>200</w:t>
                  </w:r>
                </w:p>
              </w:tc>
              <w:tc>
                <w:tcPr>
                  <w:tcW w:w="1228" w:type="dxa"/>
                  <w:tcBorders>
                    <w:left w:val="single" w:color="auto" w:sz="4" w:space="0"/>
                  </w:tcBorders>
                  <w:noWrap w:val="0"/>
                  <w:vAlign w:val="center"/>
                </w:tcPr>
                <w:p w14:paraId="4F3377CD">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0.31 </w:t>
                  </w:r>
                </w:p>
              </w:tc>
            </w:tr>
            <w:tr w14:paraId="793193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1247" w:type="dxa"/>
                  <w:vMerge w:val="continue"/>
                  <w:noWrap w:val="0"/>
                  <w:vAlign w:val="center"/>
                </w:tcPr>
                <w:p w14:paraId="78B4410D">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660CA4BC">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3380C6A2">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549" w:type="dxa"/>
                  <w:shd w:val="clear" w:color="auto" w:fill="auto"/>
                  <w:noWrap w:val="0"/>
                  <w:vAlign w:val="center"/>
                </w:tcPr>
                <w:p w14:paraId="75E1B0FB">
                  <w:pPr>
                    <w:pStyle w:val="36"/>
                    <w:keepNext w:val="0"/>
                    <w:keepLines w:val="0"/>
                    <w:pageBreakBefore w:val="0"/>
                    <w:widowControl w:val="0"/>
                    <w:kinsoku/>
                    <w:wordWrap/>
                    <w:overflowPunct/>
                    <w:topLinePunct w:val="0"/>
                    <w:bidi w:val="0"/>
                    <w:snapToGrid w:val="0"/>
                    <w:spacing w:before="0" w:after="0" w:line="240" w:lineRule="auto"/>
                    <w:ind w:firstLine="0" w:firstLineChars="0"/>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锌</w:t>
                  </w:r>
                </w:p>
              </w:tc>
              <w:tc>
                <w:tcPr>
                  <w:tcW w:w="1286" w:type="dxa"/>
                  <w:shd w:val="clear" w:color="auto" w:fill="auto"/>
                  <w:noWrap w:val="0"/>
                  <w:vAlign w:val="center"/>
                </w:tcPr>
                <w:p w14:paraId="162595E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70</w:t>
                  </w:r>
                </w:p>
              </w:tc>
              <w:tc>
                <w:tcPr>
                  <w:tcW w:w="1647" w:type="dxa"/>
                  <w:tcBorders>
                    <w:right w:val="single" w:color="auto" w:sz="4" w:space="0"/>
                  </w:tcBorders>
                  <w:noWrap w:val="0"/>
                  <w:vAlign w:val="center"/>
                </w:tcPr>
                <w:p w14:paraId="00A8F99E">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eastAsia="宋体"/>
                      <w:color w:val="auto"/>
                      <w:sz w:val="21"/>
                      <w:szCs w:val="21"/>
                      <w:highlight w:val="none"/>
                      <w:lang w:val="en-US" w:eastAsia="zh-CN"/>
                    </w:rPr>
                    <w:t>250</w:t>
                  </w:r>
                </w:p>
              </w:tc>
              <w:tc>
                <w:tcPr>
                  <w:tcW w:w="1228" w:type="dxa"/>
                  <w:tcBorders>
                    <w:left w:val="single" w:color="auto" w:sz="4" w:space="0"/>
                  </w:tcBorders>
                  <w:noWrap w:val="0"/>
                  <w:vAlign w:val="center"/>
                </w:tcPr>
                <w:p w14:paraId="01AC114D">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0.28 </w:t>
                  </w:r>
                </w:p>
              </w:tc>
            </w:tr>
            <w:tr w14:paraId="1635BA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1247" w:type="dxa"/>
                  <w:vMerge w:val="continue"/>
                  <w:shd w:val="clear" w:color="auto" w:fill="auto"/>
                  <w:noWrap w:val="0"/>
                  <w:vAlign w:val="center"/>
                </w:tcPr>
                <w:p w14:paraId="1745BE4A">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p>
              </w:tc>
              <w:tc>
                <w:tcPr>
                  <w:tcW w:w="1070" w:type="dxa"/>
                  <w:vMerge w:val="restart"/>
                  <w:shd w:val="clear" w:color="auto" w:fill="auto"/>
                  <w:noWrap w:val="0"/>
                  <w:vAlign w:val="center"/>
                </w:tcPr>
                <w:p w14:paraId="61773F67">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S2，福兴段清淤段上游</w:t>
                  </w:r>
                </w:p>
              </w:tc>
              <w:tc>
                <w:tcPr>
                  <w:tcW w:w="1070" w:type="dxa"/>
                  <w:vMerge w:val="restart"/>
                  <w:shd w:val="clear" w:color="auto" w:fill="auto"/>
                  <w:noWrap w:val="0"/>
                  <w:vAlign w:val="center"/>
                </w:tcPr>
                <w:p w14:paraId="628BBD50">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kern w:val="0"/>
                      <w:sz w:val="21"/>
                      <w:szCs w:val="21"/>
                      <w:highlight w:val="none"/>
                      <w:lang w:eastAsia="zh-CN"/>
                    </w:rPr>
                    <w:t>2025.02.21</w:t>
                  </w:r>
                </w:p>
              </w:tc>
              <w:tc>
                <w:tcPr>
                  <w:tcW w:w="1549" w:type="dxa"/>
                  <w:shd w:val="clear" w:color="auto" w:fill="auto"/>
                  <w:noWrap w:val="0"/>
                  <w:vAlign w:val="center"/>
                </w:tcPr>
                <w:p w14:paraId="4EF6C6CA">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pH（无量纲）</w:t>
                  </w:r>
                </w:p>
              </w:tc>
              <w:tc>
                <w:tcPr>
                  <w:tcW w:w="1286" w:type="dxa"/>
                  <w:shd w:val="clear" w:color="auto" w:fill="auto"/>
                  <w:noWrap w:val="0"/>
                  <w:vAlign w:val="center"/>
                </w:tcPr>
                <w:p w14:paraId="3DFC8AE6">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6.61</w:t>
                  </w:r>
                </w:p>
              </w:tc>
              <w:tc>
                <w:tcPr>
                  <w:tcW w:w="1647" w:type="dxa"/>
                  <w:tcBorders>
                    <w:right w:val="single" w:color="auto" w:sz="4" w:space="0"/>
                  </w:tcBorders>
                  <w:shd w:val="clear" w:color="auto" w:fill="auto"/>
                  <w:noWrap w:val="0"/>
                  <w:vAlign w:val="top"/>
                </w:tcPr>
                <w:p w14:paraId="6C78205A">
                  <w:pPr>
                    <w:pStyle w:val="23"/>
                    <w:keepNext w:val="0"/>
                    <w:keepLines w:val="0"/>
                    <w:pageBreakBefore w:val="0"/>
                    <w:widowControl w:val="0"/>
                    <w:kinsoku/>
                    <w:wordWrap/>
                    <w:overflowPunct/>
                    <w:topLinePunct w:val="0"/>
                    <w:bidi w:val="0"/>
                    <w:spacing w:line="240" w:lineRule="auto"/>
                    <w:ind w:left="0" w:leftChars="0" w:firstLine="0" w:firstLineChars="0"/>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rPr>
                    <w:t>6.5＜pH≤7.5</w:t>
                  </w:r>
                </w:p>
              </w:tc>
              <w:tc>
                <w:tcPr>
                  <w:tcW w:w="1228" w:type="dxa"/>
                  <w:tcBorders>
                    <w:left w:val="single" w:color="auto" w:sz="4" w:space="0"/>
                  </w:tcBorders>
                  <w:noWrap w:val="0"/>
                  <w:vAlign w:val="center"/>
                </w:tcPr>
                <w:p w14:paraId="6C472A9D">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178773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1247" w:type="dxa"/>
                  <w:vMerge w:val="continue"/>
                  <w:noWrap w:val="0"/>
                  <w:vAlign w:val="center"/>
                </w:tcPr>
                <w:p w14:paraId="419EEAA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3A889A7B">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noWrap w:val="0"/>
                  <w:vAlign w:val="center"/>
                </w:tcPr>
                <w:p w14:paraId="7E04709D">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549" w:type="dxa"/>
                  <w:shd w:val="clear" w:color="auto" w:fill="auto"/>
                  <w:noWrap w:val="0"/>
                  <w:vAlign w:val="center"/>
                </w:tcPr>
                <w:p w14:paraId="5A4B6877">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砷</w:t>
                  </w:r>
                </w:p>
              </w:tc>
              <w:tc>
                <w:tcPr>
                  <w:tcW w:w="1286" w:type="dxa"/>
                  <w:shd w:val="clear" w:color="auto" w:fill="auto"/>
                  <w:noWrap w:val="0"/>
                  <w:vAlign w:val="center"/>
                </w:tcPr>
                <w:p w14:paraId="6D7AB587">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6.50</w:t>
                  </w:r>
                </w:p>
              </w:tc>
              <w:tc>
                <w:tcPr>
                  <w:tcW w:w="1647" w:type="dxa"/>
                  <w:tcBorders>
                    <w:right w:val="single" w:color="auto" w:sz="4" w:space="0"/>
                  </w:tcBorders>
                  <w:shd w:val="clear" w:color="auto" w:fill="auto"/>
                  <w:noWrap w:val="0"/>
                  <w:vAlign w:val="center"/>
                </w:tcPr>
                <w:p w14:paraId="4B315B85">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30</w:t>
                  </w:r>
                </w:p>
              </w:tc>
              <w:tc>
                <w:tcPr>
                  <w:tcW w:w="1228" w:type="dxa"/>
                  <w:tcBorders>
                    <w:left w:val="single" w:color="auto" w:sz="4" w:space="0"/>
                  </w:tcBorders>
                  <w:noWrap w:val="0"/>
                  <w:vAlign w:val="center"/>
                </w:tcPr>
                <w:p w14:paraId="2E089148">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0.22 </w:t>
                  </w:r>
                </w:p>
              </w:tc>
            </w:tr>
            <w:tr w14:paraId="4D9F3F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1247" w:type="dxa"/>
                  <w:vMerge w:val="continue"/>
                </w:tcPr>
                <w:p w14:paraId="7B533D5C">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tcPr>
                <w:p w14:paraId="788D6CDF">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tcPr>
                <w:p w14:paraId="1724CA1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549" w:type="dxa"/>
                  <w:shd w:val="clear" w:color="auto" w:fill="auto"/>
                  <w:vAlign w:val="center"/>
                </w:tcPr>
                <w:p w14:paraId="739D05F7">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cs="Times New Roman"/>
                      <w:color w:val="auto"/>
                      <w:sz w:val="21"/>
                      <w:szCs w:val="21"/>
                      <w:highlight w:val="none"/>
                    </w:rPr>
                    <w:t>镉</w:t>
                  </w:r>
                </w:p>
              </w:tc>
              <w:tc>
                <w:tcPr>
                  <w:tcW w:w="1286" w:type="dxa"/>
                  <w:shd w:val="clear" w:color="auto" w:fill="auto"/>
                  <w:vAlign w:val="center"/>
                </w:tcPr>
                <w:p w14:paraId="305EBC5E">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0.20</w:t>
                  </w:r>
                </w:p>
              </w:tc>
              <w:tc>
                <w:tcPr>
                  <w:tcW w:w="1647" w:type="dxa"/>
                  <w:shd w:val="clear" w:color="auto" w:fill="auto"/>
                  <w:vAlign w:val="center"/>
                </w:tcPr>
                <w:p w14:paraId="2ABC4E25">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kern w:val="0"/>
                      <w:sz w:val="21"/>
                      <w:szCs w:val="21"/>
                      <w:highlight w:val="none"/>
                      <w:lang w:val="en-US" w:eastAsia="zh-CN" w:bidi="ar"/>
                    </w:rPr>
                    <w:t>0.3</w:t>
                  </w:r>
                </w:p>
              </w:tc>
              <w:tc>
                <w:tcPr>
                  <w:tcW w:w="1228" w:type="dxa"/>
                  <w:vAlign w:val="center"/>
                </w:tcPr>
                <w:p w14:paraId="60357FB5">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0.67 </w:t>
                  </w:r>
                </w:p>
              </w:tc>
            </w:tr>
            <w:tr w14:paraId="6F32E7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1247" w:type="dxa"/>
                  <w:vMerge w:val="continue"/>
                </w:tcPr>
                <w:p w14:paraId="0FAB30FC">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tcPr>
                <w:p w14:paraId="23E44463">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tcPr>
                <w:p w14:paraId="06ACA2B9">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549" w:type="dxa"/>
                  <w:shd w:val="clear" w:color="auto" w:fill="auto"/>
                  <w:vAlign w:val="center"/>
                </w:tcPr>
                <w:p w14:paraId="4C33E50D">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铜</w:t>
                  </w:r>
                </w:p>
              </w:tc>
              <w:tc>
                <w:tcPr>
                  <w:tcW w:w="1286" w:type="dxa"/>
                  <w:shd w:val="clear" w:color="auto" w:fill="auto"/>
                  <w:vAlign w:val="center"/>
                </w:tcPr>
                <w:p w14:paraId="4BB2AFED">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25</w:t>
                  </w:r>
                </w:p>
              </w:tc>
              <w:tc>
                <w:tcPr>
                  <w:tcW w:w="1647" w:type="dxa"/>
                  <w:shd w:val="clear" w:color="auto" w:fill="auto"/>
                  <w:vAlign w:val="center"/>
                </w:tcPr>
                <w:p w14:paraId="09BE8B72">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100</w:t>
                  </w:r>
                </w:p>
              </w:tc>
              <w:tc>
                <w:tcPr>
                  <w:tcW w:w="1228" w:type="dxa"/>
                  <w:vAlign w:val="center"/>
                </w:tcPr>
                <w:p w14:paraId="542C342A">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0.25 </w:t>
                  </w:r>
                </w:p>
              </w:tc>
            </w:tr>
            <w:tr w14:paraId="5113DA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1247" w:type="dxa"/>
                  <w:vMerge w:val="continue"/>
                </w:tcPr>
                <w:p w14:paraId="20BFBBA2">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tcPr>
                <w:p w14:paraId="7FF4984F">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tcPr>
                <w:p w14:paraId="4335516C">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549" w:type="dxa"/>
                  <w:shd w:val="clear" w:color="auto" w:fill="auto"/>
                  <w:vAlign w:val="center"/>
                </w:tcPr>
                <w:p w14:paraId="0CB41A14">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铅</w:t>
                  </w:r>
                </w:p>
              </w:tc>
              <w:tc>
                <w:tcPr>
                  <w:tcW w:w="1286" w:type="dxa"/>
                  <w:shd w:val="clear" w:color="auto" w:fill="auto"/>
                  <w:vAlign w:val="center"/>
                </w:tcPr>
                <w:p w14:paraId="49F5C78E">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90</w:t>
                  </w:r>
                </w:p>
              </w:tc>
              <w:tc>
                <w:tcPr>
                  <w:tcW w:w="1647" w:type="dxa"/>
                  <w:shd w:val="clear" w:color="auto" w:fill="auto"/>
                  <w:vAlign w:val="center"/>
                </w:tcPr>
                <w:p w14:paraId="4A003DBE">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lang w:val="en-US" w:eastAsia="zh-CN"/>
                    </w:rPr>
                    <w:t>120</w:t>
                  </w:r>
                </w:p>
              </w:tc>
              <w:tc>
                <w:tcPr>
                  <w:tcW w:w="1228" w:type="dxa"/>
                  <w:vAlign w:val="center"/>
                </w:tcPr>
                <w:p w14:paraId="74AE6314">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0.75 </w:t>
                  </w:r>
                </w:p>
              </w:tc>
            </w:tr>
            <w:tr w14:paraId="18B094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1247" w:type="dxa"/>
                  <w:vMerge w:val="continue"/>
                </w:tcPr>
                <w:p w14:paraId="504EE3EB">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tcPr>
                <w:p w14:paraId="573A7F9D">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tcPr>
                <w:p w14:paraId="4F855B17">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549" w:type="dxa"/>
                  <w:shd w:val="clear" w:color="auto" w:fill="auto"/>
                  <w:vAlign w:val="center"/>
                </w:tcPr>
                <w:p w14:paraId="6C6CB459">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汞</w:t>
                  </w:r>
                </w:p>
              </w:tc>
              <w:tc>
                <w:tcPr>
                  <w:tcW w:w="1286" w:type="dxa"/>
                  <w:shd w:val="clear" w:color="auto" w:fill="auto"/>
                  <w:vAlign w:val="center"/>
                </w:tcPr>
                <w:p w14:paraId="52A86523">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0.265</w:t>
                  </w:r>
                </w:p>
              </w:tc>
              <w:tc>
                <w:tcPr>
                  <w:tcW w:w="1647" w:type="dxa"/>
                  <w:shd w:val="clear" w:color="auto" w:fill="auto"/>
                  <w:vAlign w:val="center"/>
                </w:tcPr>
                <w:p w14:paraId="7D1BD3A6">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2.4</w:t>
                  </w:r>
                </w:p>
              </w:tc>
              <w:tc>
                <w:tcPr>
                  <w:tcW w:w="1228" w:type="dxa"/>
                  <w:vAlign w:val="center"/>
                </w:tcPr>
                <w:p w14:paraId="3BCA146B">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0.11 </w:t>
                  </w:r>
                </w:p>
              </w:tc>
            </w:tr>
            <w:tr w14:paraId="663546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1247" w:type="dxa"/>
                  <w:vMerge w:val="continue"/>
                </w:tcPr>
                <w:p w14:paraId="7FFA6B93">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tcPr>
                <w:p w14:paraId="381EDB99">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tcPr>
                <w:p w14:paraId="791FD92C">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549" w:type="dxa"/>
                  <w:shd w:val="clear" w:color="auto" w:fill="auto"/>
                  <w:vAlign w:val="center"/>
                </w:tcPr>
                <w:p w14:paraId="76CA9ABF">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镍</w:t>
                  </w:r>
                </w:p>
              </w:tc>
              <w:tc>
                <w:tcPr>
                  <w:tcW w:w="1286" w:type="dxa"/>
                  <w:shd w:val="clear" w:color="auto" w:fill="auto"/>
                  <w:vAlign w:val="center"/>
                </w:tcPr>
                <w:p w14:paraId="18571929">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w:t>
                  </w:r>
                </w:p>
              </w:tc>
              <w:tc>
                <w:tcPr>
                  <w:tcW w:w="1647" w:type="dxa"/>
                  <w:shd w:val="clear" w:color="auto" w:fill="auto"/>
                  <w:vAlign w:val="center"/>
                </w:tcPr>
                <w:p w14:paraId="1A67CF42">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100</w:t>
                  </w:r>
                </w:p>
              </w:tc>
              <w:tc>
                <w:tcPr>
                  <w:tcW w:w="1228" w:type="dxa"/>
                  <w:vAlign w:val="center"/>
                </w:tcPr>
                <w:p w14:paraId="7C959239">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0.20 </w:t>
                  </w:r>
                </w:p>
              </w:tc>
            </w:tr>
            <w:tr w14:paraId="7F9F54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1" w:hRule="atLeast"/>
                <w:jc w:val="center"/>
              </w:trPr>
              <w:tc>
                <w:tcPr>
                  <w:tcW w:w="1247" w:type="dxa"/>
                  <w:vMerge w:val="continue"/>
                </w:tcPr>
                <w:p w14:paraId="2ADB364F">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tcPr>
                <w:p w14:paraId="127DD072">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tcPr>
                <w:p w14:paraId="6192DCC1">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549" w:type="dxa"/>
                  <w:shd w:val="clear" w:color="auto" w:fill="auto"/>
                  <w:vAlign w:val="center"/>
                </w:tcPr>
                <w:p w14:paraId="488D93E4">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铬</w:t>
                  </w:r>
                </w:p>
              </w:tc>
              <w:tc>
                <w:tcPr>
                  <w:tcW w:w="1286" w:type="dxa"/>
                  <w:shd w:val="clear" w:color="auto" w:fill="auto"/>
                  <w:vAlign w:val="center"/>
                </w:tcPr>
                <w:p w14:paraId="575EE2CC">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68</w:t>
                  </w:r>
                </w:p>
              </w:tc>
              <w:tc>
                <w:tcPr>
                  <w:tcW w:w="1647" w:type="dxa"/>
                  <w:shd w:val="clear" w:color="auto" w:fill="auto"/>
                  <w:vAlign w:val="center"/>
                </w:tcPr>
                <w:p w14:paraId="12EC4964">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200</w:t>
                  </w:r>
                </w:p>
              </w:tc>
              <w:tc>
                <w:tcPr>
                  <w:tcW w:w="1228" w:type="dxa"/>
                  <w:vAlign w:val="center"/>
                </w:tcPr>
                <w:p w14:paraId="756DB234">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0.34 </w:t>
                  </w:r>
                </w:p>
              </w:tc>
            </w:tr>
            <w:tr w14:paraId="67D98F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77799A34">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tcPr>
                <w:p w14:paraId="183FCAAD">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tcPr>
                <w:p w14:paraId="0F1F49C4">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549" w:type="dxa"/>
                  <w:shd w:val="clear" w:color="auto" w:fill="auto"/>
                  <w:vAlign w:val="center"/>
                </w:tcPr>
                <w:p w14:paraId="54065D2F">
                  <w:pPr>
                    <w:pStyle w:val="36"/>
                    <w:keepNext w:val="0"/>
                    <w:keepLines w:val="0"/>
                    <w:pageBreakBefore w:val="0"/>
                    <w:widowControl w:val="0"/>
                    <w:kinsoku/>
                    <w:wordWrap/>
                    <w:overflowPunct/>
                    <w:topLinePunct w:val="0"/>
                    <w:bidi w:val="0"/>
                    <w:snapToGrid w:val="0"/>
                    <w:spacing w:before="0" w:after="0" w:line="240" w:lineRule="auto"/>
                    <w:ind w:firstLine="0" w:firstLineChars="0"/>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锌</w:t>
                  </w:r>
                </w:p>
              </w:tc>
              <w:tc>
                <w:tcPr>
                  <w:tcW w:w="1286" w:type="dxa"/>
                  <w:shd w:val="clear" w:color="auto" w:fill="auto"/>
                  <w:vAlign w:val="center"/>
                </w:tcPr>
                <w:p w14:paraId="1BFD95FA">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74</w:t>
                  </w:r>
                </w:p>
              </w:tc>
              <w:tc>
                <w:tcPr>
                  <w:tcW w:w="1647" w:type="dxa"/>
                  <w:shd w:val="clear" w:color="auto" w:fill="auto"/>
                  <w:vAlign w:val="center"/>
                </w:tcPr>
                <w:p w14:paraId="78863446">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250</w:t>
                  </w:r>
                </w:p>
              </w:tc>
              <w:tc>
                <w:tcPr>
                  <w:tcW w:w="1228" w:type="dxa"/>
                  <w:vAlign w:val="center"/>
                </w:tcPr>
                <w:p w14:paraId="41E4C51A">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0.30 </w:t>
                  </w:r>
                </w:p>
              </w:tc>
            </w:tr>
            <w:tr w14:paraId="7B0AB0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restart"/>
                  <w:shd w:val="clear" w:color="auto" w:fill="auto"/>
                  <w:vAlign w:val="center"/>
                </w:tcPr>
                <w:p w14:paraId="05577696">
                  <w:pPr>
                    <w:pStyle w:val="3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eastAsia" w:cs="Times New Roman"/>
                      <w:bCs w:val="0"/>
                      <w:color w:val="auto"/>
                      <w:sz w:val="21"/>
                      <w:szCs w:val="21"/>
                      <w:highlight w:val="none"/>
                      <w:lang w:val="en-US" w:eastAsia="zh-CN"/>
                    </w:rPr>
                    <w:t>石河镇石河镇段、双拱场段</w:t>
                  </w:r>
                </w:p>
              </w:tc>
              <w:tc>
                <w:tcPr>
                  <w:tcW w:w="1070" w:type="dxa"/>
                  <w:vMerge w:val="restart"/>
                  <w:shd w:val="clear" w:color="auto" w:fill="auto"/>
                  <w:vAlign w:val="center"/>
                </w:tcPr>
                <w:p w14:paraId="2369CB99">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S1，石河镇段清淤段上游</w:t>
                  </w:r>
                </w:p>
              </w:tc>
              <w:tc>
                <w:tcPr>
                  <w:tcW w:w="1070" w:type="dxa"/>
                  <w:vMerge w:val="restart"/>
                  <w:shd w:val="clear" w:color="auto" w:fill="auto"/>
                  <w:vAlign w:val="center"/>
                </w:tcPr>
                <w:p w14:paraId="58F92CD4">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kern w:val="0"/>
                      <w:sz w:val="21"/>
                      <w:szCs w:val="21"/>
                      <w:highlight w:val="none"/>
                      <w:lang w:eastAsia="zh-CN"/>
                    </w:rPr>
                    <w:t>2025.02.21</w:t>
                  </w:r>
                </w:p>
              </w:tc>
              <w:tc>
                <w:tcPr>
                  <w:tcW w:w="1549" w:type="dxa"/>
                  <w:shd w:val="clear" w:color="auto" w:fill="auto"/>
                  <w:vAlign w:val="center"/>
                </w:tcPr>
                <w:p w14:paraId="19C87B69">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pH（无量纲）</w:t>
                  </w:r>
                </w:p>
              </w:tc>
              <w:tc>
                <w:tcPr>
                  <w:tcW w:w="1286" w:type="dxa"/>
                  <w:shd w:val="clear" w:color="auto" w:fill="auto"/>
                  <w:vAlign w:val="center"/>
                </w:tcPr>
                <w:p w14:paraId="5865AD49">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6.66</w:t>
                  </w:r>
                </w:p>
              </w:tc>
              <w:tc>
                <w:tcPr>
                  <w:tcW w:w="1647" w:type="dxa"/>
                  <w:shd w:val="clear" w:color="auto" w:fill="auto"/>
                  <w:vAlign w:val="center"/>
                </w:tcPr>
                <w:p w14:paraId="525D3D7D">
                  <w:pPr>
                    <w:pStyle w:val="2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rPr>
                    <w:t>6.5＜pH≤7.5</w:t>
                  </w:r>
                </w:p>
              </w:tc>
              <w:tc>
                <w:tcPr>
                  <w:tcW w:w="1228" w:type="dxa"/>
                  <w:shd w:val="clear" w:color="auto" w:fill="auto"/>
                  <w:vAlign w:val="center"/>
                </w:tcPr>
                <w:p w14:paraId="073D2D82">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r>
            <w:tr w14:paraId="1C6242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0C449694">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047237D8">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4C47241A">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088608A9">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砷</w:t>
                  </w:r>
                </w:p>
              </w:tc>
              <w:tc>
                <w:tcPr>
                  <w:tcW w:w="0" w:type="auto"/>
                  <w:shd w:val="clear" w:color="auto" w:fill="auto"/>
                  <w:vAlign w:val="center"/>
                </w:tcPr>
                <w:p w14:paraId="2D34012C">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5.26</w:t>
                  </w:r>
                </w:p>
              </w:tc>
              <w:tc>
                <w:tcPr>
                  <w:tcW w:w="0" w:type="auto"/>
                  <w:shd w:val="clear" w:color="auto" w:fill="auto"/>
                  <w:vAlign w:val="center"/>
                </w:tcPr>
                <w:p w14:paraId="4A171E77">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30</w:t>
                  </w:r>
                </w:p>
              </w:tc>
              <w:tc>
                <w:tcPr>
                  <w:tcW w:w="0" w:type="auto"/>
                  <w:shd w:val="clear" w:color="auto" w:fill="auto"/>
                  <w:vAlign w:val="center"/>
                </w:tcPr>
                <w:p w14:paraId="3DD9FBCB">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0.18</w:t>
                  </w:r>
                </w:p>
              </w:tc>
            </w:tr>
            <w:tr w14:paraId="27DC3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0878B4F5">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0B65F005">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60AED2B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261742F2">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镉</w:t>
                  </w:r>
                </w:p>
              </w:tc>
              <w:tc>
                <w:tcPr>
                  <w:tcW w:w="0" w:type="auto"/>
                  <w:shd w:val="clear" w:color="auto" w:fill="auto"/>
                  <w:vAlign w:val="center"/>
                </w:tcPr>
                <w:p w14:paraId="79C097DB">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0.26</w:t>
                  </w:r>
                </w:p>
              </w:tc>
              <w:tc>
                <w:tcPr>
                  <w:tcW w:w="0" w:type="auto"/>
                  <w:shd w:val="clear" w:color="auto" w:fill="auto"/>
                  <w:vAlign w:val="center"/>
                </w:tcPr>
                <w:p w14:paraId="06FE5004">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kern w:val="0"/>
                      <w:sz w:val="21"/>
                      <w:szCs w:val="21"/>
                      <w:highlight w:val="none"/>
                      <w:lang w:val="en-US" w:eastAsia="zh-CN" w:bidi="ar"/>
                    </w:rPr>
                    <w:t>0.3</w:t>
                  </w:r>
                </w:p>
              </w:tc>
              <w:tc>
                <w:tcPr>
                  <w:tcW w:w="0" w:type="auto"/>
                  <w:shd w:val="clear" w:color="auto" w:fill="auto"/>
                  <w:vAlign w:val="center"/>
                </w:tcPr>
                <w:p w14:paraId="3D52F907">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0.87</w:t>
                  </w:r>
                </w:p>
              </w:tc>
            </w:tr>
            <w:tr w14:paraId="7B8832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772A78A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147682DE">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307CDBF2">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257BBE1A">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铜</w:t>
                  </w:r>
                </w:p>
              </w:tc>
              <w:tc>
                <w:tcPr>
                  <w:tcW w:w="0" w:type="auto"/>
                  <w:shd w:val="clear" w:color="auto" w:fill="auto"/>
                  <w:vAlign w:val="center"/>
                </w:tcPr>
                <w:p w14:paraId="02470D42">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36</w:t>
                  </w:r>
                </w:p>
              </w:tc>
              <w:tc>
                <w:tcPr>
                  <w:tcW w:w="0" w:type="auto"/>
                  <w:shd w:val="clear" w:color="auto" w:fill="auto"/>
                  <w:vAlign w:val="center"/>
                </w:tcPr>
                <w:p w14:paraId="262B363F">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100</w:t>
                  </w:r>
                </w:p>
              </w:tc>
              <w:tc>
                <w:tcPr>
                  <w:tcW w:w="0" w:type="auto"/>
                  <w:shd w:val="clear" w:color="auto" w:fill="auto"/>
                  <w:vAlign w:val="center"/>
                </w:tcPr>
                <w:p w14:paraId="3E722B5C">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0.36</w:t>
                  </w:r>
                </w:p>
              </w:tc>
            </w:tr>
            <w:tr w14:paraId="44EFBC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3660F21F">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5EB42277">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6528A8D8">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563D014C">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铅</w:t>
                  </w:r>
                </w:p>
              </w:tc>
              <w:tc>
                <w:tcPr>
                  <w:tcW w:w="0" w:type="auto"/>
                  <w:shd w:val="clear" w:color="auto" w:fill="auto"/>
                  <w:vAlign w:val="center"/>
                </w:tcPr>
                <w:p w14:paraId="7E86A0AC">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93</w:t>
                  </w:r>
                </w:p>
              </w:tc>
              <w:tc>
                <w:tcPr>
                  <w:tcW w:w="0" w:type="auto"/>
                  <w:shd w:val="clear" w:color="auto" w:fill="auto"/>
                  <w:vAlign w:val="center"/>
                </w:tcPr>
                <w:p w14:paraId="05D2908D">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lang w:val="en-US" w:eastAsia="zh-CN"/>
                    </w:rPr>
                    <w:t>120</w:t>
                  </w:r>
                </w:p>
              </w:tc>
              <w:tc>
                <w:tcPr>
                  <w:tcW w:w="0" w:type="auto"/>
                  <w:shd w:val="clear" w:color="auto" w:fill="auto"/>
                  <w:vAlign w:val="center"/>
                </w:tcPr>
                <w:p w14:paraId="439D0F1E">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0.78</w:t>
                  </w:r>
                </w:p>
              </w:tc>
            </w:tr>
            <w:tr w14:paraId="4E3DE7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62BB4C5F">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3175EE57">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111EA69B">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2BF86CB9">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汞</w:t>
                  </w:r>
                </w:p>
              </w:tc>
              <w:tc>
                <w:tcPr>
                  <w:tcW w:w="0" w:type="auto"/>
                  <w:shd w:val="clear" w:color="auto" w:fill="auto"/>
                  <w:vAlign w:val="center"/>
                </w:tcPr>
                <w:p w14:paraId="3CF46317">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0.191</w:t>
                  </w:r>
                </w:p>
              </w:tc>
              <w:tc>
                <w:tcPr>
                  <w:tcW w:w="0" w:type="auto"/>
                  <w:shd w:val="clear" w:color="auto" w:fill="auto"/>
                  <w:vAlign w:val="center"/>
                </w:tcPr>
                <w:p w14:paraId="3806D482">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2.4</w:t>
                  </w:r>
                </w:p>
              </w:tc>
              <w:tc>
                <w:tcPr>
                  <w:tcW w:w="0" w:type="auto"/>
                  <w:shd w:val="clear" w:color="auto" w:fill="auto"/>
                  <w:vAlign w:val="center"/>
                </w:tcPr>
                <w:p w14:paraId="2AC7201F">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0.08</w:t>
                  </w:r>
                </w:p>
              </w:tc>
            </w:tr>
            <w:tr w14:paraId="5D40BA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369AEE38">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37AD8612">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697E2517">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6A85FDBB">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镍</w:t>
                  </w:r>
                </w:p>
              </w:tc>
              <w:tc>
                <w:tcPr>
                  <w:tcW w:w="0" w:type="auto"/>
                  <w:shd w:val="clear" w:color="auto" w:fill="auto"/>
                  <w:vAlign w:val="center"/>
                </w:tcPr>
                <w:p w14:paraId="6B41E07D">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61</w:t>
                  </w:r>
                </w:p>
              </w:tc>
              <w:tc>
                <w:tcPr>
                  <w:tcW w:w="0" w:type="auto"/>
                  <w:shd w:val="clear" w:color="auto" w:fill="auto"/>
                  <w:vAlign w:val="center"/>
                </w:tcPr>
                <w:p w14:paraId="677A4CE8">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100</w:t>
                  </w:r>
                </w:p>
              </w:tc>
              <w:tc>
                <w:tcPr>
                  <w:tcW w:w="0" w:type="auto"/>
                  <w:shd w:val="clear" w:color="auto" w:fill="auto"/>
                  <w:vAlign w:val="center"/>
                </w:tcPr>
                <w:p w14:paraId="571F87FE">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0.61</w:t>
                  </w:r>
                </w:p>
              </w:tc>
            </w:tr>
            <w:tr w14:paraId="45D79F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51DCFDBA">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71CEE1C5">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0F36F6B1">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5574EF13">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铬</w:t>
                  </w:r>
                </w:p>
              </w:tc>
              <w:tc>
                <w:tcPr>
                  <w:tcW w:w="0" w:type="auto"/>
                  <w:shd w:val="clear" w:color="auto" w:fill="auto"/>
                  <w:vAlign w:val="center"/>
                </w:tcPr>
                <w:p w14:paraId="59493587">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78</w:t>
                  </w:r>
                </w:p>
              </w:tc>
              <w:tc>
                <w:tcPr>
                  <w:tcW w:w="0" w:type="auto"/>
                  <w:shd w:val="clear" w:color="auto" w:fill="auto"/>
                  <w:vAlign w:val="center"/>
                </w:tcPr>
                <w:p w14:paraId="2E0A8B03">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200</w:t>
                  </w:r>
                </w:p>
              </w:tc>
              <w:tc>
                <w:tcPr>
                  <w:tcW w:w="0" w:type="auto"/>
                  <w:shd w:val="clear" w:color="auto" w:fill="auto"/>
                  <w:vAlign w:val="center"/>
                </w:tcPr>
                <w:p w14:paraId="53523E1F">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0.39</w:t>
                  </w:r>
                </w:p>
              </w:tc>
            </w:tr>
            <w:tr w14:paraId="2CCA52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25C9F2D6">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2FC25DD2">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41368BF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400DF3D8">
                  <w:pPr>
                    <w:pStyle w:val="36"/>
                    <w:keepNext w:val="0"/>
                    <w:keepLines w:val="0"/>
                    <w:pageBreakBefore w:val="0"/>
                    <w:widowControl w:val="0"/>
                    <w:kinsoku/>
                    <w:wordWrap/>
                    <w:overflowPunct/>
                    <w:topLinePunct w:val="0"/>
                    <w:bidi w:val="0"/>
                    <w:snapToGrid w:val="0"/>
                    <w:spacing w:before="0" w:after="0"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锌</w:t>
                  </w:r>
                </w:p>
              </w:tc>
              <w:tc>
                <w:tcPr>
                  <w:tcW w:w="0" w:type="auto"/>
                  <w:shd w:val="clear" w:color="auto" w:fill="auto"/>
                  <w:vAlign w:val="center"/>
                </w:tcPr>
                <w:p w14:paraId="5C03D92B">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95</w:t>
                  </w:r>
                </w:p>
              </w:tc>
              <w:tc>
                <w:tcPr>
                  <w:tcW w:w="0" w:type="auto"/>
                  <w:shd w:val="clear" w:color="auto" w:fill="auto"/>
                  <w:vAlign w:val="center"/>
                </w:tcPr>
                <w:p w14:paraId="089E5449">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250</w:t>
                  </w:r>
                </w:p>
              </w:tc>
              <w:tc>
                <w:tcPr>
                  <w:tcW w:w="0" w:type="auto"/>
                  <w:shd w:val="clear" w:color="auto" w:fill="auto"/>
                  <w:vAlign w:val="center"/>
                </w:tcPr>
                <w:p w14:paraId="62B67B9D">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0.38</w:t>
                  </w:r>
                </w:p>
              </w:tc>
            </w:tr>
            <w:tr w14:paraId="0FE640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7BF20EA1">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restart"/>
                  <w:shd w:val="clear" w:color="auto" w:fill="auto"/>
                  <w:vAlign w:val="center"/>
                </w:tcPr>
                <w:p w14:paraId="1764CD52">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S2，双拱场段</w:t>
                  </w:r>
                  <w:r>
                    <w:rPr>
                      <w:rFonts w:hint="default" w:ascii="Times New Roman" w:hAnsi="Times New Roman" w:eastAsia="宋体" w:cs="Times New Roman"/>
                      <w:color w:val="auto"/>
                      <w:sz w:val="21"/>
                      <w:szCs w:val="21"/>
                      <w:highlight w:val="none"/>
                    </w:rPr>
                    <w:t>清淤段</w:t>
                  </w:r>
                  <w:r>
                    <w:rPr>
                      <w:rFonts w:hint="default" w:ascii="Times New Roman" w:hAnsi="Times New Roman" w:eastAsia="宋体" w:cs="Times New Roman"/>
                      <w:color w:val="auto"/>
                      <w:sz w:val="21"/>
                      <w:szCs w:val="21"/>
                      <w:highlight w:val="none"/>
                      <w:lang w:val="en-US" w:eastAsia="zh-CN"/>
                    </w:rPr>
                    <w:t>上</w:t>
                  </w:r>
                  <w:r>
                    <w:rPr>
                      <w:rFonts w:hint="default" w:ascii="Times New Roman" w:hAnsi="Times New Roman" w:eastAsia="宋体" w:cs="Times New Roman"/>
                      <w:color w:val="auto"/>
                      <w:sz w:val="21"/>
                      <w:szCs w:val="21"/>
                      <w:highlight w:val="none"/>
                    </w:rPr>
                    <w:t>游</w:t>
                  </w:r>
                </w:p>
              </w:tc>
              <w:tc>
                <w:tcPr>
                  <w:tcW w:w="1070" w:type="dxa"/>
                  <w:vMerge w:val="restart"/>
                  <w:shd w:val="clear" w:color="auto" w:fill="auto"/>
                  <w:vAlign w:val="center"/>
                </w:tcPr>
                <w:p w14:paraId="75407424">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kern w:val="0"/>
                      <w:sz w:val="21"/>
                      <w:szCs w:val="21"/>
                      <w:highlight w:val="none"/>
                      <w:lang w:eastAsia="zh-CN"/>
                    </w:rPr>
                    <w:t>2025.02.21</w:t>
                  </w:r>
                </w:p>
              </w:tc>
              <w:tc>
                <w:tcPr>
                  <w:tcW w:w="0" w:type="auto"/>
                  <w:shd w:val="clear" w:color="auto" w:fill="auto"/>
                  <w:vAlign w:val="center"/>
                </w:tcPr>
                <w:p w14:paraId="2F12A18B">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pH（无量纲）</w:t>
                  </w:r>
                </w:p>
              </w:tc>
              <w:tc>
                <w:tcPr>
                  <w:tcW w:w="0" w:type="auto"/>
                  <w:shd w:val="clear" w:color="auto" w:fill="auto"/>
                  <w:vAlign w:val="center"/>
                </w:tcPr>
                <w:p w14:paraId="38A52946">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6.71</w:t>
                  </w:r>
                </w:p>
              </w:tc>
              <w:tc>
                <w:tcPr>
                  <w:tcW w:w="0" w:type="auto"/>
                  <w:shd w:val="clear" w:color="auto" w:fill="auto"/>
                  <w:vAlign w:val="center"/>
                </w:tcPr>
                <w:p w14:paraId="17EA2637">
                  <w:pPr>
                    <w:pStyle w:val="23"/>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rPr>
                    <w:t>6.5＜pH≤7.5</w:t>
                  </w:r>
                </w:p>
              </w:tc>
              <w:tc>
                <w:tcPr>
                  <w:tcW w:w="0" w:type="auto"/>
                  <w:shd w:val="clear" w:color="auto" w:fill="auto"/>
                  <w:vAlign w:val="center"/>
                </w:tcPr>
                <w:p w14:paraId="258E8ECB">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w:t>
                  </w:r>
                </w:p>
              </w:tc>
            </w:tr>
            <w:tr w14:paraId="0E76B5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6389B0EF">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05E93DF2">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5538427A">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3DE2882E">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砷</w:t>
                  </w:r>
                </w:p>
              </w:tc>
              <w:tc>
                <w:tcPr>
                  <w:tcW w:w="0" w:type="auto"/>
                  <w:shd w:val="clear" w:color="auto" w:fill="auto"/>
                  <w:vAlign w:val="center"/>
                </w:tcPr>
                <w:p w14:paraId="1C63C13B">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5.88</w:t>
                  </w:r>
                </w:p>
              </w:tc>
              <w:tc>
                <w:tcPr>
                  <w:tcW w:w="0" w:type="auto"/>
                  <w:shd w:val="clear" w:color="auto" w:fill="auto"/>
                  <w:vAlign w:val="center"/>
                </w:tcPr>
                <w:p w14:paraId="2B5BEDE9">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30</w:t>
                  </w:r>
                </w:p>
              </w:tc>
              <w:tc>
                <w:tcPr>
                  <w:tcW w:w="0" w:type="auto"/>
                  <w:shd w:val="clear" w:color="auto" w:fill="auto"/>
                  <w:vAlign w:val="center"/>
                </w:tcPr>
                <w:p w14:paraId="1F81B97C">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0.20</w:t>
                  </w:r>
                </w:p>
              </w:tc>
            </w:tr>
            <w:tr w14:paraId="6350B4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7C3DE979">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14F198BC">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4D77858F">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4C0B0334">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镉</w:t>
                  </w:r>
                </w:p>
              </w:tc>
              <w:tc>
                <w:tcPr>
                  <w:tcW w:w="0" w:type="auto"/>
                  <w:shd w:val="clear" w:color="auto" w:fill="auto"/>
                  <w:vAlign w:val="center"/>
                </w:tcPr>
                <w:p w14:paraId="44808C2D">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0.24</w:t>
                  </w:r>
                </w:p>
              </w:tc>
              <w:tc>
                <w:tcPr>
                  <w:tcW w:w="0" w:type="auto"/>
                  <w:shd w:val="clear" w:color="auto" w:fill="auto"/>
                  <w:vAlign w:val="center"/>
                </w:tcPr>
                <w:p w14:paraId="75A0BE6C">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kern w:val="0"/>
                      <w:sz w:val="21"/>
                      <w:szCs w:val="21"/>
                      <w:highlight w:val="none"/>
                      <w:lang w:val="en-US" w:eastAsia="zh-CN" w:bidi="ar"/>
                    </w:rPr>
                    <w:t>0.3</w:t>
                  </w:r>
                </w:p>
              </w:tc>
              <w:tc>
                <w:tcPr>
                  <w:tcW w:w="0" w:type="auto"/>
                  <w:shd w:val="clear" w:color="auto" w:fill="auto"/>
                  <w:vAlign w:val="center"/>
                </w:tcPr>
                <w:p w14:paraId="484EF666">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0.80</w:t>
                  </w:r>
                </w:p>
              </w:tc>
            </w:tr>
            <w:tr w14:paraId="684701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701E67F8">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740F2A73">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18C3CC5C">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1FA97970">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铜</w:t>
                  </w:r>
                </w:p>
              </w:tc>
              <w:tc>
                <w:tcPr>
                  <w:tcW w:w="0" w:type="auto"/>
                  <w:shd w:val="clear" w:color="auto" w:fill="auto"/>
                  <w:vAlign w:val="center"/>
                </w:tcPr>
                <w:p w14:paraId="18912772">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30</w:t>
                  </w:r>
                </w:p>
              </w:tc>
              <w:tc>
                <w:tcPr>
                  <w:tcW w:w="0" w:type="auto"/>
                  <w:shd w:val="clear" w:color="auto" w:fill="auto"/>
                  <w:vAlign w:val="center"/>
                </w:tcPr>
                <w:p w14:paraId="3482CFBA">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100</w:t>
                  </w:r>
                </w:p>
              </w:tc>
              <w:tc>
                <w:tcPr>
                  <w:tcW w:w="0" w:type="auto"/>
                  <w:shd w:val="clear" w:color="auto" w:fill="auto"/>
                  <w:vAlign w:val="center"/>
                </w:tcPr>
                <w:p w14:paraId="4EB1D0EE">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0.30</w:t>
                  </w:r>
                </w:p>
              </w:tc>
            </w:tr>
            <w:tr w14:paraId="5C0068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3D56D162">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0074BC9A">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1FD94C05">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78AA46B9">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铅</w:t>
                  </w:r>
                </w:p>
              </w:tc>
              <w:tc>
                <w:tcPr>
                  <w:tcW w:w="0" w:type="auto"/>
                  <w:shd w:val="clear" w:color="auto" w:fill="auto"/>
                  <w:vAlign w:val="center"/>
                </w:tcPr>
                <w:p w14:paraId="079C7783">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116</w:t>
                  </w:r>
                </w:p>
              </w:tc>
              <w:tc>
                <w:tcPr>
                  <w:tcW w:w="0" w:type="auto"/>
                  <w:shd w:val="clear" w:color="auto" w:fill="auto"/>
                  <w:vAlign w:val="center"/>
                </w:tcPr>
                <w:p w14:paraId="050AB57A">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lang w:val="en-US" w:eastAsia="zh-CN"/>
                    </w:rPr>
                    <w:t>120</w:t>
                  </w:r>
                </w:p>
              </w:tc>
              <w:tc>
                <w:tcPr>
                  <w:tcW w:w="0" w:type="auto"/>
                  <w:shd w:val="clear" w:color="auto" w:fill="auto"/>
                  <w:vAlign w:val="center"/>
                </w:tcPr>
                <w:p w14:paraId="4660145F">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0.97</w:t>
                  </w:r>
                </w:p>
              </w:tc>
            </w:tr>
            <w:tr w14:paraId="518E08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6546D98F">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1F404CF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748F6CFD">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440146ED">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汞</w:t>
                  </w:r>
                </w:p>
              </w:tc>
              <w:tc>
                <w:tcPr>
                  <w:tcW w:w="0" w:type="auto"/>
                  <w:shd w:val="clear" w:color="auto" w:fill="auto"/>
                  <w:vAlign w:val="center"/>
                </w:tcPr>
                <w:p w14:paraId="5F5472FD">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0.132</w:t>
                  </w:r>
                </w:p>
              </w:tc>
              <w:tc>
                <w:tcPr>
                  <w:tcW w:w="0" w:type="auto"/>
                  <w:shd w:val="clear" w:color="auto" w:fill="auto"/>
                  <w:vAlign w:val="center"/>
                </w:tcPr>
                <w:p w14:paraId="6A2D5201">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2.4</w:t>
                  </w:r>
                </w:p>
              </w:tc>
              <w:tc>
                <w:tcPr>
                  <w:tcW w:w="0" w:type="auto"/>
                  <w:shd w:val="clear" w:color="auto" w:fill="auto"/>
                  <w:vAlign w:val="center"/>
                </w:tcPr>
                <w:p w14:paraId="6DA88A6F">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0.06</w:t>
                  </w:r>
                </w:p>
              </w:tc>
            </w:tr>
            <w:tr w14:paraId="5CC75A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4B930D61">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245ACBEB">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60F4E1D8">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646D3155">
                  <w:pPr>
                    <w:keepNext w:val="0"/>
                    <w:keepLines w:val="0"/>
                    <w:pageBreakBefore w:val="0"/>
                    <w:widowControl w:val="0"/>
                    <w:kinsoku/>
                    <w:wordWrap/>
                    <w:overflowPunct/>
                    <w:topLinePunct w:val="0"/>
                    <w:autoSpaceDE w:val="0"/>
                    <w:autoSpaceDN w:val="0"/>
                    <w:bidi w:val="0"/>
                    <w:adjustRightInd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镍</w:t>
                  </w:r>
                </w:p>
              </w:tc>
              <w:tc>
                <w:tcPr>
                  <w:tcW w:w="0" w:type="auto"/>
                  <w:shd w:val="clear" w:color="auto" w:fill="auto"/>
                  <w:vAlign w:val="center"/>
                </w:tcPr>
                <w:p w14:paraId="1B6A09D0">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59</w:t>
                  </w:r>
                </w:p>
              </w:tc>
              <w:tc>
                <w:tcPr>
                  <w:tcW w:w="0" w:type="auto"/>
                  <w:shd w:val="clear" w:color="auto" w:fill="auto"/>
                  <w:vAlign w:val="center"/>
                </w:tcPr>
                <w:p w14:paraId="48E71C70">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100</w:t>
                  </w:r>
                </w:p>
              </w:tc>
              <w:tc>
                <w:tcPr>
                  <w:tcW w:w="0" w:type="auto"/>
                  <w:shd w:val="clear" w:color="auto" w:fill="auto"/>
                  <w:vAlign w:val="center"/>
                </w:tcPr>
                <w:p w14:paraId="0DEC598D">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0.59</w:t>
                  </w:r>
                </w:p>
              </w:tc>
            </w:tr>
            <w:tr w14:paraId="5C720E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0E471553">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238F9661">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3BAB2F5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4BC1F0FC">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铬</w:t>
                  </w:r>
                </w:p>
              </w:tc>
              <w:tc>
                <w:tcPr>
                  <w:tcW w:w="0" w:type="auto"/>
                  <w:shd w:val="clear" w:color="auto" w:fill="auto"/>
                  <w:vAlign w:val="center"/>
                </w:tcPr>
                <w:p w14:paraId="024302FA">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77</w:t>
                  </w:r>
                </w:p>
              </w:tc>
              <w:tc>
                <w:tcPr>
                  <w:tcW w:w="0" w:type="auto"/>
                  <w:shd w:val="clear" w:color="auto" w:fill="auto"/>
                  <w:vAlign w:val="center"/>
                </w:tcPr>
                <w:p w14:paraId="43EDCEEA">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200</w:t>
                  </w:r>
                </w:p>
              </w:tc>
              <w:tc>
                <w:tcPr>
                  <w:tcW w:w="0" w:type="auto"/>
                  <w:shd w:val="clear" w:color="auto" w:fill="auto"/>
                  <w:vAlign w:val="center"/>
                </w:tcPr>
                <w:p w14:paraId="5B0BC269">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0.39</w:t>
                  </w:r>
                </w:p>
              </w:tc>
            </w:tr>
            <w:tr w14:paraId="5233ED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547E7394">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77DB1FD2">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0C84013D">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34FE2B8A">
                  <w:pPr>
                    <w:pStyle w:val="36"/>
                    <w:keepNext w:val="0"/>
                    <w:keepLines w:val="0"/>
                    <w:pageBreakBefore w:val="0"/>
                    <w:widowControl w:val="0"/>
                    <w:kinsoku/>
                    <w:wordWrap/>
                    <w:overflowPunct/>
                    <w:topLinePunct w:val="0"/>
                    <w:bidi w:val="0"/>
                    <w:snapToGrid w:val="0"/>
                    <w:spacing w:before="0" w:after="0"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锌</w:t>
                  </w:r>
                </w:p>
              </w:tc>
              <w:tc>
                <w:tcPr>
                  <w:tcW w:w="0" w:type="auto"/>
                  <w:shd w:val="clear" w:color="auto" w:fill="auto"/>
                  <w:vAlign w:val="center"/>
                </w:tcPr>
                <w:p w14:paraId="75DDAAF9">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92</w:t>
                  </w:r>
                </w:p>
              </w:tc>
              <w:tc>
                <w:tcPr>
                  <w:tcW w:w="0" w:type="auto"/>
                  <w:shd w:val="clear" w:color="auto" w:fill="auto"/>
                  <w:vAlign w:val="center"/>
                </w:tcPr>
                <w:p w14:paraId="3B2FF60C">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250</w:t>
                  </w:r>
                </w:p>
              </w:tc>
              <w:tc>
                <w:tcPr>
                  <w:tcW w:w="0" w:type="auto"/>
                  <w:shd w:val="clear" w:color="auto" w:fill="auto"/>
                  <w:vAlign w:val="center"/>
                </w:tcPr>
                <w:p w14:paraId="763347DC">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eastAsia="宋体"/>
                      <w:color w:val="auto"/>
                      <w:sz w:val="21"/>
                      <w:szCs w:val="21"/>
                      <w:highlight w:val="none"/>
                      <w:lang w:val="en-US" w:eastAsia="zh-CN"/>
                    </w:rPr>
                    <w:t>0.37</w:t>
                  </w:r>
                </w:p>
              </w:tc>
            </w:tr>
            <w:tr w14:paraId="3F59E8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restart"/>
                  <w:vAlign w:val="center"/>
                </w:tcPr>
                <w:p w14:paraId="14ADBB0F">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清河镇</w:t>
                  </w:r>
                </w:p>
                <w:p w14:paraId="06F15FCD">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及杨家</w:t>
                  </w:r>
                </w:p>
                <w:p w14:paraId="6D20AF94">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镇段</w:t>
                  </w:r>
                </w:p>
              </w:tc>
              <w:tc>
                <w:tcPr>
                  <w:tcW w:w="1070" w:type="dxa"/>
                  <w:vMerge w:val="restart"/>
                  <w:vAlign w:val="center"/>
                </w:tcPr>
                <w:p w14:paraId="7F04A711">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S1，清河镇治理河段清淤段3#公路桥</w:t>
                  </w:r>
                </w:p>
              </w:tc>
              <w:tc>
                <w:tcPr>
                  <w:tcW w:w="1070" w:type="dxa"/>
                  <w:vMerge w:val="restart"/>
                  <w:vAlign w:val="center"/>
                </w:tcPr>
                <w:p w14:paraId="6F6E706F">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2025.2.22</w:t>
                  </w:r>
                </w:p>
              </w:tc>
              <w:tc>
                <w:tcPr>
                  <w:tcW w:w="0" w:type="auto"/>
                  <w:shd w:val="clear" w:color="auto" w:fill="auto"/>
                  <w:vAlign w:val="center"/>
                </w:tcPr>
                <w:p w14:paraId="3E31BF6C">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pH（无量纲）</w:t>
                  </w:r>
                </w:p>
              </w:tc>
              <w:tc>
                <w:tcPr>
                  <w:tcW w:w="0" w:type="auto"/>
                  <w:shd w:val="clear" w:color="auto" w:fill="auto"/>
                  <w:vAlign w:val="center"/>
                </w:tcPr>
                <w:p w14:paraId="5A156094">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6.91</w:t>
                  </w:r>
                </w:p>
              </w:tc>
              <w:tc>
                <w:tcPr>
                  <w:tcW w:w="0" w:type="auto"/>
                  <w:shd w:val="clear" w:color="auto" w:fill="auto"/>
                  <w:vAlign w:val="top"/>
                </w:tcPr>
                <w:p w14:paraId="11C09C3B">
                  <w:pPr>
                    <w:pStyle w:val="23"/>
                    <w:keepNext w:val="0"/>
                    <w:keepLines w:val="0"/>
                    <w:pageBreakBefore w:val="0"/>
                    <w:widowControl w:val="0"/>
                    <w:kinsoku/>
                    <w:wordWrap/>
                    <w:overflowPunct/>
                    <w:topLinePunct w:val="0"/>
                    <w:bidi w:val="0"/>
                    <w:snapToGrid/>
                    <w:spacing w:line="240" w:lineRule="exact"/>
                    <w:ind w:left="0" w:leftChars="0" w:firstLine="0" w:firstLineChars="0"/>
                    <w:textAlignment w:val="auto"/>
                    <w:rPr>
                      <w:rFonts w:hint="eastAsia" w:ascii="Times New Roman" w:hAnsi="Times New Roman" w:eastAsia="宋体" w:cs="Times New Roman"/>
                      <w:snapToGrid w:val="0"/>
                      <w:color w:val="auto"/>
                      <w:w w:val="100"/>
                      <w:sz w:val="21"/>
                      <w:szCs w:val="21"/>
                      <w:highlight w:val="none"/>
                      <w:lang w:val="en-US" w:eastAsia="zh-CN" w:bidi="ar-SA"/>
                    </w:rPr>
                  </w:pPr>
                  <w:r>
                    <w:rPr>
                      <w:color w:val="auto"/>
                      <w:sz w:val="21"/>
                      <w:szCs w:val="21"/>
                      <w:highlight w:val="none"/>
                    </w:rPr>
                    <w:t>6.5＜pH≤7.5</w:t>
                  </w:r>
                </w:p>
              </w:tc>
              <w:tc>
                <w:tcPr>
                  <w:tcW w:w="0" w:type="auto"/>
                  <w:shd w:val="clear" w:color="auto" w:fill="auto"/>
                  <w:vAlign w:val="center"/>
                </w:tcPr>
                <w:p w14:paraId="02D8E7FD">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w:t>
                  </w:r>
                </w:p>
              </w:tc>
            </w:tr>
            <w:tr w14:paraId="25946F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42AACDB7">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713CF32E">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79439FBF">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547F1EE6">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砷</w:t>
                  </w:r>
                </w:p>
              </w:tc>
              <w:tc>
                <w:tcPr>
                  <w:tcW w:w="0" w:type="auto"/>
                  <w:shd w:val="clear" w:color="auto" w:fill="auto"/>
                  <w:vAlign w:val="center"/>
                </w:tcPr>
                <w:p w14:paraId="077606B1">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7.88</w:t>
                  </w:r>
                </w:p>
              </w:tc>
              <w:tc>
                <w:tcPr>
                  <w:tcW w:w="0" w:type="auto"/>
                  <w:shd w:val="clear" w:color="auto" w:fill="auto"/>
                  <w:vAlign w:val="center"/>
                </w:tcPr>
                <w:p w14:paraId="1FE77862">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30</w:t>
                  </w:r>
                </w:p>
              </w:tc>
              <w:tc>
                <w:tcPr>
                  <w:tcW w:w="0" w:type="auto"/>
                  <w:shd w:val="clear" w:color="auto" w:fill="auto"/>
                  <w:vAlign w:val="center"/>
                </w:tcPr>
                <w:p w14:paraId="6AB1E121">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 xml:space="preserve">0.26 </w:t>
                  </w:r>
                </w:p>
              </w:tc>
            </w:tr>
            <w:tr w14:paraId="40D211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6B2740C8">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3D31A304">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2200A165">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1250E8DE">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镉</w:t>
                  </w:r>
                </w:p>
              </w:tc>
              <w:tc>
                <w:tcPr>
                  <w:tcW w:w="0" w:type="auto"/>
                  <w:shd w:val="clear" w:color="auto" w:fill="auto"/>
                  <w:vAlign w:val="center"/>
                </w:tcPr>
                <w:p w14:paraId="61245031">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eastAsia"/>
                      <w:color w:val="auto"/>
                      <w:kern w:val="0"/>
                      <w:sz w:val="21"/>
                      <w:szCs w:val="21"/>
                      <w:highlight w:val="none"/>
                      <w:lang w:bidi="ar"/>
                    </w:rPr>
                    <w:t>0.11</w:t>
                  </w:r>
                </w:p>
              </w:tc>
              <w:tc>
                <w:tcPr>
                  <w:tcW w:w="0" w:type="auto"/>
                  <w:shd w:val="clear" w:color="auto" w:fill="auto"/>
                  <w:vAlign w:val="center"/>
                </w:tcPr>
                <w:p w14:paraId="153AECC0">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kern w:val="0"/>
                      <w:sz w:val="21"/>
                      <w:szCs w:val="21"/>
                      <w:highlight w:val="none"/>
                      <w:lang w:bidi="ar"/>
                    </w:rPr>
                    <w:t>0.3</w:t>
                  </w:r>
                </w:p>
              </w:tc>
              <w:tc>
                <w:tcPr>
                  <w:tcW w:w="0" w:type="auto"/>
                  <w:shd w:val="clear" w:color="auto" w:fill="auto"/>
                  <w:vAlign w:val="center"/>
                </w:tcPr>
                <w:p w14:paraId="6D9C30DA">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 xml:space="preserve">0.37 </w:t>
                  </w:r>
                </w:p>
              </w:tc>
            </w:tr>
            <w:tr w14:paraId="6733C8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64FD13AA">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6170F7F8">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6D4F48FC">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713C0B63">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铜</w:t>
                  </w:r>
                </w:p>
              </w:tc>
              <w:tc>
                <w:tcPr>
                  <w:tcW w:w="0" w:type="auto"/>
                  <w:shd w:val="clear" w:color="auto" w:fill="auto"/>
                  <w:vAlign w:val="center"/>
                </w:tcPr>
                <w:p w14:paraId="03B97464">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20</w:t>
                  </w:r>
                </w:p>
              </w:tc>
              <w:tc>
                <w:tcPr>
                  <w:tcW w:w="0" w:type="auto"/>
                  <w:shd w:val="clear" w:color="auto" w:fill="auto"/>
                  <w:vAlign w:val="center"/>
                </w:tcPr>
                <w:p w14:paraId="35917D33">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100</w:t>
                  </w:r>
                </w:p>
              </w:tc>
              <w:tc>
                <w:tcPr>
                  <w:tcW w:w="0" w:type="auto"/>
                  <w:shd w:val="clear" w:color="auto" w:fill="auto"/>
                  <w:vAlign w:val="center"/>
                </w:tcPr>
                <w:p w14:paraId="52B951CB">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 xml:space="preserve">0.20 </w:t>
                  </w:r>
                </w:p>
              </w:tc>
            </w:tr>
            <w:tr w14:paraId="310D24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25D2864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73D7F2B7">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0D34AA83">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35368406">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铅</w:t>
                  </w:r>
                </w:p>
              </w:tc>
              <w:tc>
                <w:tcPr>
                  <w:tcW w:w="0" w:type="auto"/>
                  <w:shd w:val="clear" w:color="auto" w:fill="auto"/>
                  <w:vAlign w:val="center"/>
                </w:tcPr>
                <w:p w14:paraId="1718178A">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99</w:t>
                  </w:r>
                </w:p>
              </w:tc>
              <w:tc>
                <w:tcPr>
                  <w:tcW w:w="0" w:type="auto"/>
                  <w:shd w:val="clear" w:color="auto" w:fill="auto"/>
                  <w:vAlign w:val="center"/>
                </w:tcPr>
                <w:p w14:paraId="268D6639">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120</w:t>
                  </w:r>
                </w:p>
              </w:tc>
              <w:tc>
                <w:tcPr>
                  <w:tcW w:w="0" w:type="auto"/>
                  <w:shd w:val="clear" w:color="auto" w:fill="auto"/>
                  <w:vAlign w:val="center"/>
                </w:tcPr>
                <w:p w14:paraId="003D516D">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 xml:space="preserve">0.83 </w:t>
                  </w:r>
                </w:p>
              </w:tc>
            </w:tr>
            <w:tr w14:paraId="6657FC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7C8AEB39">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3B518949">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5A3DECFA">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71236892">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汞</w:t>
                  </w:r>
                </w:p>
              </w:tc>
              <w:tc>
                <w:tcPr>
                  <w:tcW w:w="0" w:type="auto"/>
                  <w:shd w:val="clear" w:color="auto" w:fill="auto"/>
                  <w:vAlign w:val="center"/>
                </w:tcPr>
                <w:p w14:paraId="46F0418E">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0.245</w:t>
                  </w:r>
                </w:p>
              </w:tc>
              <w:tc>
                <w:tcPr>
                  <w:tcW w:w="0" w:type="auto"/>
                  <w:shd w:val="clear" w:color="auto" w:fill="auto"/>
                  <w:vAlign w:val="center"/>
                </w:tcPr>
                <w:p w14:paraId="6C6C9D00">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2.4</w:t>
                  </w:r>
                </w:p>
              </w:tc>
              <w:tc>
                <w:tcPr>
                  <w:tcW w:w="0" w:type="auto"/>
                  <w:shd w:val="clear" w:color="auto" w:fill="auto"/>
                  <w:vAlign w:val="center"/>
                </w:tcPr>
                <w:p w14:paraId="3F04A489">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 xml:space="preserve">0.10 </w:t>
                  </w:r>
                </w:p>
              </w:tc>
            </w:tr>
            <w:tr w14:paraId="4A3104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11504BF4">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5EB1851E">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200CDB64">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7FE2D8B1">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镍</w:t>
                  </w:r>
                </w:p>
              </w:tc>
              <w:tc>
                <w:tcPr>
                  <w:tcW w:w="0" w:type="auto"/>
                  <w:shd w:val="clear" w:color="auto" w:fill="auto"/>
                  <w:vAlign w:val="center"/>
                </w:tcPr>
                <w:p w14:paraId="19DF97AE">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18</w:t>
                  </w:r>
                </w:p>
              </w:tc>
              <w:tc>
                <w:tcPr>
                  <w:tcW w:w="0" w:type="auto"/>
                  <w:shd w:val="clear" w:color="auto" w:fill="auto"/>
                  <w:vAlign w:val="center"/>
                </w:tcPr>
                <w:p w14:paraId="09BF4202">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100</w:t>
                  </w:r>
                </w:p>
              </w:tc>
              <w:tc>
                <w:tcPr>
                  <w:tcW w:w="0" w:type="auto"/>
                  <w:shd w:val="clear" w:color="auto" w:fill="auto"/>
                  <w:vAlign w:val="center"/>
                </w:tcPr>
                <w:p w14:paraId="04526780">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 xml:space="preserve">0.18 </w:t>
                  </w:r>
                </w:p>
              </w:tc>
            </w:tr>
            <w:tr w14:paraId="1FF315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43A069D8">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0A526CD4">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2A623B9F">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3C5E4ACA">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铬</w:t>
                  </w:r>
                </w:p>
              </w:tc>
              <w:tc>
                <w:tcPr>
                  <w:tcW w:w="0" w:type="auto"/>
                  <w:shd w:val="clear" w:color="auto" w:fill="auto"/>
                  <w:vAlign w:val="center"/>
                </w:tcPr>
                <w:p w14:paraId="5FFC49D4">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57</w:t>
                  </w:r>
                </w:p>
              </w:tc>
              <w:tc>
                <w:tcPr>
                  <w:tcW w:w="0" w:type="auto"/>
                  <w:shd w:val="clear" w:color="auto" w:fill="auto"/>
                  <w:vAlign w:val="center"/>
                </w:tcPr>
                <w:p w14:paraId="3E709437">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200</w:t>
                  </w:r>
                </w:p>
              </w:tc>
              <w:tc>
                <w:tcPr>
                  <w:tcW w:w="0" w:type="auto"/>
                  <w:shd w:val="clear" w:color="auto" w:fill="auto"/>
                  <w:vAlign w:val="center"/>
                </w:tcPr>
                <w:p w14:paraId="0ACD6F06">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 xml:space="preserve">0.29 </w:t>
                  </w:r>
                </w:p>
              </w:tc>
            </w:tr>
            <w:tr w14:paraId="1C9315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34B69E9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6DD40E43">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35D77858">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4F4354B2">
                  <w:pPr>
                    <w:pStyle w:val="36"/>
                    <w:keepNext w:val="0"/>
                    <w:keepLines w:val="0"/>
                    <w:pageBreakBefore w:val="0"/>
                    <w:widowControl w:val="0"/>
                    <w:kinsoku/>
                    <w:wordWrap/>
                    <w:overflowPunct/>
                    <w:topLinePunct w:val="0"/>
                    <w:bidi w:val="0"/>
                    <w:snapToGrid/>
                    <w:spacing w:before="0" w:after="0" w:line="240" w:lineRule="exact"/>
                    <w:ind w:firstLine="0" w:firstLineChars="0"/>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rPr>
                    <w:t>锌</w:t>
                  </w:r>
                </w:p>
              </w:tc>
              <w:tc>
                <w:tcPr>
                  <w:tcW w:w="0" w:type="auto"/>
                  <w:shd w:val="clear" w:color="auto" w:fill="auto"/>
                  <w:vAlign w:val="center"/>
                </w:tcPr>
                <w:p w14:paraId="77682D68">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33</w:t>
                  </w:r>
                </w:p>
              </w:tc>
              <w:tc>
                <w:tcPr>
                  <w:tcW w:w="0" w:type="auto"/>
                  <w:shd w:val="clear" w:color="auto" w:fill="auto"/>
                  <w:vAlign w:val="center"/>
                </w:tcPr>
                <w:p w14:paraId="21FA48E4">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250</w:t>
                  </w:r>
                </w:p>
              </w:tc>
              <w:tc>
                <w:tcPr>
                  <w:tcW w:w="0" w:type="auto"/>
                  <w:shd w:val="clear" w:color="auto" w:fill="auto"/>
                  <w:vAlign w:val="center"/>
                </w:tcPr>
                <w:p w14:paraId="2F0E202B">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 xml:space="preserve">0.13 </w:t>
                  </w:r>
                </w:p>
              </w:tc>
            </w:tr>
            <w:tr w14:paraId="0C98F6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5B86673F">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restart"/>
                  <w:vAlign w:val="center"/>
                </w:tcPr>
                <w:p w14:paraId="17B2BAE3">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S2，杨家镇治理河段清淤段桩号K0+500附近</w:t>
                  </w:r>
                </w:p>
              </w:tc>
              <w:tc>
                <w:tcPr>
                  <w:tcW w:w="1070" w:type="dxa"/>
                  <w:vMerge w:val="restart"/>
                  <w:vAlign w:val="center"/>
                </w:tcPr>
                <w:p w14:paraId="26E83E0F">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olor w:val="auto"/>
                      <w:kern w:val="0"/>
                      <w:szCs w:val="21"/>
                      <w:highlight w:val="none"/>
                    </w:rPr>
                    <w:t>202</w:t>
                  </w:r>
                  <w:r>
                    <w:rPr>
                      <w:color w:val="auto"/>
                      <w:kern w:val="0"/>
                      <w:szCs w:val="21"/>
                      <w:highlight w:val="none"/>
                    </w:rPr>
                    <w:t>5.2.22</w:t>
                  </w:r>
                </w:p>
              </w:tc>
              <w:tc>
                <w:tcPr>
                  <w:tcW w:w="0" w:type="auto"/>
                  <w:shd w:val="clear" w:color="auto" w:fill="auto"/>
                  <w:vAlign w:val="center"/>
                </w:tcPr>
                <w:p w14:paraId="1B7964EF">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pH（无量纲）</w:t>
                  </w:r>
                </w:p>
              </w:tc>
              <w:tc>
                <w:tcPr>
                  <w:tcW w:w="0" w:type="auto"/>
                  <w:shd w:val="clear" w:color="auto" w:fill="auto"/>
                  <w:vAlign w:val="center"/>
                </w:tcPr>
                <w:p w14:paraId="72302564">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6.7</w:t>
                  </w:r>
                  <w:r>
                    <w:rPr>
                      <w:color w:val="auto"/>
                      <w:sz w:val="21"/>
                      <w:szCs w:val="21"/>
                      <w:highlight w:val="none"/>
                    </w:rPr>
                    <w:t>8</w:t>
                  </w:r>
                </w:p>
              </w:tc>
              <w:tc>
                <w:tcPr>
                  <w:tcW w:w="0" w:type="auto"/>
                  <w:shd w:val="clear" w:color="auto" w:fill="auto"/>
                  <w:vAlign w:val="center"/>
                </w:tcPr>
                <w:p w14:paraId="3A239978">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6.5＜pH≤7.5</w:t>
                  </w:r>
                </w:p>
              </w:tc>
              <w:tc>
                <w:tcPr>
                  <w:tcW w:w="0" w:type="auto"/>
                  <w:shd w:val="clear" w:color="auto" w:fill="auto"/>
                  <w:vAlign w:val="center"/>
                </w:tcPr>
                <w:p w14:paraId="529482D1">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w:t>
                  </w:r>
                </w:p>
              </w:tc>
            </w:tr>
            <w:tr w14:paraId="407DF3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47159151">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18D34363">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490831D7">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5DDC557D">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砷</w:t>
                  </w:r>
                </w:p>
              </w:tc>
              <w:tc>
                <w:tcPr>
                  <w:tcW w:w="0" w:type="auto"/>
                  <w:shd w:val="clear" w:color="auto" w:fill="auto"/>
                  <w:vAlign w:val="center"/>
                </w:tcPr>
                <w:p w14:paraId="380FFA25">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8.40</w:t>
                  </w:r>
                </w:p>
              </w:tc>
              <w:tc>
                <w:tcPr>
                  <w:tcW w:w="0" w:type="auto"/>
                  <w:shd w:val="clear" w:color="auto" w:fill="auto"/>
                  <w:vAlign w:val="center"/>
                </w:tcPr>
                <w:p w14:paraId="378BC9E8">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30</w:t>
                  </w:r>
                </w:p>
              </w:tc>
              <w:tc>
                <w:tcPr>
                  <w:tcW w:w="0" w:type="auto"/>
                  <w:shd w:val="clear" w:color="auto" w:fill="auto"/>
                  <w:vAlign w:val="center"/>
                </w:tcPr>
                <w:p w14:paraId="01BB68D4">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 xml:space="preserve">0.28 </w:t>
                  </w:r>
                </w:p>
              </w:tc>
            </w:tr>
            <w:tr w14:paraId="4E47A0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1B37D12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3A0CAF7A">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3E41DE11">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12EB0E66">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color w:val="auto"/>
                      <w:sz w:val="21"/>
                      <w:szCs w:val="21"/>
                      <w:highlight w:val="none"/>
                    </w:rPr>
                    <w:t>镉</w:t>
                  </w:r>
                </w:p>
              </w:tc>
              <w:tc>
                <w:tcPr>
                  <w:tcW w:w="0" w:type="auto"/>
                  <w:shd w:val="clear" w:color="auto" w:fill="auto"/>
                  <w:vAlign w:val="center"/>
                </w:tcPr>
                <w:p w14:paraId="49C53FFF">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
                    </w:rPr>
                  </w:pPr>
                  <w:r>
                    <w:rPr>
                      <w:rFonts w:hint="eastAsia"/>
                      <w:color w:val="auto"/>
                      <w:kern w:val="0"/>
                      <w:sz w:val="21"/>
                      <w:szCs w:val="21"/>
                      <w:highlight w:val="none"/>
                      <w:lang w:bidi="ar"/>
                    </w:rPr>
                    <w:t>0.22</w:t>
                  </w:r>
                </w:p>
              </w:tc>
              <w:tc>
                <w:tcPr>
                  <w:tcW w:w="0" w:type="auto"/>
                  <w:shd w:val="clear" w:color="auto" w:fill="auto"/>
                  <w:vAlign w:val="center"/>
                </w:tcPr>
                <w:p w14:paraId="7A9D638C">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
                    </w:rPr>
                  </w:pPr>
                  <w:r>
                    <w:rPr>
                      <w:color w:val="auto"/>
                      <w:kern w:val="0"/>
                      <w:sz w:val="21"/>
                      <w:szCs w:val="21"/>
                      <w:highlight w:val="none"/>
                      <w:lang w:bidi="ar"/>
                    </w:rPr>
                    <w:t>0.3</w:t>
                  </w:r>
                </w:p>
              </w:tc>
              <w:tc>
                <w:tcPr>
                  <w:tcW w:w="0" w:type="auto"/>
                  <w:shd w:val="clear" w:color="auto" w:fill="auto"/>
                  <w:vAlign w:val="center"/>
                </w:tcPr>
                <w:p w14:paraId="1C82B3E1">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 xml:space="preserve">0.73 </w:t>
                  </w:r>
                </w:p>
              </w:tc>
            </w:tr>
            <w:tr w14:paraId="7C8C2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57650BFB">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279E2CC6">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6CCF42FB">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1EDDFB8B">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铜</w:t>
                  </w:r>
                </w:p>
              </w:tc>
              <w:tc>
                <w:tcPr>
                  <w:tcW w:w="0" w:type="auto"/>
                  <w:shd w:val="clear" w:color="auto" w:fill="auto"/>
                  <w:vAlign w:val="center"/>
                </w:tcPr>
                <w:p w14:paraId="45F25E75">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32</w:t>
                  </w:r>
                </w:p>
              </w:tc>
              <w:tc>
                <w:tcPr>
                  <w:tcW w:w="0" w:type="auto"/>
                  <w:shd w:val="clear" w:color="auto" w:fill="auto"/>
                  <w:vAlign w:val="center"/>
                </w:tcPr>
                <w:p w14:paraId="13082F24">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100</w:t>
                  </w:r>
                </w:p>
              </w:tc>
              <w:tc>
                <w:tcPr>
                  <w:tcW w:w="0" w:type="auto"/>
                  <w:shd w:val="clear" w:color="auto" w:fill="auto"/>
                  <w:vAlign w:val="center"/>
                </w:tcPr>
                <w:p w14:paraId="1CA524FB">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 xml:space="preserve">0.32 </w:t>
                  </w:r>
                </w:p>
              </w:tc>
            </w:tr>
            <w:tr w14:paraId="7F33CF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244D75CD">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47B28F47">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2EDCC6B8">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5194E93B">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铅</w:t>
                  </w:r>
                </w:p>
              </w:tc>
              <w:tc>
                <w:tcPr>
                  <w:tcW w:w="0" w:type="auto"/>
                  <w:shd w:val="clear" w:color="auto" w:fill="auto"/>
                  <w:vAlign w:val="center"/>
                </w:tcPr>
                <w:p w14:paraId="3FEB8D97">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96</w:t>
                  </w:r>
                </w:p>
              </w:tc>
              <w:tc>
                <w:tcPr>
                  <w:tcW w:w="0" w:type="auto"/>
                  <w:shd w:val="clear" w:color="auto" w:fill="auto"/>
                  <w:vAlign w:val="center"/>
                </w:tcPr>
                <w:p w14:paraId="33AC712A">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120</w:t>
                  </w:r>
                </w:p>
              </w:tc>
              <w:tc>
                <w:tcPr>
                  <w:tcW w:w="0" w:type="auto"/>
                  <w:shd w:val="clear" w:color="auto" w:fill="auto"/>
                  <w:vAlign w:val="center"/>
                </w:tcPr>
                <w:p w14:paraId="7D47ADFB">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 xml:space="preserve">0.80 </w:t>
                  </w:r>
                </w:p>
              </w:tc>
            </w:tr>
            <w:tr w14:paraId="100F73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4B9F608D">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6BFA2866">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3FE3E652">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55629220">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汞</w:t>
                  </w:r>
                </w:p>
              </w:tc>
              <w:tc>
                <w:tcPr>
                  <w:tcW w:w="0" w:type="auto"/>
                  <w:shd w:val="clear" w:color="auto" w:fill="auto"/>
                  <w:vAlign w:val="center"/>
                </w:tcPr>
                <w:p w14:paraId="29A8DB36">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0.298</w:t>
                  </w:r>
                </w:p>
              </w:tc>
              <w:tc>
                <w:tcPr>
                  <w:tcW w:w="0" w:type="auto"/>
                  <w:shd w:val="clear" w:color="auto" w:fill="auto"/>
                  <w:vAlign w:val="center"/>
                </w:tcPr>
                <w:p w14:paraId="4882BCBD">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2.4</w:t>
                  </w:r>
                </w:p>
              </w:tc>
              <w:tc>
                <w:tcPr>
                  <w:tcW w:w="0" w:type="auto"/>
                  <w:shd w:val="clear" w:color="auto" w:fill="auto"/>
                  <w:vAlign w:val="center"/>
                </w:tcPr>
                <w:p w14:paraId="33EAD274">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 xml:space="preserve">0.12 </w:t>
                  </w:r>
                </w:p>
              </w:tc>
            </w:tr>
            <w:tr w14:paraId="5D5162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71CEC2CD">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310F8693">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650D2E04">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316C6057">
                  <w:pPr>
                    <w:keepNext w:val="0"/>
                    <w:keepLines w:val="0"/>
                    <w:pageBreakBefore w:val="0"/>
                    <w:widowControl w:val="0"/>
                    <w:kinsoku/>
                    <w:wordWrap/>
                    <w:overflowPunct/>
                    <w:topLinePunct w:val="0"/>
                    <w:autoSpaceDE w:val="0"/>
                    <w:autoSpaceDN w:val="0"/>
                    <w:bidi w:val="0"/>
                    <w:adjustRightInd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镍</w:t>
                  </w:r>
                </w:p>
              </w:tc>
              <w:tc>
                <w:tcPr>
                  <w:tcW w:w="0" w:type="auto"/>
                  <w:shd w:val="clear" w:color="auto" w:fill="auto"/>
                  <w:vAlign w:val="center"/>
                </w:tcPr>
                <w:p w14:paraId="2F04EA7F">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32</w:t>
                  </w:r>
                </w:p>
              </w:tc>
              <w:tc>
                <w:tcPr>
                  <w:tcW w:w="0" w:type="auto"/>
                  <w:shd w:val="clear" w:color="auto" w:fill="auto"/>
                  <w:vAlign w:val="center"/>
                </w:tcPr>
                <w:p w14:paraId="4C91CEBD">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100</w:t>
                  </w:r>
                </w:p>
              </w:tc>
              <w:tc>
                <w:tcPr>
                  <w:tcW w:w="0" w:type="auto"/>
                  <w:shd w:val="clear" w:color="auto" w:fill="auto"/>
                  <w:vAlign w:val="center"/>
                </w:tcPr>
                <w:p w14:paraId="41040432">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 xml:space="preserve">0.32 </w:t>
                  </w:r>
                </w:p>
              </w:tc>
            </w:tr>
            <w:tr w14:paraId="47E0BE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03A0D474">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4EB6B19E">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vAlign w:val="center"/>
                </w:tcPr>
                <w:p w14:paraId="4C04B061">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34BC4AF2">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铬</w:t>
                  </w:r>
                </w:p>
              </w:tc>
              <w:tc>
                <w:tcPr>
                  <w:tcW w:w="0" w:type="auto"/>
                  <w:shd w:val="clear" w:color="auto" w:fill="auto"/>
                  <w:vAlign w:val="center"/>
                </w:tcPr>
                <w:p w14:paraId="62F00646">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104</w:t>
                  </w:r>
                </w:p>
              </w:tc>
              <w:tc>
                <w:tcPr>
                  <w:tcW w:w="0" w:type="auto"/>
                  <w:shd w:val="clear" w:color="auto" w:fill="auto"/>
                  <w:vAlign w:val="center"/>
                </w:tcPr>
                <w:p w14:paraId="157CB453">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200</w:t>
                  </w:r>
                </w:p>
              </w:tc>
              <w:tc>
                <w:tcPr>
                  <w:tcW w:w="0" w:type="auto"/>
                  <w:shd w:val="clear" w:color="auto" w:fill="auto"/>
                  <w:vAlign w:val="center"/>
                </w:tcPr>
                <w:p w14:paraId="4F96389B">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 xml:space="preserve">0.52 </w:t>
                  </w:r>
                </w:p>
              </w:tc>
            </w:tr>
            <w:tr w14:paraId="0810D3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jc w:val="center"/>
              </w:trPr>
              <w:tc>
                <w:tcPr>
                  <w:tcW w:w="1247" w:type="dxa"/>
                  <w:vMerge w:val="continue"/>
                </w:tcPr>
                <w:p w14:paraId="73540885">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tcPr>
                <w:p w14:paraId="1A3D3A70">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1070" w:type="dxa"/>
                  <w:vMerge w:val="continue"/>
                </w:tcPr>
                <w:p w14:paraId="3D88F6D8">
                  <w:pPr>
                    <w:pStyle w:val="34"/>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71B8133D">
                  <w:pPr>
                    <w:pStyle w:val="36"/>
                    <w:keepNext w:val="0"/>
                    <w:keepLines w:val="0"/>
                    <w:pageBreakBefore w:val="0"/>
                    <w:widowControl w:val="0"/>
                    <w:kinsoku/>
                    <w:wordWrap/>
                    <w:overflowPunct/>
                    <w:topLinePunct w:val="0"/>
                    <w:bidi w:val="0"/>
                    <w:snapToGrid/>
                    <w:spacing w:before="0" w:after="0" w:line="240" w:lineRule="exact"/>
                    <w:ind w:firstLine="0" w:firstLineChars="0"/>
                    <w:textAlignment w:val="auto"/>
                    <w:rPr>
                      <w:rFonts w:hint="default" w:ascii="Times New Roman" w:hAnsi="Times New Roman" w:eastAsia="宋体" w:cs="Times New Roman"/>
                      <w:snapToGrid w:val="0"/>
                      <w:color w:val="auto"/>
                      <w:sz w:val="21"/>
                      <w:szCs w:val="21"/>
                      <w:highlight w:val="none"/>
                      <w:lang w:val="en-US" w:eastAsia="zh-CN" w:bidi="ar-SA"/>
                    </w:rPr>
                  </w:pPr>
                  <w:r>
                    <w:rPr>
                      <w:rFonts w:cs="Times New Roman"/>
                      <w:color w:val="auto"/>
                      <w:sz w:val="21"/>
                      <w:szCs w:val="21"/>
                      <w:highlight w:val="none"/>
                    </w:rPr>
                    <w:t>锌</w:t>
                  </w:r>
                </w:p>
              </w:tc>
              <w:tc>
                <w:tcPr>
                  <w:tcW w:w="0" w:type="auto"/>
                  <w:shd w:val="clear" w:color="auto" w:fill="auto"/>
                  <w:vAlign w:val="center"/>
                </w:tcPr>
                <w:p w14:paraId="65950EF4">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98</w:t>
                  </w:r>
                </w:p>
              </w:tc>
              <w:tc>
                <w:tcPr>
                  <w:tcW w:w="0" w:type="auto"/>
                  <w:shd w:val="clear" w:color="auto" w:fill="auto"/>
                  <w:vAlign w:val="center"/>
                </w:tcPr>
                <w:p w14:paraId="2B85BFA7">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color w:val="auto"/>
                      <w:sz w:val="21"/>
                      <w:szCs w:val="21"/>
                      <w:highlight w:val="none"/>
                    </w:rPr>
                    <w:t>250</w:t>
                  </w:r>
                </w:p>
              </w:tc>
              <w:tc>
                <w:tcPr>
                  <w:tcW w:w="0" w:type="auto"/>
                  <w:shd w:val="clear" w:color="auto" w:fill="auto"/>
                  <w:vAlign w:val="center"/>
                </w:tcPr>
                <w:p w14:paraId="1074038E">
                  <w:pPr>
                    <w:keepNext w:val="0"/>
                    <w:keepLines w:val="0"/>
                    <w:pageBreakBefore w:val="0"/>
                    <w:widowControl w:val="0"/>
                    <w:kinsoku/>
                    <w:wordWrap/>
                    <w:overflowPunct/>
                    <w:topLinePunct w:val="0"/>
                    <w:bidi w:val="0"/>
                    <w:snapToGrid/>
                    <w:spacing w:line="240" w:lineRule="exact"/>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olor w:val="auto"/>
                      <w:sz w:val="21"/>
                      <w:szCs w:val="21"/>
                      <w:highlight w:val="none"/>
                    </w:rPr>
                    <w:t xml:space="preserve">0.39 </w:t>
                  </w:r>
                </w:p>
              </w:tc>
            </w:tr>
          </w:tbl>
          <w:p w14:paraId="7C360016">
            <w:pPr>
              <w:pStyle w:val="34"/>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根据上表可知，参照《土壤环境质量 农用地土壤污染风险管控标准》(GB/15618-2018)表1农用地土壤污染风险筛选值，本项目</w:t>
            </w:r>
            <w:r>
              <w:rPr>
                <w:rFonts w:hint="eastAsia" w:cs="Times New Roman"/>
                <w:color w:val="auto"/>
                <w:highlight w:val="none"/>
                <w:lang w:val="en-US" w:eastAsia="zh-CN"/>
              </w:rPr>
              <w:t>各工程河段的</w:t>
            </w:r>
            <w:r>
              <w:rPr>
                <w:rFonts w:hint="default" w:ascii="Times New Roman" w:hAnsi="Times New Roman" w:cs="Times New Roman"/>
                <w:color w:val="auto"/>
                <w:highlight w:val="none"/>
              </w:rPr>
              <w:t>河道底泥中铬、镍、锌、铜、铅、镉、汞、砷</w:t>
            </w:r>
            <w:r>
              <w:rPr>
                <w:rFonts w:hint="eastAsia" w:cs="Times New Roman"/>
                <w:color w:val="auto"/>
                <w:highlight w:val="none"/>
                <w:lang w:val="en-US" w:eastAsia="zh-CN"/>
              </w:rPr>
              <w:t>均</w:t>
            </w:r>
            <w:r>
              <w:rPr>
                <w:rFonts w:hint="default" w:ascii="Times New Roman" w:hAnsi="Times New Roman" w:cs="Times New Roman"/>
                <w:color w:val="auto"/>
                <w:highlight w:val="none"/>
              </w:rPr>
              <w:t>满足</w:t>
            </w:r>
            <w:r>
              <w:rPr>
                <w:rFonts w:hint="default" w:ascii="Times New Roman" w:hAnsi="Times New Roman" w:cs="Times New Roman"/>
                <w:color w:val="auto"/>
                <w:szCs w:val="24"/>
                <w:highlight w:val="none"/>
              </w:rPr>
              <w:t>6.5＜pH≤7.5类的</w:t>
            </w:r>
            <w:r>
              <w:rPr>
                <w:rFonts w:hint="default" w:ascii="Times New Roman" w:hAnsi="Times New Roman" w:cs="Times New Roman"/>
                <w:color w:val="auto"/>
                <w:highlight w:val="none"/>
              </w:rPr>
              <w:t>限值要求。</w:t>
            </w:r>
          </w:p>
        </w:tc>
      </w:tr>
      <w:tr w14:paraId="231CC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8" w:type="pct"/>
            <w:tcBorders>
              <w:top w:val="single" w:color="auto" w:sz="4" w:space="0"/>
              <w:bottom w:val="single" w:color="auto" w:sz="4" w:space="0"/>
            </w:tcBorders>
            <w:noWrap w:val="0"/>
            <w:vAlign w:val="center"/>
          </w:tcPr>
          <w:p w14:paraId="23F274AD">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与项目有关的原有环境污染和生态破坏问题</w:t>
            </w:r>
          </w:p>
        </w:tc>
        <w:tc>
          <w:tcPr>
            <w:tcW w:w="4631" w:type="pct"/>
            <w:tcBorders>
              <w:top w:val="single" w:color="auto" w:sz="4" w:space="0"/>
              <w:bottom w:val="single" w:color="auto" w:sz="4" w:space="0"/>
            </w:tcBorders>
            <w:noWrap w:val="0"/>
            <w:vAlign w:val="center"/>
          </w:tcPr>
          <w:p w14:paraId="6A57D9B2">
            <w:pPr>
              <w:pStyle w:val="34"/>
              <w:spacing w:line="360" w:lineRule="auto"/>
              <w:ind w:left="0" w:leftChars="0" w:firstLine="0" w:firstLineChars="0"/>
              <w:rPr>
                <w:rFonts w:hint="default" w:ascii="Times New Roman" w:hAnsi="Times New Roman" w:eastAsia="宋体" w:cs="Times New Roman"/>
                <w:bCs w:val="0"/>
                <w:color w:val="auto"/>
                <w:szCs w:val="22"/>
                <w:highlight w:val="none"/>
                <w:lang w:val="en-US" w:eastAsia="zh-CN"/>
              </w:rPr>
            </w:pPr>
            <w:r>
              <w:rPr>
                <w:rFonts w:hint="eastAsia" w:cs="Times New Roman"/>
                <w:bCs w:val="0"/>
                <w:color w:val="auto"/>
                <w:szCs w:val="24"/>
                <w:highlight w:val="none"/>
                <w:lang w:val="en-US" w:eastAsia="zh-CN"/>
              </w:rPr>
              <w:t>·</w:t>
            </w:r>
            <w:r>
              <w:rPr>
                <w:rFonts w:hint="eastAsia" w:cs="Times New Roman"/>
                <w:bCs w:val="0"/>
                <w:color w:val="auto"/>
                <w:sz w:val="24"/>
                <w:szCs w:val="24"/>
                <w:highlight w:val="none"/>
                <w:lang w:val="en-US" w:eastAsia="zh-CN"/>
              </w:rPr>
              <w:t>石河镇二</w:t>
            </w:r>
            <w:r>
              <w:rPr>
                <w:rFonts w:hint="default" w:cs="Times New Roman"/>
                <w:bCs w:val="0"/>
                <w:color w:val="auto"/>
                <w:sz w:val="24"/>
                <w:szCs w:val="22"/>
                <w:highlight w:val="none"/>
                <w:lang w:val="en-US" w:eastAsia="zh-CN"/>
              </w:rPr>
              <w:t>郎及福兴段、石河镇石河镇段及双拱场段</w:t>
            </w:r>
          </w:p>
          <w:p w14:paraId="682642AD">
            <w:pPr>
              <w:pStyle w:val="34"/>
              <w:adjustRightInd w:val="0"/>
              <w:snapToGrid w:val="0"/>
              <w:ind w:firstLineChars="200"/>
              <w:rPr>
                <w:rFonts w:hint="default" w:ascii="Times New Roman" w:hAnsi="Times New Roman" w:eastAsia="宋体" w:cs="Times New Roman"/>
                <w:bCs w:val="0"/>
                <w:color w:val="auto"/>
                <w:sz w:val="24"/>
                <w:szCs w:val="22"/>
                <w:highlight w:val="none"/>
                <w:lang w:val="en-US" w:eastAsia="zh-CN"/>
              </w:rPr>
            </w:pPr>
            <w:r>
              <w:rPr>
                <w:rFonts w:hint="default" w:ascii="Times New Roman" w:hAnsi="Times New Roman" w:eastAsia="宋体" w:cs="Times New Roman"/>
                <w:bCs w:val="0"/>
                <w:color w:val="auto"/>
                <w:sz w:val="24"/>
                <w:szCs w:val="22"/>
                <w:highlight w:val="none"/>
                <w:lang w:val="en-US" w:eastAsia="zh-CN"/>
              </w:rPr>
              <w:t>（1）柳城河评价段现状及存在的环境问题</w:t>
            </w:r>
          </w:p>
          <w:p w14:paraId="45BDBEB8">
            <w:pPr>
              <w:pStyle w:val="34"/>
              <w:spacing w:line="360" w:lineRule="auto"/>
              <w:rPr>
                <w:rFonts w:hint="eastAsia" w:ascii="Times New Roman" w:hAnsi="Times New Roman" w:eastAsia="宋体" w:cs="Times New Roman"/>
                <w:color w:val="auto"/>
                <w:szCs w:val="24"/>
                <w:highlight w:val="none"/>
                <w:lang w:eastAsia="zh-CN"/>
              </w:rPr>
            </w:pPr>
            <w:r>
              <w:rPr>
                <w:rFonts w:hint="default" w:ascii="Times New Roman" w:hAnsi="Times New Roman" w:cs="Times New Roman"/>
                <w:bCs w:val="0"/>
                <w:color w:val="auto"/>
                <w:szCs w:val="22"/>
                <w:highlight w:val="none"/>
              </w:rPr>
              <w:t>根据现场调查，</w:t>
            </w:r>
            <w:r>
              <w:rPr>
                <w:rFonts w:hint="default"/>
                <w:bCs w:val="0"/>
                <w:color w:val="auto"/>
                <w:szCs w:val="22"/>
                <w:highlight w:val="none"/>
              </w:rPr>
              <w:t>柳城河行洪</w:t>
            </w:r>
            <w:r>
              <w:rPr>
                <w:bCs w:val="0"/>
                <w:color w:val="auto"/>
                <w:szCs w:val="22"/>
                <w:highlight w:val="none"/>
              </w:rPr>
              <w:t>洪障碍较多，</w:t>
            </w:r>
            <w:r>
              <w:rPr>
                <w:rFonts w:hint="default"/>
                <w:bCs w:val="0"/>
                <w:color w:val="auto"/>
                <w:szCs w:val="22"/>
                <w:highlight w:val="none"/>
              </w:rPr>
              <w:t>特别是涉及到二郎社区（原二郎镇）和福兴社区（原李</w:t>
            </w:r>
            <w:r>
              <w:rPr>
                <w:rFonts w:hint="eastAsia"/>
                <w:color w:val="auto"/>
                <w:highlight w:val="none"/>
              </w:rPr>
              <w:t>家乡）的</w:t>
            </w:r>
            <w:r>
              <w:rPr>
                <w:color w:val="auto"/>
                <w:highlight w:val="none"/>
              </w:rPr>
              <w:t>防洪形势</w:t>
            </w:r>
            <w:r>
              <w:rPr>
                <w:rFonts w:hint="eastAsia"/>
                <w:color w:val="auto"/>
                <w:highlight w:val="none"/>
              </w:rPr>
              <w:t>更</w:t>
            </w:r>
            <w:r>
              <w:rPr>
                <w:color w:val="auto"/>
                <w:highlight w:val="none"/>
              </w:rPr>
              <w:t>为严峻。由于河道无防护措施，水土流失严重，</w:t>
            </w:r>
            <w:r>
              <w:rPr>
                <w:rFonts w:hint="eastAsia"/>
                <w:color w:val="auto"/>
                <w:highlight w:val="none"/>
              </w:rPr>
              <w:t>临近场镇段的居民房屋和耕地财产安全受到洪水威胁</w:t>
            </w:r>
            <w:r>
              <w:rPr>
                <w:color w:val="auto"/>
                <w:highlight w:val="none"/>
              </w:rPr>
              <w:t>，</w:t>
            </w:r>
            <w:r>
              <w:rPr>
                <w:rFonts w:hint="eastAsia"/>
                <w:color w:val="auto"/>
                <w:highlight w:val="none"/>
              </w:rPr>
              <w:t>柳城河二郎社区下游和福兴社区下游分别修建了柳城滩拦河坝和河堰口拦河坝，导致</w:t>
            </w:r>
            <w:r>
              <w:rPr>
                <w:color w:val="auto"/>
                <w:highlight w:val="none"/>
              </w:rPr>
              <w:t>河道淤积，河床抬高，加之挤占河道断面修建</w:t>
            </w:r>
            <w:r>
              <w:rPr>
                <w:rFonts w:hint="eastAsia"/>
                <w:color w:val="auto"/>
                <w:highlight w:val="none"/>
              </w:rPr>
              <w:t>污水管网和阀门井等建筑物</w:t>
            </w:r>
            <w:r>
              <w:rPr>
                <w:color w:val="auto"/>
                <w:highlight w:val="none"/>
              </w:rPr>
              <w:t>，减少了行洪断面，汛期河道行洪能力严重不足。</w:t>
            </w:r>
            <w:r>
              <w:rPr>
                <w:rFonts w:hint="eastAsia"/>
                <w:color w:val="auto"/>
                <w:highlight w:val="none"/>
              </w:rPr>
              <w:t>从各保护区的地面高程来看，二郎段保护区的地面高程在2~5年一遇洪水位以下，少数低洼区域的地面高程约在2年一遇洪水位上下；福兴段地面高程在5年一遇洪水位以下，各保护区现状防洪能力约为2</w:t>
            </w:r>
            <w:r>
              <w:rPr>
                <w:color w:val="auto"/>
                <w:highlight w:val="none"/>
              </w:rPr>
              <w:t>～</w:t>
            </w:r>
            <w:r>
              <w:rPr>
                <w:rFonts w:hint="eastAsia"/>
                <w:color w:val="auto"/>
                <w:highlight w:val="none"/>
              </w:rPr>
              <w:t>5年一遇洪水，达不到各河段相应防洪标准的要求</w:t>
            </w:r>
            <w:r>
              <w:rPr>
                <w:rFonts w:hint="eastAsia"/>
                <w:color w:val="auto"/>
                <w:highlight w:val="none"/>
                <w:lang w:eastAsia="zh-CN"/>
              </w:rPr>
              <w:t>。</w:t>
            </w:r>
            <w:r>
              <w:rPr>
                <w:rFonts w:hint="eastAsia"/>
                <w:color w:val="auto"/>
                <w:highlight w:val="none"/>
              </w:rPr>
              <w:t>从各保护区的地面高程来看，</w:t>
            </w:r>
            <w:r>
              <w:rPr>
                <w:rFonts w:hint="eastAsia"/>
                <w:color w:val="auto"/>
                <w:highlight w:val="none"/>
                <w:lang w:val="en-US" w:eastAsia="zh-CN"/>
              </w:rPr>
              <w:t>石河</w:t>
            </w:r>
            <w:r>
              <w:rPr>
                <w:rFonts w:hint="eastAsia"/>
                <w:color w:val="auto"/>
                <w:szCs w:val="24"/>
                <w:highlight w:val="none"/>
                <w:lang w:val="en-US" w:eastAsia="zh-CN"/>
              </w:rPr>
              <w:t>镇段、双拱场段</w:t>
            </w:r>
            <w:r>
              <w:rPr>
                <w:rFonts w:hint="eastAsia"/>
                <w:color w:val="auto"/>
                <w:szCs w:val="24"/>
                <w:highlight w:val="none"/>
              </w:rPr>
              <w:t>大部分河段现状高程仅能满足2年一遇防洪要求，达不到各河段相应防洪标准的要求</w:t>
            </w:r>
            <w:r>
              <w:rPr>
                <w:rFonts w:hint="eastAsia"/>
                <w:color w:val="auto"/>
                <w:szCs w:val="24"/>
                <w:highlight w:val="none"/>
                <w:lang w:eastAsia="zh-CN"/>
              </w:rPr>
              <w:t>。</w:t>
            </w:r>
          </w:p>
          <w:p w14:paraId="5493A40F">
            <w:pPr>
              <w:pStyle w:val="34"/>
              <w:spacing w:line="360" w:lineRule="auto"/>
              <w:rPr>
                <w:rFonts w:hint="eastAsia"/>
                <w:color w:val="auto"/>
                <w:szCs w:val="24"/>
                <w:highlight w:val="none"/>
                <w:lang w:eastAsia="zh-CN"/>
              </w:rPr>
            </w:pPr>
            <w:r>
              <w:rPr>
                <w:rFonts w:hint="default" w:ascii="Times New Roman" w:hAnsi="Times New Roman" w:eastAsia="宋体" w:cs="Times New Roman"/>
                <w:bCs w:val="0"/>
                <w:color w:val="auto"/>
                <w:sz w:val="24"/>
                <w:szCs w:val="22"/>
                <w:highlight w:val="none"/>
                <w:lang w:val="en-US" w:eastAsia="zh-CN"/>
              </w:rPr>
              <w:t>柳城河评价段</w:t>
            </w:r>
            <w:r>
              <w:rPr>
                <w:rFonts w:hint="eastAsia"/>
                <w:color w:val="auto"/>
                <w:highlight w:val="none"/>
              </w:rPr>
              <w:t>现状河岸边坡为天然岸坡，抗冲能力较差，同时因为工程河段阻水建筑物较多，导致工程河段洪水位较大。又流域暴雨强度大，洪水汇集快，洪水过程陡涨陡落。工程河段内人类活动频繁，两岸植被受人类开发活动影响普遍较差，表土在雨季坡面汇流的侵蚀作用下，成为河流泥沙的主要来源。长期以来，工程河段多数岸坡为天然土质岸坡，加之工程河段洪水流速较快，致使河道岸坡水土流失严重，洪水期岸坡垮塌现象也时有发生，严重危及到两岸居民的安全和河道自身的行洪</w:t>
            </w:r>
            <w:r>
              <w:rPr>
                <w:rFonts w:hint="eastAsia"/>
                <w:color w:val="auto"/>
                <w:highlight w:val="none"/>
                <w:lang w:eastAsia="zh-CN"/>
              </w:rPr>
              <w:t>。</w:t>
            </w:r>
          </w:p>
          <w:p w14:paraId="127D3E0F">
            <w:pPr>
              <w:pStyle w:val="34"/>
              <w:spacing w:line="360" w:lineRule="auto"/>
              <w:rPr>
                <w:rFonts w:hint="eastAsia"/>
                <w:color w:val="auto"/>
                <w:szCs w:val="24"/>
                <w:highlight w:val="none"/>
                <w:lang w:val="en-US" w:eastAsia="zh-CN"/>
              </w:rPr>
            </w:pPr>
            <w:r>
              <w:rPr>
                <w:rFonts w:hint="eastAsia"/>
                <w:color w:val="auto"/>
                <w:sz w:val="24"/>
                <w:szCs w:val="24"/>
                <w:highlight w:val="none"/>
                <w:lang w:val="en-US" w:eastAsia="zh-CN"/>
              </w:rPr>
              <w:t>（2）项目遗留的环境问题</w:t>
            </w:r>
          </w:p>
          <w:p w14:paraId="4C6647C0">
            <w:pPr>
              <w:pStyle w:val="34"/>
              <w:spacing w:line="360" w:lineRule="auto"/>
              <w:ind w:firstLine="0"/>
              <w:rPr>
                <w:rFonts w:hint="eastAsia"/>
                <w:color w:val="auto"/>
                <w:sz w:val="24"/>
                <w:highlight w:val="none"/>
                <w:u w:val="none"/>
                <w:lang w:val="en-US" w:eastAsia="zh-CN"/>
              </w:rPr>
            </w:pPr>
            <w:r>
              <w:rPr>
                <w:rFonts w:hint="eastAsia"/>
                <w:color w:val="auto"/>
                <w:szCs w:val="24"/>
                <w:highlight w:val="none"/>
                <w:lang w:val="en-US" w:eastAsia="zh-CN"/>
              </w:rPr>
              <w:t>根据现场</w:t>
            </w:r>
            <w:r>
              <w:rPr>
                <w:rFonts w:hint="eastAsia"/>
                <w:color w:val="auto"/>
                <w:sz w:val="24"/>
                <w:szCs w:val="24"/>
                <w:highlight w:val="none"/>
                <w:lang w:val="en-US" w:eastAsia="zh-CN"/>
              </w:rPr>
              <w:t>调查情况，本项目石河镇石河镇段已于2023</w:t>
            </w:r>
            <w:r>
              <w:rPr>
                <w:rFonts w:hint="eastAsia"/>
                <w:color w:val="auto"/>
                <w:sz w:val="24"/>
                <w:szCs w:val="24"/>
                <w:highlight w:val="none"/>
                <w:u w:val="none"/>
                <w:lang w:eastAsia="zh-CN"/>
              </w:rPr>
              <w:t>年11月开工建设</w:t>
            </w:r>
            <w:r>
              <w:rPr>
                <w:rFonts w:hint="eastAsia"/>
                <w:color w:val="auto"/>
                <w:sz w:val="24"/>
                <w:szCs w:val="24"/>
                <w:highlight w:val="none"/>
                <w:u w:val="none"/>
                <w:lang w:val="en-US" w:eastAsia="zh-CN"/>
              </w:rPr>
              <w:t>，</w:t>
            </w:r>
            <w:r>
              <w:rPr>
                <w:rFonts w:hint="eastAsia"/>
                <w:color w:val="auto"/>
                <w:sz w:val="24"/>
                <w:szCs w:val="24"/>
                <w:highlight w:val="none"/>
                <w:lang w:val="en-US" w:eastAsia="zh-CN"/>
              </w:rPr>
              <w:t>石河镇二郎段已于2024年2月开工建设，石河镇福兴段已于2024年4月开工建设</w:t>
            </w:r>
            <w:r>
              <w:rPr>
                <w:rFonts w:hint="eastAsia"/>
                <w:color w:val="auto"/>
                <w:sz w:val="24"/>
                <w:szCs w:val="24"/>
                <w:highlight w:val="none"/>
                <w:u w:val="none"/>
                <w:lang w:val="en-US" w:eastAsia="zh-CN"/>
              </w:rPr>
              <w:t>；</w:t>
            </w:r>
            <w:r>
              <w:rPr>
                <w:rFonts w:hint="eastAsia"/>
                <w:color w:val="auto"/>
                <w:sz w:val="24"/>
                <w:highlight w:val="none"/>
                <w:u w:val="none"/>
                <w:lang w:val="en-US" w:eastAsia="zh-CN"/>
              </w:rPr>
              <w:t>清淤疏浚工程均已完成，堤防工程部分内容已完成。</w:t>
            </w:r>
          </w:p>
          <w:p w14:paraId="45BA226F">
            <w:pPr>
              <w:pStyle w:val="34"/>
              <w:numPr>
                <w:ilvl w:val="-1"/>
                <w:numId w:val="0"/>
              </w:numPr>
              <w:spacing w:line="360" w:lineRule="auto"/>
              <w:ind w:firstLine="0"/>
              <w:rPr>
                <w:rFonts w:hint="eastAsia"/>
                <w:color w:val="auto"/>
                <w:sz w:val="24"/>
                <w:highlight w:val="none"/>
                <w:u w:val="none"/>
                <w:lang w:val="en-US" w:eastAsia="zh-CN"/>
              </w:rPr>
            </w:pPr>
            <w:r>
              <w:rPr>
                <w:rFonts w:hint="eastAsia"/>
                <w:color w:val="auto"/>
                <w:sz w:val="24"/>
                <w:highlight w:val="none"/>
                <w:u w:val="none"/>
                <w:lang w:val="en-US" w:eastAsia="zh-CN"/>
              </w:rPr>
              <w:t>根据现场调查，1#施工场地主要存在以下环境问题：</w:t>
            </w:r>
          </w:p>
          <w:p w14:paraId="3975A000">
            <w:pPr>
              <w:pStyle w:val="34"/>
              <w:numPr>
                <w:ilvl w:val="-1"/>
                <w:numId w:val="0"/>
              </w:numPr>
              <w:spacing w:line="360" w:lineRule="auto"/>
              <w:ind w:firstLine="480" w:firstLineChars="200"/>
              <w:rPr>
                <w:rFonts w:hint="eastAsia"/>
                <w:color w:val="auto"/>
                <w:sz w:val="24"/>
                <w:highlight w:val="none"/>
                <w:u w:val="none"/>
                <w:lang w:val="en-US" w:eastAsia="zh-CN"/>
              </w:rPr>
            </w:pPr>
            <w:r>
              <w:rPr>
                <w:rFonts w:hint="eastAsia"/>
                <w:color w:val="auto"/>
                <w:sz w:val="24"/>
                <w:highlight w:val="none"/>
                <w:u w:val="none"/>
                <w:lang w:val="en-US" w:eastAsia="zh-CN"/>
              </w:rPr>
              <w:fldChar w:fldCharType="begin"/>
            </w:r>
            <w:r>
              <w:rPr>
                <w:rFonts w:hint="eastAsia"/>
                <w:color w:val="auto"/>
                <w:sz w:val="24"/>
                <w:highlight w:val="none"/>
                <w:u w:val="none"/>
                <w:lang w:val="en-US" w:eastAsia="zh-CN"/>
              </w:rPr>
              <w:instrText xml:space="preserve"> = 1 \* GB3 \* MERGEFORMAT </w:instrText>
            </w:r>
            <w:r>
              <w:rPr>
                <w:rFonts w:hint="eastAsia"/>
                <w:color w:val="auto"/>
                <w:sz w:val="24"/>
                <w:highlight w:val="none"/>
                <w:u w:val="none"/>
                <w:lang w:val="en-US" w:eastAsia="zh-CN"/>
              </w:rPr>
              <w:fldChar w:fldCharType="separate"/>
            </w:r>
            <w:r>
              <w:rPr>
                <w:color w:val="auto"/>
                <w:highlight w:val="none"/>
              </w:rPr>
              <w:t>①</w:t>
            </w:r>
            <w:r>
              <w:rPr>
                <w:rFonts w:hint="eastAsia"/>
                <w:color w:val="auto"/>
                <w:sz w:val="24"/>
                <w:highlight w:val="none"/>
                <w:u w:val="none"/>
                <w:lang w:val="en-US" w:eastAsia="zh-CN"/>
              </w:rPr>
              <w:fldChar w:fldCharType="end"/>
            </w:r>
            <w:r>
              <w:rPr>
                <w:rFonts w:hint="eastAsia"/>
                <w:color w:val="auto"/>
                <w:sz w:val="24"/>
                <w:highlight w:val="none"/>
                <w:u w:val="none"/>
                <w:lang w:val="en-US" w:eastAsia="zh-CN"/>
              </w:rPr>
              <w:t>1#施工场地进出口未设置车辆冲洗设施。</w:t>
            </w:r>
          </w:p>
          <w:p w14:paraId="0B0D3786">
            <w:pPr>
              <w:pStyle w:val="34"/>
              <w:numPr>
                <w:ilvl w:val="-1"/>
                <w:numId w:val="0"/>
              </w:numPr>
              <w:spacing w:line="360" w:lineRule="auto"/>
              <w:ind w:firstLine="480" w:firstLineChars="200"/>
              <w:rPr>
                <w:rFonts w:hint="default"/>
                <w:color w:val="auto"/>
                <w:sz w:val="24"/>
                <w:highlight w:val="none"/>
                <w:u w:val="none"/>
                <w:lang w:val="en-US" w:eastAsia="zh-CN"/>
              </w:rPr>
            </w:pPr>
            <w:r>
              <w:rPr>
                <w:rFonts w:hint="eastAsia"/>
                <w:color w:val="auto"/>
                <w:sz w:val="24"/>
                <w:highlight w:val="none"/>
                <w:u w:val="none"/>
                <w:lang w:val="en-US" w:eastAsia="zh-CN"/>
              </w:rPr>
              <w:fldChar w:fldCharType="begin"/>
            </w:r>
            <w:r>
              <w:rPr>
                <w:rFonts w:hint="eastAsia"/>
                <w:color w:val="auto"/>
                <w:sz w:val="24"/>
                <w:highlight w:val="none"/>
                <w:u w:val="none"/>
                <w:lang w:val="en-US" w:eastAsia="zh-CN"/>
              </w:rPr>
              <w:instrText xml:space="preserve"> = 2 \* GB3 \* MERGEFORMAT </w:instrText>
            </w:r>
            <w:r>
              <w:rPr>
                <w:rFonts w:hint="eastAsia"/>
                <w:color w:val="auto"/>
                <w:sz w:val="24"/>
                <w:highlight w:val="none"/>
                <w:u w:val="none"/>
                <w:lang w:val="en-US" w:eastAsia="zh-CN"/>
              </w:rPr>
              <w:fldChar w:fldCharType="separate"/>
            </w:r>
            <w:r>
              <w:rPr>
                <w:color w:val="auto"/>
                <w:highlight w:val="none"/>
              </w:rPr>
              <w:t>②</w:t>
            </w:r>
            <w:r>
              <w:rPr>
                <w:rFonts w:hint="eastAsia"/>
                <w:color w:val="auto"/>
                <w:sz w:val="24"/>
                <w:highlight w:val="none"/>
                <w:u w:val="none"/>
                <w:lang w:val="en-US" w:eastAsia="zh-CN"/>
              </w:rPr>
              <w:fldChar w:fldCharType="end"/>
            </w:r>
            <w:r>
              <w:rPr>
                <w:rFonts w:hint="eastAsia"/>
                <w:color w:val="auto"/>
                <w:sz w:val="24"/>
                <w:highlight w:val="none"/>
                <w:u w:val="none"/>
                <w:lang w:val="en-US" w:eastAsia="zh-CN"/>
              </w:rPr>
              <w:t>1#施工场地沉淀池设置不规范。</w:t>
            </w:r>
          </w:p>
          <w:p w14:paraId="63C82D86">
            <w:pPr>
              <w:pStyle w:val="34"/>
              <w:numPr>
                <w:ilvl w:val="-1"/>
                <w:numId w:val="0"/>
              </w:numPr>
              <w:spacing w:line="360" w:lineRule="auto"/>
              <w:ind w:firstLine="480" w:firstLineChars="200"/>
              <w:rPr>
                <w:rFonts w:hint="default"/>
                <w:color w:val="auto"/>
                <w:sz w:val="24"/>
                <w:highlight w:val="none"/>
                <w:u w:val="none"/>
                <w:lang w:val="en-US" w:eastAsia="zh-CN"/>
              </w:rPr>
            </w:pPr>
            <w:r>
              <w:rPr>
                <w:rFonts w:hint="eastAsia"/>
                <w:color w:val="auto"/>
                <w:sz w:val="24"/>
                <w:highlight w:val="none"/>
                <w:u w:val="none"/>
                <w:lang w:val="en-US" w:eastAsia="zh-CN"/>
              </w:rPr>
              <w:fldChar w:fldCharType="begin"/>
            </w:r>
            <w:r>
              <w:rPr>
                <w:rFonts w:hint="eastAsia"/>
                <w:color w:val="auto"/>
                <w:sz w:val="24"/>
                <w:highlight w:val="none"/>
                <w:u w:val="none"/>
                <w:lang w:val="en-US" w:eastAsia="zh-CN"/>
              </w:rPr>
              <w:instrText xml:space="preserve"> = 3 \* GB3 \* MERGEFORMAT </w:instrText>
            </w:r>
            <w:r>
              <w:rPr>
                <w:rFonts w:hint="eastAsia"/>
                <w:color w:val="auto"/>
                <w:sz w:val="24"/>
                <w:highlight w:val="none"/>
                <w:u w:val="none"/>
                <w:lang w:val="en-US" w:eastAsia="zh-CN"/>
              </w:rPr>
              <w:fldChar w:fldCharType="separate"/>
            </w:r>
            <w:r>
              <w:rPr>
                <w:color w:val="auto"/>
                <w:highlight w:val="none"/>
              </w:rPr>
              <w:t>③</w:t>
            </w:r>
            <w:r>
              <w:rPr>
                <w:rFonts w:hint="eastAsia"/>
                <w:color w:val="auto"/>
                <w:sz w:val="24"/>
                <w:highlight w:val="none"/>
                <w:u w:val="none"/>
                <w:lang w:val="en-US" w:eastAsia="zh-CN"/>
              </w:rPr>
              <w:fldChar w:fldCharType="end"/>
            </w:r>
            <w:r>
              <w:rPr>
                <w:rFonts w:hint="eastAsia"/>
                <w:color w:val="auto"/>
                <w:sz w:val="24"/>
                <w:highlight w:val="none"/>
                <w:u w:val="none"/>
                <w:lang w:val="en-US" w:eastAsia="zh-CN"/>
              </w:rPr>
              <w:t>砂石输送带廊道未密闭，且未设置洒水抑尘装置。</w:t>
            </w:r>
          </w:p>
          <w:p w14:paraId="6B1A2BD3">
            <w:pPr>
              <w:pStyle w:val="34"/>
              <w:numPr>
                <w:ilvl w:val="-1"/>
                <w:numId w:val="0"/>
              </w:numPr>
              <w:spacing w:line="360" w:lineRule="auto"/>
              <w:ind w:firstLine="480" w:firstLineChars="200"/>
              <w:rPr>
                <w:rFonts w:hint="default"/>
                <w:color w:val="auto"/>
                <w:sz w:val="24"/>
                <w:highlight w:val="none"/>
                <w:u w:val="none"/>
                <w:lang w:val="en-US" w:eastAsia="zh-CN"/>
              </w:rPr>
            </w:pPr>
            <w:r>
              <w:rPr>
                <w:rFonts w:hint="eastAsia"/>
                <w:color w:val="auto"/>
                <w:sz w:val="24"/>
                <w:highlight w:val="none"/>
                <w:u w:val="none"/>
                <w:lang w:val="en-US" w:eastAsia="zh-CN"/>
              </w:rPr>
              <w:fldChar w:fldCharType="begin"/>
            </w:r>
            <w:r>
              <w:rPr>
                <w:rFonts w:hint="eastAsia"/>
                <w:color w:val="auto"/>
                <w:sz w:val="24"/>
                <w:highlight w:val="none"/>
                <w:u w:val="none"/>
                <w:lang w:val="en-US" w:eastAsia="zh-CN"/>
              </w:rPr>
              <w:instrText xml:space="preserve"> = 4 \* GB3 \* MERGEFORMAT </w:instrText>
            </w:r>
            <w:r>
              <w:rPr>
                <w:rFonts w:hint="eastAsia"/>
                <w:color w:val="auto"/>
                <w:sz w:val="24"/>
                <w:highlight w:val="none"/>
                <w:u w:val="none"/>
                <w:lang w:val="en-US" w:eastAsia="zh-CN"/>
              </w:rPr>
              <w:fldChar w:fldCharType="separate"/>
            </w:r>
            <w:r>
              <w:rPr>
                <w:color w:val="auto"/>
                <w:highlight w:val="none"/>
              </w:rPr>
              <w:t>④</w:t>
            </w:r>
            <w:r>
              <w:rPr>
                <w:rFonts w:hint="eastAsia"/>
                <w:color w:val="auto"/>
                <w:sz w:val="24"/>
                <w:highlight w:val="none"/>
                <w:u w:val="none"/>
                <w:lang w:val="en-US" w:eastAsia="zh-CN"/>
              </w:rPr>
              <w:fldChar w:fldCharType="end"/>
            </w:r>
            <w:r>
              <w:rPr>
                <w:rFonts w:hint="eastAsia"/>
                <w:color w:val="auto"/>
                <w:sz w:val="24"/>
                <w:highlight w:val="none"/>
                <w:u w:val="none"/>
                <w:lang w:val="en-US" w:eastAsia="zh-CN"/>
              </w:rPr>
              <w:t>临时堆料场内的砂石料、表土等均露天堆放，未采取遮盖措施。</w:t>
            </w:r>
          </w:p>
          <w:p w14:paraId="4ED15E7A">
            <w:pPr>
              <w:pStyle w:val="34"/>
              <w:spacing w:line="360" w:lineRule="auto"/>
              <w:ind w:firstLine="0"/>
              <w:rPr>
                <w:rFonts w:hint="eastAsia"/>
                <w:color w:val="auto"/>
                <w:highlight w:val="none"/>
                <w:lang w:val="en-US" w:eastAsia="zh-CN"/>
              </w:rPr>
            </w:pPr>
            <w:r>
              <w:rPr>
                <w:rFonts w:hint="eastAsia"/>
                <w:color w:val="auto"/>
                <w:highlight w:val="none"/>
                <w:lang w:val="en-US" w:eastAsia="zh-CN"/>
              </w:rPr>
              <w:t>本次评价整改措施：</w:t>
            </w:r>
          </w:p>
          <w:p w14:paraId="70A94774">
            <w:pPr>
              <w:pStyle w:val="34"/>
              <w:numPr>
                <w:ilvl w:val="0"/>
                <w:numId w:val="0"/>
              </w:numPr>
              <w:spacing w:line="360" w:lineRule="auto"/>
              <w:ind w:firstLine="480" w:firstLineChars="200"/>
              <w:rPr>
                <w:rFonts w:hint="eastAsia"/>
                <w:color w:val="auto"/>
                <w:highlight w:val="none"/>
                <w:lang w:val="en-US" w:eastAsia="zh-CN"/>
              </w:rPr>
            </w:pPr>
            <w:r>
              <w:rPr>
                <w:rFonts w:hint="eastAsia"/>
                <w:color w:val="auto"/>
                <w:sz w:val="24"/>
                <w:highlight w:val="none"/>
                <w:u w:val="none"/>
                <w:lang w:val="en-US" w:eastAsia="zh-CN"/>
              </w:rPr>
              <w:fldChar w:fldCharType="begin"/>
            </w:r>
            <w:r>
              <w:rPr>
                <w:rFonts w:hint="eastAsia"/>
                <w:color w:val="auto"/>
                <w:sz w:val="24"/>
                <w:highlight w:val="none"/>
                <w:u w:val="none"/>
                <w:lang w:val="en-US" w:eastAsia="zh-CN"/>
              </w:rPr>
              <w:instrText xml:space="preserve"> = 1 \* GB3 \* MERGEFORMAT </w:instrText>
            </w:r>
            <w:r>
              <w:rPr>
                <w:rFonts w:hint="eastAsia"/>
                <w:color w:val="auto"/>
                <w:sz w:val="24"/>
                <w:highlight w:val="none"/>
                <w:u w:val="none"/>
                <w:lang w:val="en-US" w:eastAsia="zh-CN"/>
              </w:rPr>
              <w:fldChar w:fldCharType="separate"/>
            </w:r>
            <w:r>
              <w:rPr>
                <w:color w:val="auto"/>
                <w:highlight w:val="none"/>
              </w:rPr>
              <w:t>①</w:t>
            </w:r>
            <w:r>
              <w:rPr>
                <w:rFonts w:hint="eastAsia"/>
                <w:color w:val="auto"/>
                <w:sz w:val="24"/>
                <w:highlight w:val="none"/>
                <w:u w:val="none"/>
                <w:lang w:val="en-US" w:eastAsia="zh-CN"/>
              </w:rPr>
              <w:fldChar w:fldCharType="end"/>
            </w:r>
            <w:r>
              <w:rPr>
                <w:rFonts w:hint="default" w:ascii="Times New Roman" w:hAnsi="Times New Roman" w:cs="Times New Roman"/>
                <w:color w:val="auto"/>
                <w:highlight w:val="none"/>
                <w:lang w:bidi="ar"/>
              </w:rPr>
              <w:t>施工现场车辆出入口应设置车辆冲洗设施，包括冲洗平台、冲洗设备、挡水带、排水沟、沉淀池</w:t>
            </w:r>
            <w:r>
              <w:rPr>
                <w:rFonts w:hint="eastAsia"/>
                <w:color w:val="auto"/>
                <w:highlight w:val="none"/>
                <w:lang w:val="en-US" w:eastAsia="zh-CN"/>
              </w:rPr>
              <w:t>。</w:t>
            </w:r>
          </w:p>
          <w:p w14:paraId="5426A495">
            <w:pPr>
              <w:pStyle w:val="34"/>
              <w:numPr>
                <w:ilvl w:val="0"/>
                <w:numId w:val="0"/>
              </w:numPr>
              <w:spacing w:line="360" w:lineRule="auto"/>
              <w:ind w:firstLine="480" w:firstLineChars="200"/>
              <w:rPr>
                <w:rFonts w:hint="default"/>
                <w:color w:val="auto"/>
                <w:highlight w:val="none"/>
                <w:lang w:val="en-US" w:eastAsia="zh-CN"/>
              </w:rPr>
            </w:pPr>
            <w:r>
              <w:rPr>
                <w:rFonts w:hint="eastAsia"/>
                <w:color w:val="auto"/>
                <w:sz w:val="24"/>
                <w:highlight w:val="none"/>
                <w:u w:val="none"/>
                <w:lang w:val="en-US" w:eastAsia="zh-CN"/>
              </w:rPr>
              <w:fldChar w:fldCharType="begin"/>
            </w:r>
            <w:r>
              <w:rPr>
                <w:rFonts w:hint="eastAsia"/>
                <w:color w:val="auto"/>
                <w:sz w:val="24"/>
                <w:highlight w:val="none"/>
                <w:u w:val="none"/>
                <w:lang w:val="en-US" w:eastAsia="zh-CN"/>
              </w:rPr>
              <w:instrText xml:space="preserve"> = 2 \* GB3 \* MERGEFORMAT </w:instrText>
            </w:r>
            <w:r>
              <w:rPr>
                <w:rFonts w:hint="eastAsia"/>
                <w:color w:val="auto"/>
                <w:sz w:val="24"/>
                <w:highlight w:val="none"/>
                <w:u w:val="none"/>
                <w:lang w:val="en-US" w:eastAsia="zh-CN"/>
              </w:rPr>
              <w:fldChar w:fldCharType="separate"/>
            </w:r>
            <w:r>
              <w:rPr>
                <w:color w:val="auto"/>
                <w:highlight w:val="none"/>
              </w:rPr>
              <w:t>②</w:t>
            </w:r>
            <w:r>
              <w:rPr>
                <w:rFonts w:hint="eastAsia"/>
                <w:color w:val="auto"/>
                <w:sz w:val="24"/>
                <w:highlight w:val="none"/>
                <w:u w:val="none"/>
                <w:lang w:val="en-US" w:eastAsia="zh-CN"/>
              </w:rPr>
              <w:fldChar w:fldCharType="end"/>
            </w:r>
            <w:r>
              <w:rPr>
                <w:rFonts w:hint="eastAsia"/>
                <w:color w:val="auto"/>
                <w:highlight w:val="none"/>
                <w:lang w:val="en-US" w:eastAsia="zh-CN"/>
              </w:rPr>
              <w:t>施工场地沉淀池应参考《室外排水设计标准》（GB500014-2021）中沉砂池的要求设置规范。</w:t>
            </w:r>
          </w:p>
          <w:p w14:paraId="006A3D95">
            <w:pPr>
              <w:pStyle w:val="34"/>
              <w:numPr>
                <w:ilvl w:val="0"/>
                <w:numId w:val="0"/>
              </w:numPr>
              <w:spacing w:line="360" w:lineRule="auto"/>
              <w:ind w:firstLine="480" w:firstLineChars="200"/>
              <w:rPr>
                <w:rFonts w:hint="default"/>
                <w:color w:val="auto"/>
                <w:highlight w:val="none"/>
                <w:lang w:val="en-US" w:eastAsia="zh-CN"/>
              </w:rPr>
            </w:pPr>
            <w:r>
              <w:rPr>
                <w:rFonts w:hint="eastAsia"/>
                <w:color w:val="auto"/>
                <w:sz w:val="24"/>
                <w:highlight w:val="none"/>
                <w:u w:val="none"/>
                <w:lang w:val="en-US" w:eastAsia="zh-CN"/>
              </w:rPr>
              <w:fldChar w:fldCharType="begin"/>
            </w:r>
            <w:r>
              <w:rPr>
                <w:rFonts w:hint="eastAsia"/>
                <w:color w:val="auto"/>
                <w:sz w:val="24"/>
                <w:highlight w:val="none"/>
                <w:u w:val="none"/>
                <w:lang w:val="en-US" w:eastAsia="zh-CN"/>
              </w:rPr>
              <w:instrText xml:space="preserve"> = 3 \* GB3 \* MERGEFORMAT </w:instrText>
            </w:r>
            <w:r>
              <w:rPr>
                <w:rFonts w:hint="eastAsia"/>
                <w:color w:val="auto"/>
                <w:sz w:val="24"/>
                <w:highlight w:val="none"/>
                <w:u w:val="none"/>
                <w:lang w:val="en-US" w:eastAsia="zh-CN"/>
              </w:rPr>
              <w:fldChar w:fldCharType="separate"/>
            </w:r>
            <w:r>
              <w:rPr>
                <w:color w:val="auto"/>
                <w:highlight w:val="none"/>
              </w:rPr>
              <w:t>③</w:t>
            </w:r>
            <w:r>
              <w:rPr>
                <w:rFonts w:hint="eastAsia"/>
                <w:color w:val="auto"/>
                <w:sz w:val="24"/>
                <w:highlight w:val="none"/>
                <w:u w:val="none"/>
                <w:lang w:val="en-US" w:eastAsia="zh-CN"/>
              </w:rPr>
              <w:fldChar w:fldCharType="end"/>
            </w:r>
            <w:r>
              <w:rPr>
                <w:rFonts w:hint="eastAsia"/>
                <w:color w:val="auto"/>
                <w:sz w:val="24"/>
                <w:highlight w:val="none"/>
                <w:u w:val="none"/>
                <w:lang w:val="en-US" w:eastAsia="zh-CN"/>
              </w:rPr>
              <w:t>砂石</w:t>
            </w:r>
            <w:r>
              <w:rPr>
                <w:rFonts w:hint="eastAsia"/>
                <w:color w:val="auto"/>
                <w:highlight w:val="none"/>
                <w:lang w:val="en-US" w:eastAsia="zh-CN"/>
              </w:rPr>
              <w:t>输送带廊道应密闭；或者</w:t>
            </w:r>
            <w:r>
              <w:rPr>
                <w:rFonts w:hint="default" w:ascii="Times New Roman" w:hAnsi="Times New Roman" w:cs="Times New Roman"/>
                <w:color w:val="auto"/>
                <w:highlight w:val="none"/>
                <w:lang w:bidi="ar"/>
              </w:rPr>
              <w:t>采取喷淋、喷雾等湿法降尘措施</w:t>
            </w:r>
            <w:r>
              <w:rPr>
                <w:rFonts w:hint="eastAsia" w:cs="Times New Roman"/>
                <w:color w:val="auto"/>
                <w:highlight w:val="none"/>
                <w:lang w:eastAsia="zh-CN" w:bidi="ar"/>
              </w:rPr>
              <w:t>，</w:t>
            </w:r>
            <w:r>
              <w:rPr>
                <w:rFonts w:hint="eastAsia"/>
                <w:color w:val="auto"/>
                <w:highlight w:val="none"/>
                <w:lang w:val="en-US" w:eastAsia="zh-CN"/>
              </w:rPr>
              <w:t>进行洒水抑尘。</w:t>
            </w:r>
          </w:p>
          <w:p w14:paraId="01762E61">
            <w:pPr>
              <w:pStyle w:val="34"/>
              <w:numPr>
                <w:ilvl w:val="0"/>
                <w:numId w:val="0"/>
              </w:numPr>
              <w:spacing w:line="360" w:lineRule="auto"/>
              <w:ind w:firstLine="480" w:firstLineChars="200"/>
              <w:rPr>
                <w:rFonts w:hint="default"/>
                <w:color w:val="auto"/>
                <w:highlight w:val="none"/>
                <w:lang w:val="en-US" w:eastAsia="zh-CN"/>
              </w:rPr>
            </w:pPr>
            <w:r>
              <w:rPr>
                <w:rFonts w:hint="eastAsia"/>
                <w:color w:val="auto"/>
                <w:sz w:val="24"/>
                <w:highlight w:val="none"/>
                <w:u w:val="none"/>
                <w:lang w:val="en-US" w:eastAsia="zh-CN"/>
              </w:rPr>
              <w:fldChar w:fldCharType="begin"/>
            </w:r>
            <w:r>
              <w:rPr>
                <w:rFonts w:hint="eastAsia"/>
                <w:color w:val="auto"/>
                <w:sz w:val="24"/>
                <w:highlight w:val="none"/>
                <w:u w:val="none"/>
                <w:lang w:val="en-US" w:eastAsia="zh-CN"/>
              </w:rPr>
              <w:instrText xml:space="preserve"> = 4 \* GB3 \* MERGEFORMAT </w:instrText>
            </w:r>
            <w:r>
              <w:rPr>
                <w:rFonts w:hint="eastAsia"/>
                <w:color w:val="auto"/>
                <w:sz w:val="24"/>
                <w:highlight w:val="none"/>
                <w:u w:val="none"/>
                <w:lang w:val="en-US" w:eastAsia="zh-CN"/>
              </w:rPr>
              <w:fldChar w:fldCharType="separate"/>
            </w:r>
            <w:r>
              <w:rPr>
                <w:color w:val="auto"/>
                <w:highlight w:val="none"/>
              </w:rPr>
              <w:t>④</w:t>
            </w:r>
            <w:r>
              <w:rPr>
                <w:rFonts w:hint="eastAsia"/>
                <w:color w:val="auto"/>
                <w:sz w:val="24"/>
                <w:highlight w:val="none"/>
                <w:u w:val="none"/>
                <w:lang w:val="en-US" w:eastAsia="zh-CN"/>
              </w:rPr>
              <w:fldChar w:fldCharType="end"/>
            </w:r>
            <w:r>
              <w:rPr>
                <w:rFonts w:hint="eastAsia"/>
                <w:color w:val="auto"/>
                <w:highlight w:val="none"/>
                <w:lang w:val="en-US" w:eastAsia="zh-CN"/>
              </w:rPr>
              <w:t>临时堆料场</w:t>
            </w:r>
            <w:r>
              <w:rPr>
                <w:rFonts w:hint="eastAsia" w:cs="Times New Roman"/>
                <w:color w:val="auto"/>
                <w:highlight w:val="none"/>
                <w:lang w:eastAsia="zh-CN"/>
              </w:rPr>
              <w:t>露天堆放</w:t>
            </w:r>
            <w:r>
              <w:rPr>
                <w:rFonts w:hint="eastAsia" w:cs="Times New Roman"/>
                <w:color w:val="auto"/>
                <w:highlight w:val="none"/>
                <w:lang w:val="en-US" w:eastAsia="zh-CN"/>
              </w:rPr>
              <w:t>水泥、砂石料、表土等</w:t>
            </w:r>
            <w:r>
              <w:rPr>
                <w:rFonts w:hint="eastAsia" w:cs="Times New Roman"/>
                <w:color w:val="auto"/>
                <w:highlight w:val="none"/>
                <w:lang w:eastAsia="zh-CN"/>
              </w:rPr>
              <w:t>易产生扬尘的材料，</w:t>
            </w:r>
            <w:r>
              <w:rPr>
                <w:rFonts w:hint="eastAsia" w:cs="Times New Roman"/>
                <w:color w:val="auto"/>
                <w:highlight w:val="none"/>
                <w:lang w:val="en-US" w:eastAsia="zh-CN"/>
              </w:rPr>
              <w:t>应</w:t>
            </w:r>
            <w:r>
              <w:rPr>
                <w:rFonts w:hint="eastAsia" w:cs="Times New Roman"/>
                <w:color w:val="auto"/>
                <w:highlight w:val="none"/>
                <w:lang w:eastAsia="zh-CN"/>
              </w:rPr>
              <w:t>采取遮盖措施</w:t>
            </w:r>
            <w:r>
              <w:rPr>
                <w:rFonts w:hint="default" w:ascii="Times New Roman" w:hAnsi="Times New Roman" w:cs="Times New Roman"/>
                <w:color w:val="auto"/>
                <w:highlight w:val="none"/>
              </w:rPr>
              <w:t>，以减少扬尘对环境空气的影响</w:t>
            </w:r>
            <w:r>
              <w:rPr>
                <w:rFonts w:hint="eastAsia" w:ascii="Times New Roman" w:hAnsi="Times New Roman" w:cs="Times New Roman"/>
                <w:color w:val="auto"/>
                <w:highlight w:val="none"/>
                <w:lang w:eastAsia="zh-CN"/>
              </w:rPr>
              <w:t>。</w:t>
            </w:r>
          </w:p>
          <w:p w14:paraId="1A0187E6">
            <w:pPr>
              <w:pStyle w:val="34"/>
              <w:widowControl w:val="0"/>
              <w:numPr>
                <w:ilvl w:val="0"/>
                <w:numId w:val="0"/>
              </w:numPr>
              <w:spacing w:line="360" w:lineRule="auto"/>
              <w:ind w:firstLine="0"/>
              <w:jc w:val="both"/>
              <w:rPr>
                <w:rFonts w:hint="eastAsia"/>
                <w:color w:val="auto"/>
                <w:highlight w:val="none"/>
                <w:lang w:val="en-US" w:eastAsia="zh-CN"/>
              </w:rPr>
            </w:pPr>
            <w:r>
              <w:rPr>
                <w:rFonts w:hint="eastAsia"/>
                <w:color w:val="auto"/>
                <w:highlight w:val="none"/>
                <w:lang w:val="en-US" w:eastAsia="zh-CN"/>
              </w:rPr>
              <w:t>·清河镇段及杨家镇段</w:t>
            </w:r>
          </w:p>
          <w:p w14:paraId="642C6739">
            <w:pPr>
              <w:numPr>
                <w:ilvl w:val="0"/>
                <w:numId w:val="0"/>
              </w:numPr>
              <w:adjustRightInd w:val="0"/>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（1）东柳河评价段现状及存在的环境问题</w:t>
            </w:r>
          </w:p>
          <w:p w14:paraId="29242DBB">
            <w:pPr>
              <w:adjustRightInd w:val="0"/>
              <w:snapToGrid w:val="0"/>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根据现场踏勘</w:t>
            </w:r>
            <w:r>
              <w:rPr>
                <w:rFonts w:hint="eastAsia"/>
                <w:color w:val="auto"/>
                <w:sz w:val="24"/>
                <w:highlight w:val="none"/>
              </w:rPr>
              <w:t>，</w:t>
            </w:r>
            <w:r>
              <w:rPr>
                <w:rFonts w:hint="eastAsia"/>
                <w:color w:val="auto"/>
                <w:sz w:val="24"/>
                <w:highlight w:val="none"/>
                <w:lang w:val="en-US" w:eastAsia="zh-CN"/>
              </w:rPr>
              <w:t>东柳河评价</w:t>
            </w:r>
            <w:r>
              <w:rPr>
                <w:rFonts w:hint="eastAsia"/>
                <w:color w:val="auto"/>
                <w:sz w:val="24"/>
                <w:highlight w:val="none"/>
              </w:rPr>
              <w:t>段多为天然岸坡，地势高低不平，局部河段冲刷严重</w:t>
            </w:r>
            <w:r>
              <w:rPr>
                <w:rFonts w:hint="eastAsia"/>
                <w:color w:val="auto"/>
                <w:sz w:val="24"/>
                <w:highlight w:val="none"/>
                <w:lang w:eastAsia="zh-CN"/>
              </w:rPr>
              <w:t>、</w:t>
            </w:r>
            <w:r>
              <w:rPr>
                <w:rFonts w:hint="eastAsia"/>
                <w:color w:val="auto"/>
                <w:sz w:val="24"/>
                <w:highlight w:val="none"/>
                <w:lang w:val="en-US" w:eastAsia="zh-CN"/>
              </w:rPr>
              <w:t>岸坡环境较差，局部河道内淤积严重；局部有零散生活垃圾残留。</w:t>
            </w:r>
          </w:p>
          <w:p w14:paraId="7075E3BA">
            <w:pPr>
              <w:adjustRightInd w:val="0"/>
              <w:snapToGrid w:val="0"/>
              <w:spacing w:line="360" w:lineRule="auto"/>
              <w:ind w:firstLine="480" w:firstLineChars="200"/>
              <w:jc w:val="both"/>
              <w:rPr>
                <w:rFonts w:hint="eastAsia"/>
                <w:color w:val="auto"/>
                <w:sz w:val="24"/>
                <w:highlight w:val="none"/>
                <w:lang w:val="en-US" w:eastAsia="zh-CN"/>
              </w:rPr>
            </w:pPr>
            <w:r>
              <w:rPr>
                <w:rFonts w:hint="eastAsia"/>
                <w:color w:val="auto"/>
                <w:sz w:val="24"/>
                <w:highlight w:val="none"/>
                <w:lang w:val="en-US" w:eastAsia="zh-CN"/>
              </w:rPr>
              <w:t>（2）项目遗留的环境问题</w:t>
            </w:r>
          </w:p>
          <w:p w14:paraId="6294A1A5">
            <w:pPr>
              <w:adjustRightInd w:val="0"/>
              <w:snapToGrid w:val="0"/>
              <w:spacing w:line="360" w:lineRule="auto"/>
              <w:ind w:firstLine="480" w:firstLineChars="200"/>
              <w:jc w:val="both"/>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2023年3月，项目开工建设。202</w:t>
            </w:r>
            <w:r>
              <w:rPr>
                <w:rFonts w:hint="eastAsia"/>
                <w:color w:val="auto"/>
                <w:sz w:val="24"/>
                <w:szCs w:val="24"/>
                <w:highlight w:val="none"/>
                <w:lang w:val="en-US" w:eastAsia="zh-CN"/>
              </w:rPr>
              <w:t>5</w:t>
            </w:r>
            <w:r>
              <w:rPr>
                <w:rFonts w:hint="eastAsia" w:ascii="Times New Roman" w:hAnsi="Times New Roman" w:eastAsia="宋体"/>
                <w:color w:val="auto"/>
                <w:sz w:val="24"/>
                <w:szCs w:val="24"/>
                <w:highlight w:val="none"/>
                <w:lang w:val="en-US" w:eastAsia="zh-CN"/>
              </w:rPr>
              <w:t>年</w:t>
            </w:r>
            <w:r>
              <w:rPr>
                <w:rFonts w:hint="eastAsia"/>
                <w:color w:val="auto"/>
                <w:sz w:val="24"/>
                <w:szCs w:val="24"/>
                <w:highlight w:val="none"/>
                <w:lang w:val="en-US" w:eastAsia="zh-CN"/>
              </w:rPr>
              <w:t>1</w:t>
            </w:r>
            <w:r>
              <w:rPr>
                <w:rFonts w:hint="eastAsia" w:ascii="Times New Roman" w:hAnsi="Times New Roman" w:eastAsia="宋体"/>
                <w:color w:val="auto"/>
                <w:sz w:val="24"/>
                <w:szCs w:val="24"/>
                <w:highlight w:val="none"/>
                <w:lang w:val="en-US" w:eastAsia="zh-CN"/>
              </w:rPr>
              <w:t>月，</w:t>
            </w:r>
            <w:r>
              <w:rPr>
                <w:rFonts w:hint="eastAsia"/>
                <w:color w:val="auto"/>
                <w:sz w:val="24"/>
                <w:szCs w:val="24"/>
                <w:highlight w:val="none"/>
                <w:lang w:val="en-US" w:eastAsia="zh-CN"/>
              </w:rPr>
              <w:t>该段主体工程</w:t>
            </w:r>
            <w:r>
              <w:rPr>
                <w:rFonts w:hint="eastAsia" w:ascii="Times New Roman" w:hAnsi="Times New Roman" w:eastAsia="宋体"/>
                <w:color w:val="auto"/>
                <w:sz w:val="24"/>
                <w:szCs w:val="24"/>
                <w:highlight w:val="none"/>
                <w:lang w:val="en-US" w:eastAsia="zh-CN"/>
              </w:rPr>
              <w:t>完工。施工迹地及临时占地基本上进行了恢复。目前，项目处于后期整体验收资料准备阶段。</w:t>
            </w:r>
          </w:p>
          <w:p w14:paraId="5E5D5DEF">
            <w:pPr>
              <w:adjustRightInd w:val="0"/>
              <w:snapToGrid w:val="0"/>
              <w:spacing w:line="360" w:lineRule="auto"/>
              <w:ind w:firstLine="480" w:firstLineChars="200"/>
              <w:jc w:val="both"/>
              <w:rPr>
                <w:rFonts w:hint="default"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此外，根据调查，项目施工期间未发生环境污染事件及环保投诉。</w:t>
            </w:r>
          </w:p>
          <w:p w14:paraId="05A08DE6">
            <w:pPr>
              <w:adjustRightInd w:val="0"/>
              <w:snapToGrid w:val="0"/>
              <w:spacing w:line="360" w:lineRule="auto"/>
              <w:ind w:firstLine="480" w:firstLineChars="200"/>
              <w:jc w:val="both"/>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根据现场调查，目前</w:t>
            </w:r>
            <w:r>
              <w:rPr>
                <w:rFonts w:hint="eastAsia"/>
                <w:color w:val="auto"/>
                <w:sz w:val="24"/>
                <w:szCs w:val="24"/>
                <w:highlight w:val="none"/>
                <w:lang w:val="en-US" w:eastAsia="zh-CN"/>
              </w:rPr>
              <w:t>该段</w:t>
            </w:r>
            <w:r>
              <w:rPr>
                <w:rFonts w:hint="eastAsia" w:ascii="Times New Roman" w:hAnsi="Times New Roman" w:eastAsia="宋体"/>
                <w:color w:val="auto"/>
                <w:sz w:val="24"/>
                <w:szCs w:val="24"/>
                <w:highlight w:val="none"/>
                <w:lang w:val="en-US" w:eastAsia="zh-CN"/>
              </w:rPr>
              <w:t>存在以下环境问题。</w:t>
            </w:r>
          </w:p>
          <w:p w14:paraId="5A0D4889">
            <w:pPr>
              <w:numPr>
                <w:ilvl w:val="0"/>
                <w:numId w:val="0"/>
              </w:numPr>
              <w:adjustRightInd w:val="0"/>
              <w:snapToGrid w:val="0"/>
              <w:spacing w:line="360" w:lineRule="auto"/>
              <w:ind w:firstLine="480"/>
              <w:jc w:val="both"/>
              <w:rPr>
                <w:rFonts w:hint="eastAsia" w:ascii="Times New Roman" w:hAnsi="Times New Roman" w:eastAsia="宋体"/>
                <w:color w:val="auto"/>
                <w:sz w:val="24"/>
                <w:szCs w:val="24"/>
                <w:highlight w:val="none"/>
                <w:lang w:val="en-US" w:eastAsia="zh-CN"/>
              </w:rPr>
            </w:pPr>
            <w:r>
              <w:rPr>
                <w:rFonts w:hint="eastAsia"/>
                <w:color w:val="auto"/>
                <w:sz w:val="24"/>
                <w:highlight w:val="none"/>
                <w:u w:val="none"/>
                <w:lang w:val="en-US" w:eastAsia="zh-CN"/>
              </w:rPr>
              <w:fldChar w:fldCharType="begin"/>
            </w:r>
            <w:r>
              <w:rPr>
                <w:rFonts w:hint="eastAsia"/>
                <w:color w:val="auto"/>
                <w:sz w:val="24"/>
                <w:highlight w:val="none"/>
                <w:u w:val="none"/>
                <w:lang w:val="en-US" w:eastAsia="zh-CN"/>
              </w:rPr>
              <w:instrText xml:space="preserve"> = 1 \* GB3 \* MERGEFORMAT </w:instrText>
            </w:r>
            <w:r>
              <w:rPr>
                <w:rFonts w:hint="eastAsia"/>
                <w:color w:val="auto"/>
                <w:sz w:val="24"/>
                <w:highlight w:val="none"/>
                <w:u w:val="none"/>
                <w:lang w:val="en-US" w:eastAsia="zh-CN"/>
              </w:rPr>
              <w:fldChar w:fldCharType="separate"/>
            </w:r>
            <w:r>
              <w:rPr>
                <w:color w:val="auto"/>
                <w:highlight w:val="none"/>
              </w:rPr>
              <w:t>①</w:t>
            </w:r>
            <w:r>
              <w:rPr>
                <w:rFonts w:hint="eastAsia"/>
                <w:color w:val="auto"/>
                <w:sz w:val="24"/>
                <w:highlight w:val="none"/>
                <w:u w:val="none"/>
                <w:lang w:val="en-US" w:eastAsia="zh-CN"/>
              </w:rPr>
              <w:fldChar w:fldCharType="end"/>
            </w:r>
            <w:r>
              <w:rPr>
                <w:rFonts w:hint="eastAsia" w:ascii="Times New Roman" w:hAnsi="Times New Roman" w:eastAsia="宋体"/>
                <w:color w:val="auto"/>
                <w:sz w:val="24"/>
                <w:szCs w:val="24"/>
                <w:highlight w:val="none"/>
                <w:lang w:val="en-US" w:eastAsia="zh-CN"/>
              </w:rPr>
              <w:t>施工场地内遗留有部分施工设备、施工材料。</w:t>
            </w:r>
          </w:p>
          <w:p w14:paraId="0E704C03">
            <w:pPr>
              <w:numPr>
                <w:ilvl w:val="0"/>
                <w:numId w:val="0"/>
              </w:numPr>
              <w:adjustRightInd w:val="0"/>
              <w:snapToGrid w:val="0"/>
              <w:spacing w:line="360" w:lineRule="auto"/>
              <w:ind w:firstLine="480"/>
              <w:jc w:val="both"/>
              <w:rPr>
                <w:rFonts w:hint="default" w:ascii="Times New Roman" w:hAnsi="Times New Roman" w:eastAsia="宋体"/>
                <w:color w:val="auto"/>
                <w:sz w:val="24"/>
                <w:szCs w:val="24"/>
                <w:highlight w:val="none"/>
                <w:lang w:val="en-US" w:eastAsia="zh-CN"/>
              </w:rPr>
            </w:pPr>
            <w:r>
              <w:rPr>
                <w:rFonts w:hint="eastAsia"/>
                <w:color w:val="auto"/>
                <w:sz w:val="24"/>
                <w:highlight w:val="none"/>
                <w:u w:val="none"/>
                <w:lang w:val="en-US" w:eastAsia="zh-CN"/>
              </w:rPr>
              <w:fldChar w:fldCharType="begin"/>
            </w:r>
            <w:r>
              <w:rPr>
                <w:rFonts w:hint="eastAsia"/>
                <w:color w:val="auto"/>
                <w:sz w:val="24"/>
                <w:highlight w:val="none"/>
                <w:u w:val="none"/>
                <w:lang w:val="en-US" w:eastAsia="zh-CN"/>
              </w:rPr>
              <w:instrText xml:space="preserve"> = 2 \* GB3 \* MERGEFORMAT </w:instrText>
            </w:r>
            <w:r>
              <w:rPr>
                <w:rFonts w:hint="eastAsia"/>
                <w:color w:val="auto"/>
                <w:sz w:val="24"/>
                <w:highlight w:val="none"/>
                <w:u w:val="none"/>
                <w:lang w:val="en-US" w:eastAsia="zh-CN"/>
              </w:rPr>
              <w:fldChar w:fldCharType="separate"/>
            </w:r>
            <w:r>
              <w:rPr>
                <w:color w:val="auto"/>
                <w:highlight w:val="none"/>
              </w:rPr>
              <w:t>②</w:t>
            </w:r>
            <w:r>
              <w:rPr>
                <w:rFonts w:hint="eastAsia"/>
                <w:color w:val="auto"/>
                <w:sz w:val="24"/>
                <w:highlight w:val="none"/>
                <w:u w:val="none"/>
                <w:lang w:val="en-US" w:eastAsia="zh-CN"/>
              </w:rPr>
              <w:fldChar w:fldCharType="end"/>
            </w:r>
            <w:r>
              <w:rPr>
                <w:rFonts w:hint="eastAsia" w:ascii="Times New Roman" w:hAnsi="Times New Roman" w:eastAsia="宋体"/>
                <w:color w:val="auto"/>
                <w:sz w:val="24"/>
                <w:szCs w:val="24"/>
                <w:highlight w:val="none"/>
                <w:lang w:val="en-US" w:eastAsia="zh-CN"/>
              </w:rPr>
              <w:t>部分护坡有裸露地面。</w:t>
            </w:r>
          </w:p>
          <w:p w14:paraId="460167F1">
            <w:pPr>
              <w:numPr>
                <w:ilvl w:val="-1"/>
                <w:numId w:val="0"/>
              </w:numPr>
              <w:adjustRightInd w:val="0"/>
              <w:snapToGrid w:val="0"/>
              <w:spacing w:line="360" w:lineRule="auto"/>
              <w:ind w:firstLine="480" w:firstLineChars="200"/>
              <w:jc w:val="both"/>
              <w:rPr>
                <w:rFonts w:hint="default" w:ascii="Times New Roman" w:hAnsi="Times New Roman" w:eastAsia="宋体"/>
                <w:color w:val="auto"/>
                <w:sz w:val="24"/>
                <w:szCs w:val="24"/>
                <w:highlight w:val="none"/>
                <w:lang w:val="en-US" w:eastAsia="zh-CN"/>
              </w:rPr>
            </w:pPr>
            <w:r>
              <w:rPr>
                <w:rFonts w:hint="eastAsia"/>
                <w:color w:val="auto"/>
                <w:sz w:val="24"/>
                <w:highlight w:val="none"/>
                <w:u w:val="none"/>
                <w:lang w:val="en-US" w:eastAsia="zh-CN"/>
              </w:rPr>
              <w:fldChar w:fldCharType="begin"/>
            </w:r>
            <w:r>
              <w:rPr>
                <w:rFonts w:hint="eastAsia"/>
                <w:color w:val="auto"/>
                <w:sz w:val="24"/>
                <w:highlight w:val="none"/>
                <w:u w:val="none"/>
                <w:lang w:val="en-US" w:eastAsia="zh-CN"/>
              </w:rPr>
              <w:instrText xml:space="preserve"> = 3 \* GB3 \* MERGEFORMAT </w:instrText>
            </w:r>
            <w:r>
              <w:rPr>
                <w:rFonts w:hint="eastAsia"/>
                <w:color w:val="auto"/>
                <w:sz w:val="24"/>
                <w:highlight w:val="none"/>
                <w:u w:val="none"/>
                <w:lang w:val="en-US" w:eastAsia="zh-CN"/>
              </w:rPr>
              <w:fldChar w:fldCharType="separate"/>
            </w:r>
            <w:r>
              <w:rPr>
                <w:color w:val="auto"/>
                <w:highlight w:val="none"/>
              </w:rPr>
              <w:t>③</w:t>
            </w:r>
            <w:r>
              <w:rPr>
                <w:rFonts w:hint="eastAsia"/>
                <w:color w:val="auto"/>
                <w:sz w:val="24"/>
                <w:highlight w:val="none"/>
                <w:u w:val="none"/>
                <w:lang w:val="en-US" w:eastAsia="zh-CN"/>
              </w:rPr>
              <w:fldChar w:fldCharType="end"/>
            </w:r>
            <w:r>
              <w:rPr>
                <w:rFonts w:hint="eastAsia" w:ascii="Times New Roman" w:hAnsi="Times New Roman" w:eastAsia="宋体"/>
                <w:color w:val="auto"/>
                <w:sz w:val="24"/>
                <w:szCs w:val="24"/>
                <w:highlight w:val="none"/>
                <w:lang w:val="en-US" w:eastAsia="zh-CN"/>
              </w:rPr>
              <w:t>岸坡有生活垃圾残留及建筑垃圾。</w:t>
            </w:r>
          </w:p>
          <w:p w14:paraId="7077DD5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本次评价整改措施：</w:t>
            </w:r>
          </w:p>
          <w:p w14:paraId="73FA2D90">
            <w:pPr>
              <w:numPr>
                <w:ilvl w:val="0"/>
                <w:numId w:val="0"/>
              </w:numPr>
              <w:adjustRightInd w:val="0"/>
              <w:snapToGrid w:val="0"/>
              <w:spacing w:line="360" w:lineRule="auto"/>
              <w:ind w:firstLine="480" w:firstLineChars="200"/>
              <w:jc w:val="both"/>
              <w:rPr>
                <w:rFonts w:hint="eastAsia" w:ascii="Times New Roman" w:hAnsi="Times New Roman" w:eastAsia="宋体"/>
                <w:color w:val="auto"/>
                <w:sz w:val="24"/>
                <w:szCs w:val="24"/>
                <w:highlight w:val="none"/>
                <w:lang w:val="en-US" w:eastAsia="zh-CN"/>
              </w:rPr>
            </w:pPr>
            <w:r>
              <w:rPr>
                <w:rFonts w:hint="eastAsia"/>
                <w:color w:val="auto"/>
                <w:sz w:val="24"/>
                <w:highlight w:val="none"/>
                <w:u w:val="none"/>
                <w:lang w:val="en-US" w:eastAsia="zh-CN"/>
              </w:rPr>
              <w:fldChar w:fldCharType="begin"/>
            </w:r>
            <w:r>
              <w:rPr>
                <w:rFonts w:hint="eastAsia"/>
                <w:color w:val="auto"/>
                <w:sz w:val="24"/>
                <w:highlight w:val="none"/>
                <w:u w:val="none"/>
                <w:lang w:val="en-US" w:eastAsia="zh-CN"/>
              </w:rPr>
              <w:instrText xml:space="preserve"> = 1 \* GB3 \* MERGEFORMAT </w:instrText>
            </w:r>
            <w:r>
              <w:rPr>
                <w:rFonts w:hint="eastAsia"/>
                <w:color w:val="auto"/>
                <w:sz w:val="24"/>
                <w:highlight w:val="none"/>
                <w:u w:val="none"/>
                <w:lang w:val="en-US" w:eastAsia="zh-CN"/>
              </w:rPr>
              <w:fldChar w:fldCharType="separate"/>
            </w:r>
            <w:r>
              <w:rPr>
                <w:color w:val="auto"/>
                <w:highlight w:val="none"/>
              </w:rPr>
              <w:t>①</w:t>
            </w:r>
            <w:r>
              <w:rPr>
                <w:rFonts w:hint="eastAsia"/>
                <w:color w:val="auto"/>
                <w:sz w:val="24"/>
                <w:highlight w:val="none"/>
                <w:u w:val="none"/>
                <w:lang w:val="en-US" w:eastAsia="zh-CN"/>
              </w:rPr>
              <w:fldChar w:fldCharType="end"/>
            </w:r>
            <w:r>
              <w:rPr>
                <w:rFonts w:hint="eastAsia" w:ascii="Times New Roman" w:hAnsi="Times New Roman" w:eastAsia="宋体"/>
                <w:color w:val="auto"/>
                <w:sz w:val="24"/>
                <w:szCs w:val="24"/>
                <w:highlight w:val="none"/>
                <w:lang w:val="en-US" w:eastAsia="zh-CN"/>
              </w:rPr>
              <w:t>清除施工场地内遗留施工设备、砂石、施工材料等。</w:t>
            </w:r>
          </w:p>
          <w:p w14:paraId="7EA41F0B">
            <w:pPr>
              <w:numPr>
                <w:ilvl w:val="0"/>
                <w:numId w:val="0"/>
              </w:numPr>
              <w:adjustRightInd w:val="0"/>
              <w:snapToGrid w:val="0"/>
              <w:spacing w:line="360" w:lineRule="auto"/>
              <w:ind w:firstLine="480" w:firstLineChars="200"/>
              <w:jc w:val="both"/>
              <w:rPr>
                <w:rFonts w:hint="default" w:ascii="Times New Roman" w:hAnsi="Times New Roman" w:eastAsia="宋体"/>
                <w:color w:val="auto"/>
                <w:sz w:val="24"/>
                <w:szCs w:val="24"/>
                <w:highlight w:val="none"/>
                <w:lang w:val="en-US" w:eastAsia="zh-CN"/>
              </w:rPr>
            </w:pPr>
            <w:r>
              <w:rPr>
                <w:rFonts w:hint="eastAsia"/>
                <w:color w:val="auto"/>
                <w:sz w:val="24"/>
                <w:highlight w:val="none"/>
                <w:u w:val="none"/>
                <w:lang w:val="en-US" w:eastAsia="zh-CN"/>
              </w:rPr>
              <w:fldChar w:fldCharType="begin"/>
            </w:r>
            <w:r>
              <w:rPr>
                <w:rFonts w:hint="eastAsia"/>
                <w:color w:val="auto"/>
                <w:sz w:val="24"/>
                <w:highlight w:val="none"/>
                <w:u w:val="none"/>
                <w:lang w:val="en-US" w:eastAsia="zh-CN"/>
              </w:rPr>
              <w:instrText xml:space="preserve"> = 2 \* GB3 \* MERGEFORMAT </w:instrText>
            </w:r>
            <w:r>
              <w:rPr>
                <w:rFonts w:hint="eastAsia"/>
                <w:color w:val="auto"/>
                <w:sz w:val="24"/>
                <w:highlight w:val="none"/>
                <w:u w:val="none"/>
                <w:lang w:val="en-US" w:eastAsia="zh-CN"/>
              </w:rPr>
              <w:fldChar w:fldCharType="separate"/>
            </w:r>
            <w:r>
              <w:rPr>
                <w:color w:val="auto"/>
                <w:highlight w:val="none"/>
              </w:rPr>
              <w:t>②</w:t>
            </w:r>
            <w:r>
              <w:rPr>
                <w:rFonts w:hint="eastAsia"/>
                <w:color w:val="auto"/>
                <w:sz w:val="24"/>
                <w:highlight w:val="none"/>
                <w:u w:val="none"/>
                <w:lang w:val="en-US" w:eastAsia="zh-CN"/>
              </w:rPr>
              <w:fldChar w:fldCharType="end"/>
            </w:r>
            <w:r>
              <w:rPr>
                <w:rFonts w:hint="eastAsia" w:ascii="Times New Roman" w:hAnsi="Times New Roman" w:eastAsia="宋体"/>
                <w:color w:val="auto"/>
                <w:sz w:val="24"/>
                <w:szCs w:val="24"/>
                <w:highlight w:val="none"/>
                <w:lang w:val="en-US" w:eastAsia="zh-CN"/>
              </w:rPr>
              <w:t>采用当地植被对岸坡裸露地面进行生态恢复。</w:t>
            </w:r>
          </w:p>
          <w:p w14:paraId="271BF87C">
            <w:pPr>
              <w:numPr>
                <w:ilvl w:val="0"/>
                <w:numId w:val="0"/>
              </w:numPr>
              <w:adjustRightInd w:val="0"/>
              <w:snapToGrid w:val="0"/>
              <w:spacing w:line="360" w:lineRule="auto"/>
              <w:ind w:firstLine="480" w:firstLineChars="200"/>
              <w:jc w:val="both"/>
              <w:rPr>
                <w:rFonts w:hint="default"/>
                <w:color w:val="auto"/>
                <w:highlight w:val="none"/>
                <w:lang w:val="en-US" w:eastAsia="zh-CN"/>
              </w:rPr>
            </w:pPr>
            <w:r>
              <w:rPr>
                <w:rFonts w:hint="eastAsia"/>
                <w:color w:val="auto"/>
                <w:sz w:val="24"/>
                <w:highlight w:val="none"/>
                <w:u w:val="none"/>
                <w:lang w:val="en-US" w:eastAsia="zh-CN"/>
              </w:rPr>
              <w:fldChar w:fldCharType="begin"/>
            </w:r>
            <w:r>
              <w:rPr>
                <w:rFonts w:hint="eastAsia"/>
                <w:color w:val="auto"/>
                <w:sz w:val="24"/>
                <w:highlight w:val="none"/>
                <w:u w:val="none"/>
                <w:lang w:val="en-US" w:eastAsia="zh-CN"/>
              </w:rPr>
              <w:instrText xml:space="preserve"> = 3 \* GB3 \* MERGEFORMAT </w:instrText>
            </w:r>
            <w:r>
              <w:rPr>
                <w:rFonts w:hint="eastAsia"/>
                <w:color w:val="auto"/>
                <w:sz w:val="24"/>
                <w:highlight w:val="none"/>
                <w:u w:val="none"/>
                <w:lang w:val="en-US" w:eastAsia="zh-CN"/>
              </w:rPr>
              <w:fldChar w:fldCharType="separate"/>
            </w:r>
            <w:r>
              <w:rPr>
                <w:color w:val="auto"/>
                <w:highlight w:val="none"/>
              </w:rPr>
              <w:t>③</w:t>
            </w:r>
            <w:r>
              <w:rPr>
                <w:rFonts w:hint="eastAsia"/>
                <w:color w:val="auto"/>
                <w:sz w:val="24"/>
                <w:highlight w:val="none"/>
                <w:u w:val="none"/>
                <w:lang w:val="en-US" w:eastAsia="zh-CN"/>
              </w:rPr>
              <w:fldChar w:fldCharType="end"/>
            </w:r>
            <w:r>
              <w:rPr>
                <w:rFonts w:hint="eastAsia" w:ascii="Times New Roman" w:hAnsi="Times New Roman" w:eastAsia="宋体"/>
                <w:color w:val="auto"/>
                <w:sz w:val="24"/>
                <w:szCs w:val="24"/>
                <w:highlight w:val="none"/>
                <w:lang w:val="en-US" w:eastAsia="zh-CN"/>
              </w:rPr>
              <w:t>清除施工河段沿线残留的生活垃圾及建筑垃圾。</w:t>
            </w:r>
          </w:p>
        </w:tc>
      </w:tr>
      <w:tr w14:paraId="35CC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8" w:type="pct"/>
            <w:tcBorders>
              <w:top w:val="single" w:color="auto" w:sz="4" w:space="0"/>
              <w:bottom w:val="single" w:color="auto" w:sz="4" w:space="0"/>
            </w:tcBorders>
            <w:noWrap w:val="0"/>
            <w:vAlign w:val="center"/>
          </w:tcPr>
          <w:p w14:paraId="2CA207ED">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生态环境保护目标</w:t>
            </w:r>
          </w:p>
        </w:tc>
        <w:tc>
          <w:tcPr>
            <w:tcW w:w="4631" w:type="pct"/>
            <w:tcBorders>
              <w:top w:val="single" w:color="auto" w:sz="4" w:space="0"/>
              <w:bottom w:val="single" w:color="auto" w:sz="4" w:space="0"/>
            </w:tcBorders>
            <w:noWrap w:val="0"/>
            <w:vAlign w:val="top"/>
          </w:tcPr>
          <w:p w14:paraId="3553291D">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3.5 项目外环境</w:t>
            </w:r>
          </w:p>
          <w:p w14:paraId="70C68B5A">
            <w:pPr>
              <w:ind w:firstLine="480"/>
              <w:jc w:val="left"/>
              <w:rPr>
                <w:rFonts w:hint="default" w:ascii="Times New Roman" w:hAnsi="Times New Roman" w:cs="Times New Roman"/>
                <w:color w:val="auto"/>
                <w:szCs w:val="24"/>
                <w:highlight w:val="none"/>
              </w:rPr>
            </w:pPr>
            <w:r>
              <w:rPr>
                <w:rFonts w:hint="eastAsia"/>
                <w:color w:val="auto"/>
                <w:kern w:val="0"/>
                <w:sz w:val="24"/>
                <w:highlight w:val="none"/>
              </w:rPr>
              <w:t>项目位于大竹县</w:t>
            </w:r>
            <w:r>
              <w:rPr>
                <w:rFonts w:hint="eastAsia"/>
                <w:color w:val="auto"/>
                <w:kern w:val="0"/>
                <w:sz w:val="24"/>
                <w:highlight w:val="none"/>
                <w:lang w:val="en-US" w:eastAsia="zh-CN"/>
              </w:rPr>
              <w:t>石河镇、</w:t>
            </w:r>
            <w:r>
              <w:rPr>
                <w:rFonts w:hint="eastAsia"/>
                <w:color w:val="auto"/>
                <w:kern w:val="0"/>
                <w:sz w:val="24"/>
                <w:highlight w:val="none"/>
              </w:rPr>
              <w:t>清河镇、杨家镇</w:t>
            </w:r>
            <w:r>
              <w:rPr>
                <w:rFonts w:hint="eastAsia"/>
                <w:color w:val="auto"/>
                <w:kern w:val="0"/>
                <w:sz w:val="24"/>
                <w:highlight w:val="none"/>
                <w:lang w:eastAsia="zh-CN"/>
              </w:rPr>
              <w:t>。</w:t>
            </w:r>
            <w:r>
              <w:rPr>
                <w:rFonts w:hint="default" w:ascii="Times New Roman" w:hAnsi="Times New Roman" w:cs="Times New Roman"/>
                <w:color w:val="auto"/>
                <w:szCs w:val="24"/>
                <w:highlight w:val="none"/>
              </w:rPr>
              <w:t>根据现场调查，项目评价范围内无自然保护区、世界文化和自然遗产地等特殊生态敏感区，无风景名胜区、森林公园、地质公园、重要湿地、原始天然林、珍稀濒危野生动植物天然环境集中分布区等重要生态敏感区</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无《</w:t>
            </w:r>
            <w:r>
              <w:rPr>
                <w:rFonts w:hint="eastAsia" w:cs="Times New Roman"/>
                <w:color w:val="auto"/>
                <w:szCs w:val="24"/>
                <w:highlight w:val="none"/>
                <w:lang w:val="en-US" w:eastAsia="zh-CN"/>
              </w:rPr>
              <w:t>建设</w:t>
            </w:r>
            <w:r>
              <w:rPr>
                <w:rFonts w:hint="default" w:ascii="Times New Roman" w:hAnsi="Times New Roman" w:cs="Times New Roman"/>
                <w:color w:val="auto"/>
                <w:szCs w:val="24"/>
                <w:highlight w:val="none"/>
              </w:rPr>
              <w:t>项目环境影响评价分类管理名录》中所列生态环境敏感区。评价范围内无珍稀、受保护野生动植物，无古树名木。</w:t>
            </w:r>
          </w:p>
          <w:p w14:paraId="3EA4DB90">
            <w:pPr>
              <w:ind w:firstLine="480"/>
              <w:jc w:val="left"/>
              <w:rPr>
                <w:rFonts w:hint="default" w:ascii="Times New Roman" w:hAnsi="Times New Roman" w:cs="Times New Roman"/>
                <w:color w:val="auto"/>
                <w:szCs w:val="24"/>
                <w:highlight w:val="none"/>
              </w:rPr>
            </w:pPr>
            <w:r>
              <w:rPr>
                <w:rFonts w:hint="default" w:ascii="Times New Roman" w:hAnsi="Times New Roman" w:eastAsia="宋体" w:cs="Times New Roman"/>
                <w:b w:val="0"/>
                <w:bCs w:val="0"/>
                <w:snapToGrid w:val="0"/>
                <w:color w:val="auto"/>
                <w:kern w:val="0"/>
                <w:sz w:val="24"/>
                <w:szCs w:val="22"/>
                <w:highlight w:val="none"/>
                <w:lang w:val="en-US" w:eastAsia="zh-CN" w:bidi="ar-SA"/>
              </w:rPr>
              <w:t>根据大竹县林业局《关于四川省大竹县石河镇二郎、福兴防洪治理工程等四个项目的情况说明》，本项目不涉及珍稀保护鱼类，也不涉及珍稀保护鱼类的产卵场、索饵场、越冬场及洄游通道</w:t>
            </w:r>
            <w:r>
              <w:rPr>
                <w:rFonts w:hint="eastAsia" w:ascii="Times New Roman" w:hAnsi="Times New Roman" w:eastAsia="宋体" w:cs="Times New Roman"/>
                <w:b w:val="0"/>
                <w:bCs w:val="0"/>
                <w:snapToGrid w:val="0"/>
                <w:color w:val="auto"/>
                <w:kern w:val="0"/>
                <w:sz w:val="24"/>
                <w:szCs w:val="22"/>
                <w:highlight w:val="none"/>
                <w:lang w:val="en-US" w:eastAsia="zh-CN" w:bidi="ar-SA"/>
              </w:rPr>
              <w:t>。</w:t>
            </w:r>
          </w:p>
          <w:p w14:paraId="355F0E0B">
            <w:pPr>
              <w:rPr>
                <w:rFonts w:hint="default"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根据大竹县自然资源局出具的</w:t>
            </w:r>
            <w:r>
              <w:rPr>
                <w:rFonts w:hint="eastAsia" w:cs="Times New Roman"/>
                <w:b w:val="0"/>
                <w:bCs/>
                <w:color w:val="auto"/>
                <w:highlight w:val="none"/>
                <w:lang w:eastAsia="zh-CN"/>
              </w:rPr>
              <w:t>大竹县柳城河石河镇二郎、福兴防洪治理工程</w:t>
            </w:r>
            <w:r>
              <w:rPr>
                <w:rFonts w:hint="eastAsia" w:cs="Times New Roman"/>
                <w:b w:val="0"/>
                <w:bCs/>
                <w:color w:val="auto"/>
                <w:highlight w:val="none"/>
                <w:lang w:val="en-US" w:eastAsia="zh-CN"/>
              </w:rPr>
              <w:t>土地利用项目占用永久基本农田数据对比情况</w:t>
            </w:r>
            <w:r>
              <w:rPr>
                <w:rFonts w:hint="eastAsia" w:cs="Times New Roman"/>
                <w:b w:val="0"/>
                <w:bCs/>
                <w:color w:val="auto"/>
                <w:highlight w:val="none"/>
                <w:lang w:eastAsia="zh-CN"/>
              </w:rPr>
              <w:t>，</w:t>
            </w:r>
            <w:r>
              <w:rPr>
                <w:rFonts w:hint="eastAsia" w:cs="Times New Roman"/>
                <w:b w:val="0"/>
                <w:bCs/>
                <w:color w:val="auto"/>
                <w:highlight w:val="none"/>
                <w:lang w:val="en-US" w:eastAsia="zh-CN"/>
              </w:rPr>
              <w:t>以及</w:t>
            </w:r>
            <w:r>
              <w:rPr>
                <w:rFonts w:hint="eastAsia" w:cs="Times New Roman"/>
                <w:b w:val="0"/>
                <w:bCs/>
                <w:color w:val="auto"/>
                <w:highlight w:val="none"/>
                <w:lang w:eastAsia="zh-CN"/>
              </w:rPr>
              <w:t>大竹县柳城河石河镇防洪治理工程、四川省大竹县东柳河清河镇防洪治理工程和东柳河杨家镇防洪治理工程与永久基本农田位置示意图</w:t>
            </w:r>
            <w:r>
              <w:rPr>
                <w:rFonts w:hint="eastAsia" w:cs="Times New Roman"/>
                <w:b w:val="0"/>
                <w:bCs/>
                <w:color w:val="auto"/>
                <w:highlight w:val="none"/>
                <w:lang w:val="en-US" w:eastAsia="zh-CN"/>
              </w:rPr>
              <w:t>，明确本项目拟用地范围内均不涉及占用永久基本农田。</w:t>
            </w:r>
          </w:p>
          <w:p w14:paraId="390D9866">
            <w:pPr>
              <w:adjustRightInd w:val="0"/>
              <w:snapToGrid w:val="0"/>
              <w:spacing w:line="360" w:lineRule="auto"/>
              <w:ind w:firstLine="480" w:firstLineChars="200"/>
              <w:rPr>
                <w:rFonts w:hint="eastAsia"/>
                <w:color w:val="auto"/>
                <w:kern w:val="0"/>
                <w:sz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根据水库饮用水源保护区矢量数据，本项目均不在铁峰水库、冒水眼水库、</w:t>
            </w:r>
            <w:r>
              <w:rPr>
                <w:rFonts w:hint="eastAsia"/>
                <w:color w:val="auto"/>
                <w:sz w:val="24"/>
                <w:highlight w:val="none"/>
                <w:lang w:val="en-US" w:eastAsia="zh-CN"/>
              </w:rPr>
              <w:t>响滩子水库、乌木滩水库、刘家坝水库</w:t>
            </w:r>
            <w:r>
              <w:rPr>
                <w:rFonts w:hint="eastAsia" w:ascii="Times New Roman" w:hAnsi="Times New Roman" w:eastAsia="宋体" w:cs="Times New Roman"/>
                <w:b w:val="0"/>
                <w:bCs w:val="0"/>
                <w:color w:val="auto"/>
                <w:sz w:val="24"/>
                <w:szCs w:val="24"/>
                <w:highlight w:val="none"/>
                <w:lang w:val="en-US" w:eastAsia="zh-CN"/>
              </w:rPr>
              <w:t>饮用水水源保护区范围内，且距离较远，施工过程不会对其饮用水源造成影响</w:t>
            </w:r>
            <w:r>
              <w:rPr>
                <w:rFonts w:hint="default" w:ascii="Times New Roman" w:hAnsi="Times New Roman" w:cs="Times New Roman"/>
                <w:color w:val="auto"/>
                <w:szCs w:val="24"/>
                <w:highlight w:val="none"/>
              </w:rPr>
              <w:t>。</w:t>
            </w:r>
          </w:p>
          <w:p w14:paraId="11A12AA0">
            <w:pPr>
              <w:adjustRightInd w:val="0"/>
              <w:snapToGrid w:val="0"/>
              <w:spacing w:line="360" w:lineRule="auto"/>
              <w:ind w:firstLine="480" w:firstLineChars="200"/>
              <w:rPr>
                <w:rFonts w:hint="eastAsia"/>
                <w:color w:val="auto"/>
                <w:kern w:val="0"/>
                <w:sz w:val="24"/>
                <w:highlight w:val="none"/>
              </w:rPr>
            </w:pPr>
            <w:r>
              <w:rPr>
                <w:rFonts w:hint="eastAsia"/>
                <w:color w:val="auto"/>
                <w:kern w:val="0"/>
                <w:sz w:val="24"/>
                <w:highlight w:val="none"/>
                <w:lang w:val="en-US" w:eastAsia="zh-CN"/>
              </w:rPr>
              <w:t>项目河段评价范围</w:t>
            </w:r>
            <w:r>
              <w:rPr>
                <w:rFonts w:hint="eastAsia"/>
                <w:color w:val="auto"/>
                <w:kern w:val="0"/>
                <w:sz w:val="24"/>
                <w:highlight w:val="none"/>
              </w:rPr>
              <w:t>内无水质监测断面。东柳河墩子河水质监测断面位于本项目治理河段下游，距离项目清河镇治理河段终点约</w:t>
            </w:r>
            <w:r>
              <w:rPr>
                <w:color w:val="auto"/>
                <w:kern w:val="0"/>
                <w:sz w:val="24"/>
                <w:highlight w:val="none"/>
              </w:rPr>
              <w:t>9.79</w:t>
            </w:r>
            <w:r>
              <w:rPr>
                <w:rFonts w:hint="eastAsia"/>
                <w:color w:val="auto"/>
                <w:kern w:val="0"/>
                <w:sz w:val="24"/>
                <w:highlight w:val="none"/>
              </w:rPr>
              <w:t>km。</w:t>
            </w:r>
          </w:p>
          <w:p w14:paraId="08A94456">
            <w:pPr>
              <w:pStyle w:val="34"/>
              <w:spacing w:line="360" w:lineRule="auto"/>
              <w:ind w:firstLine="0" w:firstLineChars="0"/>
              <w:rPr>
                <w:rFonts w:hint="default" w:ascii="Times New Roman" w:hAnsi="Times New Roman" w:cs="Times New Roman"/>
                <w:b/>
                <w:color w:val="auto"/>
                <w:szCs w:val="22"/>
                <w:highlight w:val="none"/>
              </w:rPr>
            </w:pPr>
            <w:r>
              <w:rPr>
                <w:rFonts w:hint="default" w:ascii="Times New Roman" w:hAnsi="Times New Roman" w:cs="Times New Roman"/>
                <w:b/>
                <w:color w:val="auto"/>
                <w:szCs w:val="22"/>
                <w:highlight w:val="none"/>
              </w:rPr>
              <w:t>3.5.1 环境保护目标</w:t>
            </w:r>
          </w:p>
          <w:p w14:paraId="0A46F1F6">
            <w:pPr>
              <w:pStyle w:val="34"/>
              <w:spacing w:line="360" w:lineRule="auto"/>
              <w:ind w:left="0" w:leftChars="0" w:firstLine="0" w:firstLineChars="0"/>
              <w:rPr>
                <w:rFonts w:hint="default" w:ascii="Times New Roman" w:hAnsi="Times New Roman" w:cs="Times New Roman"/>
                <w:b/>
                <w:bCs/>
                <w:color w:val="auto"/>
                <w:szCs w:val="22"/>
                <w:highlight w:val="none"/>
              </w:rPr>
            </w:pPr>
            <w:r>
              <w:rPr>
                <w:rFonts w:hint="eastAsia" w:cs="Times New Roman"/>
                <w:b/>
                <w:bCs/>
                <w:color w:val="auto"/>
                <w:szCs w:val="22"/>
                <w:highlight w:val="none"/>
                <w:lang w:val="en-US" w:eastAsia="zh-CN"/>
              </w:rPr>
              <w:t>3.5.1.1</w:t>
            </w:r>
            <w:r>
              <w:rPr>
                <w:rFonts w:hint="default" w:ascii="Times New Roman" w:hAnsi="Times New Roman" w:cs="Times New Roman"/>
                <w:b/>
                <w:bCs/>
                <w:color w:val="auto"/>
                <w:szCs w:val="22"/>
                <w:highlight w:val="none"/>
              </w:rPr>
              <w:t>评价范围</w:t>
            </w:r>
          </w:p>
          <w:p w14:paraId="323EB696">
            <w:pPr>
              <w:ind w:firstLine="480"/>
              <w:jc w:val="lef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本项目评价范围详见下表。</w:t>
            </w:r>
          </w:p>
          <w:p w14:paraId="2BF12787">
            <w:pPr>
              <w:ind w:firstLine="0" w:firstLineChars="0"/>
              <w:jc w:val="center"/>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表3.5-1 本项目评价范围一览表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4"/>
              <w:gridCol w:w="6833"/>
            </w:tblGrid>
            <w:tr w14:paraId="2E6F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4" w:type="dxa"/>
                  <w:noWrap w:val="0"/>
                  <w:vAlign w:val="center"/>
                </w:tcPr>
                <w:p w14:paraId="252DFA62">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环境要素</w:t>
                  </w:r>
                </w:p>
              </w:tc>
              <w:tc>
                <w:tcPr>
                  <w:tcW w:w="6833" w:type="dxa"/>
                  <w:noWrap w:val="0"/>
                  <w:vAlign w:val="center"/>
                </w:tcPr>
                <w:p w14:paraId="439686D5">
                  <w:pPr>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评价范围</w:t>
                  </w:r>
                </w:p>
              </w:tc>
            </w:tr>
            <w:tr w14:paraId="6C18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4" w:type="dxa"/>
                  <w:noWrap w:val="0"/>
                  <w:vAlign w:val="center"/>
                </w:tcPr>
                <w:p w14:paraId="062C738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w:t>
                  </w:r>
                </w:p>
              </w:tc>
              <w:tc>
                <w:tcPr>
                  <w:tcW w:w="6833" w:type="dxa"/>
                  <w:noWrap w:val="0"/>
                  <w:vAlign w:val="center"/>
                </w:tcPr>
                <w:p w14:paraId="37368A05">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color="auto" w:fill="FFFFFF"/>
                    </w:rPr>
                    <w:t>项目河道工程中心线两侧各200m范围</w:t>
                  </w:r>
                </w:p>
              </w:tc>
            </w:tr>
            <w:tr w14:paraId="0749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4" w:type="dxa"/>
                  <w:noWrap w:val="0"/>
                  <w:vAlign w:val="center"/>
                </w:tcPr>
                <w:p w14:paraId="4158D7D2">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6833" w:type="dxa"/>
                  <w:noWrap w:val="0"/>
                  <w:vAlign w:val="center"/>
                </w:tcPr>
                <w:p w14:paraId="746F6FBC">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项目河道沿线及周围50m以内区域</w:t>
                  </w:r>
                </w:p>
              </w:tc>
            </w:tr>
            <w:tr w14:paraId="39B6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4" w:type="dxa"/>
                  <w:noWrap w:val="0"/>
                  <w:vAlign w:val="center"/>
                </w:tcPr>
                <w:p w14:paraId="313D288B">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w:t>
                  </w:r>
                </w:p>
              </w:tc>
              <w:tc>
                <w:tcPr>
                  <w:tcW w:w="6833" w:type="dxa"/>
                  <w:noWrap w:val="0"/>
                  <w:vAlign w:val="center"/>
                </w:tcPr>
                <w:p w14:paraId="3067D330">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项目周边500m范围内的环境敏感点</w:t>
                  </w:r>
                </w:p>
              </w:tc>
            </w:tr>
            <w:tr w14:paraId="706F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4" w:type="dxa"/>
                  <w:noWrap w:val="0"/>
                  <w:vAlign w:val="center"/>
                </w:tcPr>
                <w:p w14:paraId="2BA2408D">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c>
                <w:tcPr>
                  <w:tcW w:w="6833" w:type="dxa"/>
                  <w:noWrap w:val="0"/>
                  <w:vAlign w:val="center"/>
                </w:tcPr>
                <w:p w14:paraId="55974786">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项目河段上游200m，下游3000m</w:t>
                  </w:r>
                </w:p>
              </w:tc>
            </w:tr>
          </w:tbl>
          <w:p w14:paraId="63AEDECB">
            <w:pPr>
              <w:ind w:left="0" w:leftChars="0" w:firstLine="0" w:firstLineChars="0"/>
              <w:rPr>
                <w:rFonts w:hint="default" w:ascii="Times New Roman" w:hAnsi="Times New Roman" w:cs="Times New Roman"/>
                <w:b/>
                <w:bCs/>
                <w:color w:val="auto"/>
                <w:szCs w:val="24"/>
                <w:highlight w:val="none"/>
              </w:rPr>
            </w:pPr>
            <w:r>
              <w:rPr>
                <w:rFonts w:hint="eastAsia" w:cs="Times New Roman"/>
                <w:b/>
                <w:bCs/>
                <w:color w:val="auto"/>
                <w:szCs w:val="24"/>
                <w:highlight w:val="none"/>
                <w:lang w:val="en-US" w:eastAsia="zh-CN"/>
              </w:rPr>
              <w:t xml:space="preserve">3.5.1.2 </w:t>
            </w:r>
            <w:r>
              <w:rPr>
                <w:rFonts w:hint="default" w:ascii="Times New Roman" w:hAnsi="Times New Roman" w:cs="Times New Roman"/>
                <w:b/>
                <w:bCs/>
                <w:color w:val="auto"/>
                <w:szCs w:val="24"/>
                <w:highlight w:val="none"/>
              </w:rPr>
              <w:t>环境保护目标</w:t>
            </w:r>
          </w:p>
          <w:p w14:paraId="5597190F">
            <w:pPr>
              <w:ind w:firstLine="480"/>
              <w:rPr>
                <w:rFonts w:hint="default" w:ascii="Times New Roman" w:hAnsi="Times New Roman" w:eastAsia="宋体" w:cs="Times New Roman"/>
                <w:color w:val="auto"/>
                <w:szCs w:val="24"/>
                <w:highlight w:val="none"/>
                <w:lang w:val="en-US" w:eastAsia="zh-CN"/>
              </w:rPr>
            </w:pPr>
            <w:r>
              <w:rPr>
                <w:rFonts w:hint="eastAsia" w:cs="Times New Roman"/>
                <w:color w:val="auto"/>
                <w:szCs w:val="24"/>
                <w:highlight w:val="none"/>
                <w:lang w:val="en-US" w:eastAsia="zh-CN"/>
              </w:rPr>
              <w:t>·二郎段及福兴段、石河镇段及双拱段</w:t>
            </w:r>
          </w:p>
          <w:p w14:paraId="17069581">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本项目评价范围内环境保护目标详见表</w:t>
            </w:r>
            <w:r>
              <w:rPr>
                <w:rFonts w:hint="default" w:ascii="Times New Roman" w:hAnsi="Times New Roman" w:cs="Times New Roman"/>
                <w:color w:val="auto"/>
                <w:szCs w:val="24"/>
                <w:highlight w:val="none"/>
                <w:lang w:val="en-US" w:eastAsia="zh-CN"/>
              </w:rPr>
              <w:t>3.5-2~表3.5-3</w:t>
            </w:r>
            <w:r>
              <w:rPr>
                <w:rFonts w:hint="default" w:ascii="Times New Roman" w:hAnsi="Times New Roman" w:eastAsia="宋体" w:cs="Times New Roman"/>
                <w:color w:val="auto"/>
                <w:szCs w:val="24"/>
                <w:highlight w:val="none"/>
              </w:rPr>
              <w:t>。</w:t>
            </w:r>
          </w:p>
          <w:p w14:paraId="6FC1D610">
            <w:pPr>
              <w:pStyle w:val="37"/>
              <w:spacing w:line="360" w:lineRule="auto"/>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表3.5-2 本项目</w:t>
            </w:r>
            <w:r>
              <w:rPr>
                <w:rFonts w:hint="default" w:ascii="Times New Roman" w:hAnsi="Times New Roman" w:cs="Times New Roman"/>
                <w:b/>
                <w:bCs/>
                <w:color w:val="auto"/>
                <w:sz w:val="24"/>
                <w:szCs w:val="22"/>
                <w:highlight w:val="none"/>
                <w:lang w:val="en-US" w:eastAsia="zh-CN"/>
              </w:rPr>
              <w:t>主要</w:t>
            </w:r>
            <w:r>
              <w:rPr>
                <w:rFonts w:hint="default" w:ascii="Times New Roman" w:hAnsi="Times New Roman" w:cs="Times New Roman"/>
                <w:b/>
                <w:bCs/>
                <w:color w:val="auto"/>
                <w:sz w:val="24"/>
                <w:szCs w:val="22"/>
                <w:highlight w:val="none"/>
              </w:rPr>
              <w:t>周边环境</w:t>
            </w:r>
            <w:r>
              <w:rPr>
                <w:rFonts w:hint="default" w:ascii="Times New Roman" w:hAnsi="Times New Roman" w:cs="Times New Roman"/>
                <w:b/>
                <w:bCs/>
                <w:color w:val="auto"/>
                <w:sz w:val="24"/>
                <w:szCs w:val="22"/>
                <w:highlight w:val="none"/>
                <w:lang w:val="en-US" w:eastAsia="zh-CN"/>
              </w:rPr>
              <w:t>保护目标</w:t>
            </w:r>
            <w:r>
              <w:rPr>
                <w:rFonts w:hint="default" w:ascii="Times New Roman" w:hAnsi="Times New Roman" w:cs="Times New Roman"/>
                <w:b/>
                <w:bCs/>
                <w:color w:val="auto"/>
                <w:sz w:val="24"/>
                <w:szCs w:val="22"/>
                <w:highlight w:val="none"/>
              </w:rPr>
              <w:t>统计表</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568"/>
              <w:gridCol w:w="1322"/>
              <w:gridCol w:w="2266"/>
              <w:gridCol w:w="1318"/>
              <w:gridCol w:w="1782"/>
              <w:gridCol w:w="1096"/>
            </w:tblGrid>
            <w:tr w14:paraId="740C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32F5475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1050" w:type="pct"/>
                  <w:gridSpan w:val="2"/>
                  <w:noWrap w:val="0"/>
                  <w:vAlign w:val="center"/>
                </w:tcPr>
                <w:p w14:paraId="7489E00F">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敏感点</w:t>
                  </w:r>
                </w:p>
              </w:tc>
              <w:tc>
                <w:tcPr>
                  <w:tcW w:w="1259" w:type="pct"/>
                  <w:noWrap w:val="0"/>
                  <w:vAlign w:val="center"/>
                </w:tcPr>
                <w:p w14:paraId="1E9D7DAD">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方位</w:t>
                  </w:r>
                </w:p>
              </w:tc>
              <w:tc>
                <w:tcPr>
                  <w:tcW w:w="733" w:type="pct"/>
                  <w:noWrap w:val="0"/>
                  <w:vAlign w:val="center"/>
                </w:tcPr>
                <w:p w14:paraId="04114CC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与项目最近距离（m）</w:t>
                  </w:r>
                </w:p>
              </w:tc>
              <w:tc>
                <w:tcPr>
                  <w:tcW w:w="990" w:type="pct"/>
                  <w:noWrap w:val="0"/>
                  <w:vAlign w:val="center"/>
                </w:tcPr>
                <w:p w14:paraId="416D0E2C">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规模</w:t>
                  </w:r>
                </w:p>
              </w:tc>
              <w:tc>
                <w:tcPr>
                  <w:tcW w:w="609" w:type="pct"/>
                  <w:noWrap w:val="0"/>
                  <w:vAlign w:val="center"/>
                </w:tcPr>
                <w:p w14:paraId="136BAC2C">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功能分区</w:t>
                  </w:r>
                </w:p>
              </w:tc>
            </w:tr>
            <w:tr w14:paraId="432A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7"/>
                  <w:noWrap w:val="0"/>
                  <w:vAlign w:val="center"/>
                </w:tcPr>
                <w:p w14:paraId="6CFB171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r>
            <w:tr w14:paraId="237B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775A0E7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050" w:type="pct"/>
                  <w:gridSpan w:val="2"/>
                  <w:noWrap w:val="0"/>
                  <w:vAlign w:val="center"/>
                </w:tcPr>
                <w:p w14:paraId="7D39FEEA">
                  <w:pPr>
                    <w:pStyle w:val="23"/>
                    <w:keepNext w:val="0"/>
                    <w:keepLines w:val="0"/>
                    <w:pageBreakBefore w:val="0"/>
                    <w:widowControl w:val="0"/>
                    <w:wordWrap/>
                    <w:topLinePunct w:val="0"/>
                    <w:bidi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柳城河</w:t>
                  </w:r>
                </w:p>
              </w:tc>
              <w:tc>
                <w:tcPr>
                  <w:tcW w:w="1259" w:type="pct"/>
                  <w:noWrap w:val="0"/>
                  <w:vAlign w:val="center"/>
                </w:tcPr>
                <w:p w14:paraId="78060683">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733" w:type="pct"/>
                  <w:noWrap w:val="0"/>
                  <w:vAlign w:val="center"/>
                </w:tcPr>
                <w:p w14:paraId="6857F275">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990" w:type="pct"/>
                  <w:noWrap w:val="0"/>
                  <w:vAlign w:val="center"/>
                </w:tcPr>
                <w:p w14:paraId="0FEA761D">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09" w:type="pct"/>
                  <w:noWrap w:val="0"/>
                  <w:vAlign w:val="center"/>
                </w:tcPr>
                <w:p w14:paraId="7EB4B0F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shd w:val="clear" w:color="auto" w:fill="FFFFFF"/>
                      <w:lang w:bidi="ar"/>
                    </w:rPr>
                    <w:t>Ⅲ</w:t>
                  </w:r>
                  <w:r>
                    <w:rPr>
                      <w:rFonts w:hint="default" w:ascii="Times New Roman" w:hAnsi="Times New Roman" w:cs="Times New Roman"/>
                      <w:color w:val="auto"/>
                      <w:sz w:val="21"/>
                      <w:szCs w:val="21"/>
                      <w:highlight w:val="none"/>
                    </w:rPr>
                    <w:t>类水域</w:t>
                  </w:r>
                </w:p>
              </w:tc>
            </w:tr>
            <w:tr w14:paraId="4CE7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shd w:val="clear" w:color="auto" w:fill="auto"/>
                  <w:noWrap w:val="0"/>
                  <w:vAlign w:val="center"/>
                </w:tcPr>
                <w:p w14:paraId="366D66C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w:t>
                  </w:r>
                </w:p>
              </w:tc>
              <w:tc>
                <w:tcPr>
                  <w:tcW w:w="1050" w:type="pct"/>
                  <w:gridSpan w:val="2"/>
                  <w:shd w:val="clear" w:color="auto" w:fill="auto"/>
                  <w:noWrap w:val="0"/>
                  <w:vAlign w:val="center"/>
                </w:tcPr>
                <w:p w14:paraId="3491746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color w:val="auto"/>
                      <w:sz w:val="21"/>
                      <w:szCs w:val="21"/>
                      <w:highlight w:val="none"/>
                      <w:lang w:val="en-US" w:eastAsia="zh-CN"/>
                    </w:rPr>
                    <w:t>罐子岩水库（灌溉、供水、防洪、发电等综合利用）</w:t>
                  </w:r>
                </w:p>
              </w:tc>
              <w:tc>
                <w:tcPr>
                  <w:tcW w:w="1259" w:type="pct"/>
                  <w:shd w:val="clear" w:color="auto" w:fill="auto"/>
                  <w:noWrap w:val="0"/>
                  <w:vAlign w:val="center"/>
                </w:tcPr>
                <w:p w14:paraId="4FF7A75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733" w:type="pct"/>
                  <w:shd w:val="clear" w:color="auto" w:fill="auto"/>
                  <w:noWrap w:val="0"/>
                  <w:vAlign w:val="center"/>
                </w:tcPr>
                <w:p w14:paraId="03A282E2">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2000</w:t>
                  </w:r>
                </w:p>
              </w:tc>
              <w:tc>
                <w:tcPr>
                  <w:tcW w:w="990" w:type="pct"/>
                  <w:shd w:val="clear" w:color="auto" w:fill="auto"/>
                  <w:noWrap w:val="0"/>
                  <w:vAlign w:val="center"/>
                </w:tcPr>
                <w:p w14:paraId="754111D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609" w:type="pct"/>
                  <w:shd w:val="clear" w:color="auto" w:fill="auto"/>
                  <w:noWrap w:val="0"/>
                  <w:vAlign w:val="center"/>
                </w:tcPr>
                <w:p w14:paraId="0142C912">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shd w:val="clear" w:color="auto" w:fill="FFFFFF"/>
                      <w:lang w:bidi="ar"/>
                    </w:rPr>
                    <w:t>Ⅲ</w:t>
                  </w:r>
                  <w:r>
                    <w:rPr>
                      <w:rFonts w:hint="default" w:ascii="Times New Roman" w:hAnsi="Times New Roman" w:cs="Times New Roman"/>
                      <w:color w:val="auto"/>
                      <w:sz w:val="21"/>
                      <w:szCs w:val="21"/>
                      <w:highlight w:val="none"/>
                    </w:rPr>
                    <w:t>类水域</w:t>
                  </w:r>
                </w:p>
              </w:tc>
            </w:tr>
            <w:tr w14:paraId="38DA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shd w:val="clear" w:color="auto" w:fill="auto"/>
                  <w:noWrap w:val="0"/>
                  <w:vAlign w:val="center"/>
                </w:tcPr>
                <w:p w14:paraId="1358CCF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w:t>
                  </w:r>
                </w:p>
              </w:tc>
              <w:tc>
                <w:tcPr>
                  <w:tcW w:w="1050" w:type="pct"/>
                  <w:gridSpan w:val="2"/>
                  <w:shd w:val="clear" w:color="auto" w:fill="auto"/>
                  <w:noWrap w:val="0"/>
                  <w:vAlign w:val="center"/>
                </w:tcPr>
                <w:p w14:paraId="522BC08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color w:val="auto"/>
                      <w:sz w:val="21"/>
                      <w:szCs w:val="21"/>
                      <w:highlight w:val="none"/>
                      <w:lang w:val="en-US" w:eastAsia="zh-CN"/>
                    </w:rPr>
                    <w:t>东柳河</w:t>
                  </w:r>
                </w:p>
              </w:tc>
              <w:tc>
                <w:tcPr>
                  <w:tcW w:w="1259" w:type="pct"/>
                  <w:shd w:val="clear" w:color="auto" w:fill="auto"/>
                  <w:noWrap w:val="0"/>
                  <w:vAlign w:val="center"/>
                </w:tcPr>
                <w:p w14:paraId="4856865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NW</w:t>
                  </w:r>
                </w:p>
              </w:tc>
              <w:tc>
                <w:tcPr>
                  <w:tcW w:w="733" w:type="pct"/>
                  <w:shd w:val="clear" w:color="auto" w:fill="auto"/>
                  <w:noWrap w:val="0"/>
                  <w:vAlign w:val="center"/>
                </w:tcPr>
                <w:p w14:paraId="62E6A32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3900</w:t>
                  </w:r>
                </w:p>
              </w:tc>
              <w:tc>
                <w:tcPr>
                  <w:tcW w:w="990" w:type="pct"/>
                  <w:shd w:val="clear" w:color="auto" w:fill="auto"/>
                  <w:noWrap w:val="0"/>
                  <w:vAlign w:val="center"/>
                </w:tcPr>
                <w:p w14:paraId="38CBF52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rPr>
                    <w:t>/</w:t>
                  </w:r>
                </w:p>
              </w:tc>
              <w:tc>
                <w:tcPr>
                  <w:tcW w:w="609" w:type="pct"/>
                  <w:shd w:val="clear" w:color="auto" w:fill="auto"/>
                  <w:noWrap w:val="0"/>
                  <w:vAlign w:val="center"/>
                </w:tcPr>
                <w:p w14:paraId="220CC31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shd w:val="clear" w:color="auto" w:fill="FFFFFF"/>
                      <w:lang w:bidi="ar"/>
                    </w:rPr>
                    <w:t>Ⅲ</w:t>
                  </w:r>
                  <w:r>
                    <w:rPr>
                      <w:rFonts w:hint="default" w:ascii="Times New Roman" w:hAnsi="Times New Roman" w:cs="Times New Roman"/>
                      <w:color w:val="auto"/>
                      <w:sz w:val="21"/>
                      <w:szCs w:val="21"/>
                      <w:highlight w:val="none"/>
                    </w:rPr>
                    <w:t>类水域</w:t>
                  </w:r>
                </w:p>
              </w:tc>
            </w:tr>
            <w:tr w14:paraId="410D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7"/>
                  <w:noWrap w:val="0"/>
                  <w:vAlign w:val="center"/>
                </w:tcPr>
                <w:p w14:paraId="22EFA400">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r>
            <w:tr w14:paraId="59C3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5469CCC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315" w:type="pct"/>
                  <w:vMerge w:val="restart"/>
                  <w:noWrap w:val="0"/>
                  <w:vAlign w:val="center"/>
                </w:tcPr>
                <w:p w14:paraId="6F2705E5">
                  <w:pPr>
                    <w:pStyle w:val="23"/>
                    <w:keepNext w:val="0"/>
                    <w:keepLines w:val="0"/>
                    <w:pageBreakBefore w:val="0"/>
                    <w:widowControl w:val="0"/>
                    <w:wordWrap/>
                    <w:topLinePunct w:val="0"/>
                    <w:bidi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二郎段</w:t>
                  </w:r>
                </w:p>
              </w:tc>
              <w:tc>
                <w:tcPr>
                  <w:tcW w:w="735" w:type="pct"/>
                  <w:shd w:val="clear" w:color="auto" w:fill="auto"/>
                  <w:noWrap w:val="0"/>
                  <w:vAlign w:val="center"/>
                </w:tcPr>
                <w:p w14:paraId="497D7CB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#居民点</w:t>
                  </w:r>
                </w:p>
              </w:tc>
              <w:tc>
                <w:tcPr>
                  <w:tcW w:w="1259" w:type="pct"/>
                  <w:noWrap w:val="0"/>
                  <w:vAlign w:val="center"/>
                </w:tcPr>
                <w:p w14:paraId="413C333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二郎整治k1+300右岸</w:t>
                  </w:r>
                </w:p>
              </w:tc>
              <w:tc>
                <w:tcPr>
                  <w:tcW w:w="733" w:type="pct"/>
                  <w:noWrap w:val="0"/>
                  <w:vAlign w:val="center"/>
                </w:tcPr>
                <w:p w14:paraId="48F42AE4">
                  <w:pPr>
                    <w:pStyle w:val="23"/>
                    <w:keepNext w:val="0"/>
                    <w:keepLines w:val="0"/>
                    <w:pageBreakBefore w:val="0"/>
                    <w:widowControl w:val="0"/>
                    <w:wordWrap/>
                    <w:topLinePunct w:val="0"/>
                    <w:bidi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990" w:type="pct"/>
                  <w:noWrap w:val="0"/>
                  <w:vAlign w:val="center"/>
                </w:tcPr>
                <w:p w14:paraId="3C2DB358">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25户，约75人</w:t>
                  </w:r>
                </w:p>
              </w:tc>
              <w:tc>
                <w:tcPr>
                  <w:tcW w:w="609" w:type="pct"/>
                  <w:vMerge w:val="restart"/>
                  <w:noWrap w:val="0"/>
                  <w:vAlign w:val="center"/>
                </w:tcPr>
                <w:p w14:paraId="37472AD0">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2类声功能区</w:t>
                  </w:r>
                </w:p>
              </w:tc>
            </w:tr>
            <w:tr w14:paraId="5007C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15B66A09">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315" w:type="pct"/>
                  <w:vMerge w:val="continue"/>
                  <w:noWrap w:val="0"/>
                  <w:vAlign w:val="center"/>
                </w:tcPr>
                <w:p w14:paraId="682A89C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noWrap w:val="0"/>
                  <w:vAlign w:val="center"/>
                </w:tcPr>
                <w:p w14:paraId="79705D62">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0C828E0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二郎整治k1+100右岸</w:t>
                  </w:r>
                </w:p>
              </w:tc>
              <w:tc>
                <w:tcPr>
                  <w:tcW w:w="733" w:type="pct"/>
                  <w:noWrap w:val="0"/>
                  <w:vAlign w:val="center"/>
                </w:tcPr>
                <w:p w14:paraId="6648D23B">
                  <w:pPr>
                    <w:pStyle w:val="23"/>
                    <w:keepNext w:val="0"/>
                    <w:keepLines w:val="0"/>
                    <w:pageBreakBefore w:val="0"/>
                    <w:widowControl w:val="0"/>
                    <w:wordWrap/>
                    <w:topLinePunct w:val="0"/>
                    <w:bidi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990" w:type="pct"/>
                  <w:shd w:val="clear" w:color="auto" w:fill="auto"/>
                  <w:noWrap w:val="0"/>
                  <w:vAlign w:val="center"/>
                </w:tcPr>
                <w:p w14:paraId="133035A2">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25户，约75人</w:t>
                  </w:r>
                </w:p>
              </w:tc>
              <w:tc>
                <w:tcPr>
                  <w:tcW w:w="609" w:type="pct"/>
                  <w:vMerge w:val="continue"/>
                  <w:noWrap w:val="0"/>
                  <w:vAlign w:val="center"/>
                </w:tcPr>
                <w:p w14:paraId="2AEE41A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4F6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4A5763C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315" w:type="pct"/>
                  <w:vMerge w:val="continue"/>
                  <w:noWrap w:val="0"/>
                  <w:vAlign w:val="center"/>
                </w:tcPr>
                <w:p w14:paraId="0FDEDD5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noWrap w:val="0"/>
                  <w:vAlign w:val="center"/>
                </w:tcPr>
                <w:p w14:paraId="2E5517A5">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03625F6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二郎整治k0+800左岸</w:t>
                  </w:r>
                </w:p>
              </w:tc>
              <w:tc>
                <w:tcPr>
                  <w:tcW w:w="733" w:type="pct"/>
                  <w:noWrap w:val="0"/>
                  <w:vAlign w:val="center"/>
                </w:tcPr>
                <w:p w14:paraId="664D488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990" w:type="pct"/>
                  <w:noWrap w:val="0"/>
                  <w:vAlign w:val="center"/>
                </w:tcPr>
                <w:p w14:paraId="3B4520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7户，约21人</w:t>
                  </w:r>
                </w:p>
              </w:tc>
              <w:tc>
                <w:tcPr>
                  <w:tcW w:w="609" w:type="pct"/>
                  <w:vMerge w:val="continue"/>
                  <w:noWrap w:val="0"/>
                  <w:vAlign w:val="center"/>
                </w:tcPr>
                <w:p w14:paraId="52E3C99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E9D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5CE3A13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315" w:type="pct"/>
                  <w:vMerge w:val="continue"/>
                  <w:noWrap w:val="0"/>
                  <w:vAlign w:val="center"/>
                </w:tcPr>
                <w:p w14:paraId="2F0EB96A">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noWrap w:val="0"/>
                  <w:vAlign w:val="center"/>
                </w:tcPr>
                <w:p w14:paraId="71D6EAE7">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2FB358C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二郎整治k1+600右岸</w:t>
                  </w:r>
                </w:p>
              </w:tc>
              <w:tc>
                <w:tcPr>
                  <w:tcW w:w="733" w:type="pct"/>
                  <w:noWrap w:val="0"/>
                  <w:vAlign w:val="center"/>
                </w:tcPr>
                <w:p w14:paraId="6E78CF0B">
                  <w:pPr>
                    <w:pStyle w:val="23"/>
                    <w:keepNext w:val="0"/>
                    <w:keepLines w:val="0"/>
                    <w:pageBreakBefore w:val="0"/>
                    <w:widowControl w:val="0"/>
                    <w:wordWrap/>
                    <w:topLinePunct w:val="0"/>
                    <w:bidi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990" w:type="pct"/>
                  <w:noWrap w:val="0"/>
                  <w:vAlign w:val="center"/>
                </w:tcPr>
                <w:p w14:paraId="4BF452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15户，约45人</w:t>
                  </w:r>
                </w:p>
              </w:tc>
              <w:tc>
                <w:tcPr>
                  <w:tcW w:w="609" w:type="pct"/>
                  <w:vMerge w:val="continue"/>
                  <w:noWrap w:val="0"/>
                  <w:vAlign w:val="center"/>
                </w:tcPr>
                <w:p w14:paraId="548908D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7B3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shd w:val="clear" w:color="auto" w:fill="auto"/>
                  <w:noWrap w:val="0"/>
                  <w:vAlign w:val="center"/>
                </w:tcPr>
                <w:p w14:paraId="04F53C7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rPr>
                    <w:t>5</w:t>
                  </w:r>
                </w:p>
              </w:tc>
              <w:tc>
                <w:tcPr>
                  <w:tcW w:w="315" w:type="pct"/>
                  <w:vMerge w:val="continue"/>
                  <w:noWrap w:val="0"/>
                  <w:vAlign w:val="center"/>
                </w:tcPr>
                <w:p w14:paraId="0036B69C">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noWrap w:val="0"/>
                  <w:vAlign w:val="center"/>
                </w:tcPr>
                <w:p w14:paraId="5CEFB992">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0229FEA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二郎整治k1+400左岸</w:t>
                  </w:r>
                </w:p>
              </w:tc>
              <w:tc>
                <w:tcPr>
                  <w:tcW w:w="733" w:type="pct"/>
                  <w:noWrap w:val="0"/>
                  <w:vAlign w:val="center"/>
                </w:tcPr>
                <w:p w14:paraId="3F2982F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0" w:type="pct"/>
                  <w:noWrap w:val="0"/>
                  <w:vAlign w:val="center"/>
                </w:tcPr>
                <w:p w14:paraId="7A41B7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2户，约6人</w:t>
                  </w:r>
                </w:p>
              </w:tc>
              <w:tc>
                <w:tcPr>
                  <w:tcW w:w="609" w:type="pct"/>
                  <w:vMerge w:val="continue"/>
                  <w:noWrap w:val="0"/>
                  <w:vAlign w:val="center"/>
                </w:tcPr>
                <w:p w14:paraId="34605C5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072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shd w:val="clear" w:color="auto" w:fill="auto"/>
                  <w:noWrap w:val="0"/>
                  <w:vAlign w:val="center"/>
                </w:tcPr>
                <w:p w14:paraId="72A0E76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rPr>
                    <w:t>6</w:t>
                  </w:r>
                </w:p>
              </w:tc>
              <w:tc>
                <w:tcPr>
                  <w:tcW w:w="315" w:type="pct"/>
                  <w:vMerge w:val="continue"/>
                  <w:noWrap w:val="0"/>
                  <w:vAlign w:val="center"/>
                </w:tcPr>
                <w:p w14:paraId="31E79841">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noWrap w:val="0"/>
                  <w:vAlign w:val="center"/>
                </w:tcPr>
                <w:p w14:paraId="7D93C877">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1EC9D81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二郎整治k1+800右岸</w:t>
                  </w:r>
                </w:p>
              </w:tc>
              <w:tc>
                <w:tcPr>
                  <w:tcW w:w="733" w:type="pct"/>
                  <w:noWrap w:val="0"/>
                  <w:vAlign w:val="center"/>
                </w:tcPr>
                <w:p w14:paraId="0453376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990" w:type="pct"/>
                  <w:noWrap w:val="0"/>
                  <w:vAlign w:val="center"/>
                </w:tcPr>
                <w:p w14:paraId="4590E9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10户，约30人</w:t>
                  </w:r>
                </w:p>
              </w:tc>
              <w:tc>
                <w:tcPr>
                  <w:tcW w:w="609" w:type="pct"/>
                  <w:vMerge w:val="continue"/>
                  <w:noWrap w:val="0"/>
                  <w:vAlign w:val="center"/>
                </w:tcPr>
                <w:p w14:paraId="7DEFE9C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330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shd w:val="clear" w:color="auto" w:fill="auto"/>
                  <w:noWrap w:val="0"/>
                  <w:vAlign w:val="center"/>
                </w:tcPr>
                <w:p w14:paraId="6FA39B5A">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rPr>
                    <w:t>7</w:t>
                  </w:r>
                </w:p>
              </w:tc>
              <w:tc>
                <w:tcPr>
                  <w:tcW w:w="315" w:type="pct"/>
                  <w:vMerge w:val="restart"/>
                  <w:noWrap w:val="0"/>
                  <w:vAlign w:val="center"/>
                </w:tcPr>
                <w:p w14:paraId="2E97F9C8">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福兴段</w:t>
                  </w:r>
                </w:p>
              </w:tc>
              <w:tc>
                <w:tcPr>
                  <w:tcW w:w="735" w:type="pct"/>
                  <w:shd w:val="clear" w:color="auto" w:fill="auto"/>
                  <w:noWrap w:val="0"/>
                  <w:vAlign w:val="center"/>
                </w:tcPr>
                <w:p w14:paraId="0485E7F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rPr>
                    <w:t>2#居民点</w:t>
                  </w:r>
                </w:p>
              </w:tc>
              <w:tc>
                <w:tcPr>
                  <w:tcW w:w="1259" w:type="pct"/>
                  <w:shd w:val="clear" w:color="auto" w:fill="auto"/>
                  <w:noWrap w:val="0"/>
                  <w:vAlign w:val="center"/>
                </w:tcPr>
                <w:p w14:paraId="713D633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福兴整治k1+000右岸</w:t>
                  </w:r>
                </w:p>
              </w:tc>
              <w:tc>
                <w:tcPr>
                  <w:tcW w:w="733" w:type="pct"/>
                  <w:noWrap w:val="0"/>
                  <w:vAlign w:val="center"/>
                </w:tcPr>
                <w:p w14:paraId="61B8BA7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990" w:type="pct"/>
                  <w:noWrap w:val="0"/>
                  <w:vAlign w:val="center"/>
                </w:tcPr>
                <w:p w14:paraId="1CD36C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40户，约120人</w:t>
                  </w:r>
                </w:p>
              </w:tc>
              <w:tc>
                <w:tcPr>
                  <w:tcW w:w="609" w:type="pct"/>
                  <w:vMerge w:val="continue"/>
                  <w:noWrap w:val="0"/>
                  <w:vAlign w:val="center"/>
                </w:tcPr>
                <w:p w14:paraId="1E8C191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F2D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shd w:val="clear" w:color="auto" w:fill="auto"/>
                  <w:noWrap w:val="0"/>
                  <w:vAlign w:val="center"/>
                </w:tcPr>
                <w:p w14:paraId="45AA9EF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rPr>
                    <w:t>8</w:t>
                  </w:r>
                </w:p>
              </w:tc>
              <w:tc>
                <w:tcPr>
                  <w:tcW w:w="315" w:type="pct"/>
                  <w:vMerge w:val="continue"/>
                  <w:noWrap w:val="0"/>
                  <w:vAlign w:val="center"/>
                </w:tcPr>
                <w:p w14:paraId="67C01DC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3E4EDD14">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#居民点</w:t>
                  </w:r>
                </w:p>
              </w:tc>
              <w:tc>
                <w:tcPr>
                  <w:tcW w:w="1259" w:type="pct"/>
                  <w:noWrap w:val="0"/>
                  <w:vAlign w:val="center"/>
                </w:tcPr>
                <w:p w14:paraId="0B2F8D99">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福兴整治k1+400左岸</w:t>
                  </w:r>
                </w:p>
              </w:tc>
              <w:tc>
                <w:tcPr>
                  <w:tcW w:w="733" w:type="pct"/>
                  <w:noWrap w:val="0"/>
                  <w:vAlign w:val="center"/>
                </w:tcPr>
                <w:p w14:paraId="490B734C">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990" w:type="pct"/>
                  <w:noWrap w:val="0"/>
                  <w:vAlign w:val="center"/>
                </w:tcPr>
                <w:p w14:paraId="55E290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3户，约9人</w:t>
                  </w:r>
                </w:p>
              </w:tc>
              <w:tc>
                <w:tcPr>
                  <w:tcW w:w="609" w:type="pct"/>
                  <w:vMerge w:val="continue"/>
                  <w:noWrap w:val="0"/>
                  <w:vAlign w:val="center"/>
                </w:tcPr>
                <w:p w14:paraId="0D80354F">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00F9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shd w:val="clear" w:color="auto" w:fill="auto"/>
                  <w:noWrap w:val="0"/>
                  <w:vAlign w:val="center"/>
                </w:tcPr>
                <w:p w14:paraId="19FAE9B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rPr>
                    <w:t>9</w:t>
                  </w:r>
                </w:p>
              </w:tc>
              <w:tc>
                <w:tcPr>
                  <w:tcW w:w="315" w:type="pct"/>
                  <w:vMerge w:val="continue"/>
                  <w:noWrap w:val="0"/>
                  <w:vAlign w:val="center"/>
                </w:tcPr>
                <w:p w14:paraId="45A004F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3441F75F">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085AF7C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福兴整治k1+300左岸</w:t>
                  </w:r>
                </w:p>
              </w:tc>
              <w:tc>
                <w:tcPr>
                  <w:tcW w:w="733" w:type="pct"/>
                  <w:noWrap w:val="0"/>
                  <w:vAlign w:val="center"/>
                </w:tcPr>
                <w:p w14:paraId="146A6A6B">
                  <w:pPr>
                    <w:pStyle w:val="23"/>
                    <w:keepNext w:val="0"/>
                    <w:keepLines w:val="0"/>
                    <w:pageBreakBefore w:val="0"/>
                    <w:widowControl w:val="0"/>
                    <w:wordWrap/>
                    <w:topLinePunct w:val="0"/>
                    <w:bidi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990" w:type="pct"/>
                  <w:noWrap w:val="0"/>
                  <w:vAlign w:val="center"/>
                </w:tcPr>
                <w:p w14:paraId="462F8E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15户，约45人</w:t>
                  </w:r>
                </w:p>
              </w:tc>
              <w:tc>
                <w:tcPr>
                  <w:tcW w:w="609" w:type="pct"/>
                  <w:vMerge w:val="continue"/>
                  <w:noWrap w:val="0"/>
                  <w:vAlign w:val="center"/>
                </w:tcPr>
                <w:p w14:paraId="6852FCA0">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01E1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12C33A3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315" w:type="pct"/>
                  <w:vMerge w:val="continue"/>
                  <w:noWrap w:val="0"/>
                  <w:vAlign w:val="center"/>
                </w:tcPr>
                <w:p w14:paraId="19AB9F43">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699D3A8C">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328F91D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福兴整治k1+200右岸</w:t>
                  </w:r>
                </w:p>
              </w:tc>
              <w:tc>
                <w:tcPr>
                  <w:tcW w:w="733" w:type="pct"/>
                  <w:noWrap w:val="0"/>
                  <w:vAlign w:val="center"/>
                </w:tcPr>
                <w:p w14:paraId="5C5E1360">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990" w:type="pct"/>
                  <w:noWrap w:val="0"/>
                  <w:vAlign w:val="center"/>
                </w:tcPr>
                <w:p w14:paraId="7D7AD3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6户，约18人</w:t>
                  </w:r>
                </w:p>
              </w:tc>
              <w:tc>
                <w:tcPr>
                  <w:tcW w:w="609" w:type="pct"/>
                  <w:vMerge w:val="continue"/>
                  <w:noWrap w:val="0"/>
                  <w:vAlign w:val="center"/>
                </w:tcPr>
                <w:p w14:paraId="1CDA3AC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D75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7BC5442C">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315" w:type="pct"/>
                  <w:vMerge w:val="continue"/>
                  <w:noWrap w:val="0"/>
                  <w:vAlign w:val="center"/>
                </w:tcPr>
                <w:p w14:paraId="5BA2B0D9">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0FEEF880">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11</w:t>
                  </w:r>
                  <w:r>
                    <w:rPr>
                      <w:rFonts w:hint="default" w:ascii="Times New Roman" w:hAnsi="Times New Roman" w:cs="Times New Roman"/>
                      <w:color w:val="auto"/>
                      <w:sz w:val="21"/>
                      <w:szCs w:val="21"/>
                      <w:highlight w:val="none"/>
                    </w:rPr>
                    <w:t>#居民点</w:t>
                  </w:r>
                </w:p>
              </w:tc>
              <w:tc>
                <w:tcPr>
                  <w:tcW w:w="1259" w:type="pct"/>
                  <w:noWrap w:val="0"/>
                  <w:vAlign w:val="center"/>
                </w:tcPr>
                <w:p w14:paraId="09E3DB6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福兴整治k0+900右岸</w:t>
                  </w:r>
                </w:p>
              </w:tc>
              <w:tc>
                <w:tcPr>
                  <w:tcW w:w="733" w:type="pct"/>
                  <w:noWrap w:val="0"/>
                  <w:vAlign w:val="center"/>
                </w:tcPr>
                <w:p w14:paraId="77AF715B">
                  <w:pPr>
                    <w:pStyle w:val="23"/>
                    <w:keepNext w:val="0"/>
                    <w:keepLines w:val="0"/>
                    <w:pageBreakBefore w:val="0"/>
                    <w:widowControl w:val="0"/>
                    <w:wordWrap/>
                    <w:topLinePunct w:val="0"/>
                    <w:bidi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990" w:type="pct"/>
                  <w:shd w:val="clear" w:color="auto" w:fill="auto"/>
                  <w:noWrap w:val="0"/>
                  <w:vAlign w:val="center"/>
                </w:tcPr>
                <w:p w14:paraId="7DA903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20户，约60人</w:t>
                  </w:r>
                </w:p>
              </w:tc>
              <w:tc>
                <w:tcPr>
                  <w:tcW w:w="609" w:type="pct"/>
                  <w:vMerge w:val="continue"/>
                  <w:noWrap w:val="0"/>
                  <w:vAlign w:val="center"/>
                </w:tcPr>
                <w:p w14:paraId="14DC358A">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9E0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7DCF2CE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315" w:type="pct"/>
                  <w:vMerge w:val="continue"/>
                  <w:noWrap w:val="0"/>
                  <w:vAlign w:val="center"/>
                </w:tcPr>
                <w:p w14:paraId="317864E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50511EC7">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1794979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福兴整治k0+800右岸</w:t>
                  </w:r>
                </w:p>
              </w:tc>
              <w:tc>
                <w:tcPr>
                  <w:tcW w:w="733" w:type="pct"/>
                  <w:noWrap w:val="0"/>
                  <w:vAlign w:val="center"/>
                </w:tcPr>
                <w:p w14:paraId="4F3B6636">
                  <w:pPr>
                    <w:pStyle w:val="23"/>
                    <w:keepNext w:val="0"/>
                    <w:keepLines w:val="0"/>
                    <w:pageBreakBefore w:val="0"/>
                    <w:widowControl w:val="0"/>
                    <w:wordWrap/>
                    <w:topLinePunct w:val="0"/>
                    <w:bidi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990" w:type="pct"/>
                  <w:noWrap w:val="0"/>
                  <w:vAlign w:val="center"/>
                </w:tcPr>
                <w:p w14:paraId="70C39B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20户，约60人</w:t>
                  </w:r>
                </w:p>
              </w:tc>
              <w:tc>
                <w:tcPr>
                  <w:tcW w:w="609" w:type="pct"/>
                  <w:vMerge w:val="continue"/>
                  <w:noWrap w:val="0"/>
                  <w:vAlign w:val="center"/>
                </w:tcPr>
                <w:p w14:paraId="3A641DFD">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5894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743ACDBD">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315" w:type="pct"/>
                  <w:vMerge w:val="continue"/>
                  <w:noWrap w:val="0"/>
                  <w:vAlign w:val="center"/>
                </w:tcPr>
                <w:p w14:paraId="01658BC8">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4314B99E">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13</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30388B1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福兴整治k0+700右岸</w:t>
                  </w:r>
                </w:p>
              </w:tc>
              <w:tc>
                <w:tcPr>
                  <w:tcW w:w="733" w:type="pct"/>
                  <w:noWrap w:val="0"/>
                  <w:vAlign w:val="center"/>
                </w:tcPr>
                <w:p w14:paraId="1082F94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990" w:type="pct"/>
                  <w:noWrap w:val="0"/>
                  <w:vAlign w:val="center"/>
                </w:tcPr>
                <w:p w14:paraId="4ECC84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1户，约3人</w:t>
                  </w:r>
                </w:p>
              </w:tc>
              <w:tc>
                <w:tcPr>
                  <w:tcW w:w="609" w:type="pct"/>
                  <w:vMerge w:val="continue"/>
                  <w:noWrap w:val="0"/>
                  <w:vAlign w:val="center"/>
                </w:tcPr>
                <w:p w14:paraId="409DE293">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CC3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57D8152F">
                  <w:pPr>
                    <w:pStyle w:val="23"/>
                    <w:keepNext w:val="0"/>
                    <w:keepLines w:val="0"/>
                    <w:pageBreakBefore w:val="0"/>
                    <w:widowControl w:val="0"/>
                    <w:wordWrap/>
                    <w:topLinePunct w:val="0"/>
                    <w:bidi w:val="0"/>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val="en-US" w:eastAsia="zh-CN"/>
                    </w:rPr>
                    <w:t>4</w:t>
                  </w:r>
                </w:p>
              </w:tc>
              <w:tc>
                <w:tcPr>
                  <w:tcW w:w="315" w:type="pct"/>
                  <w:vMerge w:val="continue"/>
                  <w:noWrap w:val="0"/>
                  <w:vAlign w:val="center"/>
                </w:tcPr>
                <w:p w14:paraId="2CE29F18">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794E2FCB">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14</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6274A0C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福兴整治k0+000右岸</w:t>
                  </w:r>
                </w:p>
              </w:tc>
              <w:tc>
                <w:tcPr>
                  <w:tcW w:w="733" w:type="pct"/>
                  <w:noWrap w:val="0"/>
                  <w:vAlign w:val="center"/>
                </w:tcPr>
                <w:p w14:paraId="75A4D26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990" w:type="pct"/>
                  <w:noWrap w:val="0"/>
                  <w:vAlign w:val="center"/>
                </w:tcPr>
                <w:p w14:paraId="0BFA9C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2户，约6人</w:t>
                  </w:r>
                </w:p>
              </w:tc>
              <w:tc>
                <w:tcPr>
                  <w:tcW w:w="609" w:type="pct"/>
                  <w:vMerge w:val="continue"/>
                  <w:noWrap w:val="0"/>
                  <w:vAlign w:val="center"/>
                </w:tcPr>
                <w:p w14:paraId="5925350F">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1F8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356" w:type="pct"/>
                  <w:noWrap w:val="0"/>
                  <w:vAlign w:val="center"/>
                </w:tcPr>
                <w:p w14:paraId="49DD2918">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315" w:type="pct"/>
                  <w:vMerge w:val="restart"/>
                  <w:shd w:val="clear" w:color="auto" w:fill="auto"/>
                  <w:noWrap w:val="0"/>
                  <w:vAlign w:val="center"/>
                </w:tcPr>
                <w:p w14:paraId="79EF1BD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石河镇段</w:t>
                  </w:r>
                </w:p>
              </w:tc>
              <w:tc>
                <w:tcPr>
                  <w:tcW w:w="735" w:type="pct"/>
                  <w:shd w:val="clear" w:color="auto" w:fill="auto"/>
                  <w:noWrap w:val="0"/>
                  <w:vAlign w:val="center"/>
                </w:tcPr>
                <w:p w14:paraId="0120A2C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70ED7E0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石0+900左岸</w:t>
                  </w:r>
                </w:p>
              </w:tc>
              <w:tc>
                <w:tcPr>
                  <w:tcW w:w="733" w:type="pct"/>
                  <w:shd w:val="clear" w:color="auto" w:fill="auto"/>
                  <w:noWrap w:val="0"/>
                  <w:vAlign w:val="center"/>
                </w:tcPr>
                <w:p w14:paraId="0BD5B05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35</w:t>
                  </w:r>
                </w:p>
              </w:tc>
              <w:tc>
                <w:tcPr>
                  <w:tcW w:w="990" w:type="pct"/>
                  <w:shd w:val="clear" w:color="auto" w:fill="auto"/>
                  <w:noWrap w:val="0"/>
                  <w:vAlign w:val="center"/>
                </w:tcPr>
                <w:p w14:paraId="3D46E4A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10户，约30人</w:t>
                  </w:r>
                </w:p>
              </w:tc>
              <w:tc>
                <w:tcPr>
                  <w:tcW w:w="609" w:type="pct"/>
                  <w:vMerge w:val="restart"/>
                  <w:noWrap w:val="0"/>
                  <w:vAlign w:val="center"/>
                </w:tcPr>
                <w:p w14:paraId="2B4E0FD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2类声功能区</w:t>
                  </w:r>
                </w:p>
              </w:tc>
            </w:tr>
            <w:tr w14:paraId="6E3C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356" w:type="pct"/>
                  <w:noWrap w:val="0"/>
                  <w:vAlign w:val="center"/>
                </w:tcPr>
                <w:p w14:paraId="519E017C">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315" w:type="pct"/>
                  <w:vMerge w:val="continue"/>
                  <w:noWrap w:val="0"/>
                  <w:vAlign w:val="center"/>
                </w:tcPr>
                <w:p w14:paraId="1474307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01C37384">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01C0F1C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石0+000右岸</w:t>
                  </w:r>
                </w:p>
              </w:tc>
              <w:tc>
                <w:tcPr>
                  <w:tcW w:w="733" w:type="pct"/>
                  <w:shd w:val="clear" w:color="auto" w:fill="auto"/>
                  <w:noWrap w:val="0"/>
                  <w:vAlign w:val="center"/>
                </w:tcPr>
                <w:p w14:paraId="076F025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11</w:t>
                  </w:r>
                </w:p>
              </w:tc>
              <w:tc>
                <w:tcPr>
                  <w:tcW w:w="990" w:type="pct"/>
                  <w:shd w:val="clear" w:color="auto" w:fill="auto"/>
                  <w:noWrap w:val="0"/>
                  <w:vAlign w:val="center"/>
                </w:tcPr>
                <w:p w14:paraId="410BF05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4户，约12人</w:t>
                  </w:r>
                </w:p>
              </w:tc>
              <w:tc>
                <w:tcPr>
                  <w:tcW w:w="609" w:type="pct"/>
                  <w:vMerge w:val="continue"/>
                  <w:noWrap w:val="0"/>
                  <w:vAlign w:val="center"/>
                </w:tcPr>
                <w:p w14:paraId="7432FEAC">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D0F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356" w:type="pct"/>
                  <w:noWrap w:val="0"/>
                  <w:vAlign w:val="center"/>
                </w:tcPr>
                <w:p w14:paraId="28A22097">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315" w:type="pct"/>
                  <w:vMerge w:val="continue"/>
                  <w:noWrap w:val="0"/>
                  <w:vAlign w:val="center"/>
                </w:tcPr>
                <w:p w14:paraId="6FB4C99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2DEDB25E">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7378D04E">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石0+000左岸</w:t>
                  </w:r>
                </w:p>
              </w:tc>
              <w:tc>
                <w:tcPr>
                  <w:tcW w:w="733" w:type="pct"/>
                  <w:shd w:val="clear" w:color="auto" w:fill="auto"/>
                  <w:noWrap w:val="0"/>
                  <w:vAlign w:val="center"/>
                </w:tcPr>
                <w:p w14:paraId="5234069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15</w:t>
                  </w:r>
                </w:p>
              </w:tc>
              <w:tc>
                <w:tcPr>
                  <w:tcW w:w="990" w:type="pct"/>
                  <w:shd w:val="clear" w:color="auto" w:fill="auto"/>
                  <w:noWrap w:val="0"/>
                  <w:vAlign w:val="center"/>
                </w:tcPr>
                <w:p w14:paraId="7A06E4A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15户，约45人</w:t>
                  </w:r>
                </w:p>
              </w:tc>
              <w:tc>
                <w:tcPr>
                  <w:tcW w:w="609" w:type="pct"/>
                  <w:vMerge w:val="continue"/>
                  <w:noWrap w:val="0"/>
                  <w:vAlign w:val="center"/>
                </w:tcPr>
                <w:p w14:paraId="16EC693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21F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356" w:type="pct"/>
                  <w:noWrap w:val="0"/>
                  <w:vAlign w:val="center"/>
                </w:tcPr>
                <w:p w14:paraId="334A82A0">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315" w:type="pct"/>
                  <w:vMerge w:val="continue"/>
                  <w:noWrap w:val="0"/>
                  <w:vAlign w:val="center"/>
                </w:tcPr>
                <w:p w14:paraId="2D7E0EC5">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32310BD4">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591751A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石0+800左岸</w:t>
                  </w:r>
                </w:p>
              </w:tc>
              <w:tc>
                <w:tcPr>
                  <w:tcW w:w="733" w:type="pct"/>
                  <w:shd w:val="clear" w:color="auto" w:fill="auto"/>
                  <w:noWrap w:val="0"/>
                  <w:vAlign w:val="center"/>
                </w:tcPr>
                <w:p w14:paraId="7C8ABFC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32</w:t>
                  </w:r>
                </w:p>
              </w:tc>
              <w:tc>
                <w:tcPr>
                  <w:tcW w:w="990" w:type="pct"/>
                  <w:shd w:val="clear" w:color="auto" w:fill="auto"/>
                  <w:noWrap w:val="0"/>
                  <w:vAlign w:val="center"/>
                </w:tcPr>
                <w:p w14:paraId="7EA0F92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5户，约15人</w:t>
                  </w:r>
                </w:p>
              </w:tc>
              <w:tc>
                <w:tcPr>
                  <w:tcW w:w="609" w:type="pct"/>
                  <w:vMerge w:val="continue"/>
                  <w:noWrap w:val="0"/>
                  <w:vAlign w:val="center"/>
                </w:tcPr>
                <w:p w14:paraId="1487218A">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F5F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356" w:type="pct"/>
                  <w:noWrap w:val="0"/>
                  <w:vAlign w:val="center"/>
                </w:tcPr>
                <w:p w14:paraId="6B329E55">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315" w:type="pct"/>
                  <w:vMerge w:val="continue"/>
                  <w:noWrap w:val="0"/>
                  <w:vAlign w:val="center"/>
                </w:tcPr>
                <w:p w14:paraId="4F00DAF8">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0E6631A7">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7AB5CED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石1+550右岸</w:t>
                  </w:r>
                </w:p>
              </w:tc>
              <w:tc>
                <w:tcPr>
                  <w:tcW w:w="733" w:type="pct"/>
                  <w:shd w:val="clear" w:color="auto" w:fill="auto"/>
                  <w:noWrap w:val="0"/>
                  <w:vAlign w:val="center"/>
                </w:tcPr>
                <w:p w14:paraId="5658E0AA">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50</w:t>
                  </w:r>
                </w:p>
              </w:tc>
              <w:tc>
                <w:tcPr>
                  <w:tcW w:w="990" w:type="pct"/>
                  <w:shd w:val="clear" w:color="auto" w:fill="auto"/>
                  <w:noWrap w:val="0"/>
                  <w:vAlign w:val="center"/>
                </w:tcPr>
                <w:p w14:paraId="26C4C3C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1户，约3人</w:t>
                  </w:r>
                </w:p>
              </w:tc>
              <w:tc>
                <w:tcPr>
                  <w:tcW w:w="609" w:type="pct"/>
                  <w:vMerge w:val="continue"/>
                  <w:noWrap w:val="0"/>
                  <w:vAlign w:val="center"/>
                </w:tcPr>
                <w:p w14:paraId="2A6FF4E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67AE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356" w:type="pct"/>
                  <w:noWrap w:val="0"/>
                  <w:vAlign w:val="center"/>
                </w:tcPr>
                <w:p w14:paraId="1749B5D5">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315" w:type="pct"/>
                  <w:vMerge w:val="restart"/>
                  <w:shd w:val="clear" w:color="auto" w:fill="auto"/>
                  <w:noWrap w:val="0"/>
                  <w:vAlign w:val="center"/>
                </w:tcPr>
                <w:p w14:paraId="4034B31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双拱场段</w:t>
                  </w:r>
                </w:p>
              </w:tc>
              <w:tc>
                <w:tcPr>
                  <w:tcW w:w="735" w:type="pct"/>
                  <w:shd w:val="clear" w:color="auto" w:fill="auto"/>
                  <w:noWrap w:val="0"/>
                  <w:vAlign w:val="center"/>
                </w:tcPr>
                <w:p w14:paraId="56D8C012">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rPr>
                    <w:t>2#居民点</w:t>
                  </w:r>
                </w:p>
              </w:tc>
              <w:tc>
                <w:tcPr>
                  <w:tcW w:w="1259" w:type="pct"/>
                  <w:shd w:val="clear" w:color="auto" w:fill="auto"/>
                  <w:noWrap w:val="0"/>
                  <w:vAlign w:val="center"/>
                </w:tcPr>
                <w:p w14:paraId="41C3472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双0+550右岸</w:t>
                  </w:r>
                </w:p>
              </w:tc>
              <w:tc>
                <w:tcPr>
                  <w:tcW w:w="733" w:type="pct"/>
                  <w:shd w:val="clear" w:color="auto" w:fill="auto"/>
                  <w:noWrap w:val="0"/>
                  <w:vAlign w:val="center"/>
                </w:tcPr>
                <w:p w14:paraId="61BF6A8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8</w:t>
                  </w:r>
                </w:p>
              </w:tc>
              <w:tc>
                <w:tcPr>
                  <w:tcW w:w="990" w:type="pct"/>
                  <w:shd w:val="clear" w:color="auto" w:fill="auto"/>
                  <w:noWrap w:val="0"/>
                  <w:vAlign w:val="center"/>
                </w:tcPr>
                <w:p w14:paraId="3F76124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80户，约240人</w:t>
                  </w:r>
                </w:p>
              </w:tc>
              <w:tc>
                <w:tcPr>
                  <w:tcW w:w="609" w:type="pct"/>
                  <w:vMerge w:val="continue"/>
                  <w:noWrap w:val="0"/>
                  <w:vAlign w:val="center"/>
                </w:tcPr>
                <w:p w14:paraId="4444BB09">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61A3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356" w:type="pct"/>
                  <w:noWrap w:val="0"/>
                  <w:vAlign w:val="center"/>
                </w:tcPr>
                <w:p w14:paraId="36FCCA3D">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w:t>
                  </w:r>
                </w:p>
              </w:tc>
              <w:tc>
                <w:tcPr>
                  <w:tcW w:w="315" w:type="pct"/>
                  <w:vMerge w:val="continue"/>
                  <w:noWrap w:val="0"/>
                  <w:vAlign w:val="center"/>
                </w:tcPr>
                <w:p w14:paraId="48D83470">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4B2F8AE4">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3134878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双0+550左岸</w:t>
                  </w:r>
                </w:p>
              </w:tc>
              <w:tc>
                <w:tcPr>
                  <w:tcW w:w="733" w:type="pct"/>
                  <w:shd w:val="clear" w:color="auto" w:fill="auto"/>
                  <w:noWrap w:val="0"/>
                  <w:vAlign w:val="center"/>
                </w:tcPr>
                <w:p w14:paraId="5391D43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8</w:t>
                  </w:r>
                </w:p>
              </w:tc>
              <w:tc>
                <w:tcPr>
                  <w:tcW w:w="990" w:type="pct"/>
                  <w:shd w:val="clear" w:color="auto" w:fill="auto"/>
                  <w:noWrap w:val="0"/>
                  <w:vAlign w:val="center"/>
                </w:tcPr>
                <w:p w14:paraId="29CA9D5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70户，约210人</w:t>
                  </w:r>
                </w:p>
              </w:tc>
              <w:tc>
                <w:tcPr>
                  <w:tcW w:w="609" w:type="pct"/>
                  <w:vMerge w:val="continue"/>
                  <w:noWrap w:val="0"/>
                  <w:vAlign w:val="center"/>
                </w:tcPr>
                <w:p w14:paraId="3802CCC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4FF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356" w:type="pct"/>
                  <w:noWrap w:val="0"/>
                  <w:vAlign w:val="center"/>
                </w:tcPr>
                <w:p w14:paraId="702529D0">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c>
                <w:tcPr>
                  <w:tcW w:w="315" w:type="pct"/>
                  <w:vMerge w:val="continue"/>
                  <w:noWrap w:val="0"/>
                  <w:vAlign w:val="center"/>
                </w:tcPr>
                <w:p w14:paraId="7B6C7C89">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10C27A42">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4B7A964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双0+800左岸</w:t>
                  </w:r>
                </w:p>
              </w:tc>
              <w:tc>
                <w:tcPr>
                  <w:tcW w:w="733" w:type="pct"/>
                  <w:shd w:val="clear" w:color="auto" w:fill="auto"/>
                  <w:noWrap w:val="0"/>
                  <w:vAlign w:val="center"/>
                </w:tcPr>
                <w:p w14:paraId="37A6BEFE">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30</w:t>
                  </w:r>
                </w:p>
              </w:tc>
              <w:tc>
                <w:tcPr>
                  <w:tcW w:w="990" w:type="pct"/>
                  <w:shd w:val="clear" w:color="auto" w:fill="auto"/>
                  <w:noWrap w:val="0"/>
                  <w:vAlign w:val="center"/>
                </w:tcPr>
                <w:p w14:paraId="4614153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30户，约90人</w:t>
                  </w:r>
                </w:p>
              </w:tc>
              <w:tc>
                <w:tcPr>
                  <w:tcW w:w="609" w:type="pct"/>
                  <w:vMerge w:val="continue"/>
                  <w:noWrap w:val="0"/>
                  <w:vAlign w:val="center"/>
                </w:tcPr>
                <w:p w14:paraId="66D88E1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0D98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jc w:val="center"/>
              </w:trPr>
              <w:tc>
                <w:tcPr>
                  <w:tcW w:w="356" w:type="pct"/>
                  <w:noWrap w:val="0"/>
                  <w:vAlign w:val="center"/>
                </w:tcPr>
                <w:p w14:paraId="2E2801A5">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315" w:type="pct"/>
                  <w:vMerge w:val="continue"/>
                  <w:noWrap w:val="0"/>
                  <w:vAlign w:val="center"/>
                </w:tcPr>
                <w:p w14:paraId="2187C34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19535BE4">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4396810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双1+150左岸</w:t>
                  </w:r>
                </w:p>
              </w:tc>
              <w:tc>
                <w:tcPr>
                  <w:tcW w:w="733" w:type="pct"/>
                  <w:shd w:val="clear" w:color="auto" w:fill="auto"/>
                  <w:noWrap w:val="0"/>
                  <w:vAlign w:val="center"/>
                </w:tcPr>
                <w:p w14:paraId="28B72F2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28</w:t>
                  </w:r>
                </w:p>
              </w:tc>
              <w:tc>
                <w:tcPr>
                  <w:tcW w:w="990" w:type="pct"/>
                  <w:shd w:val="clear" w:color="auto" w:fill="auto"/>
                  <w:noWrap w:val="0"/>
                  <w:vAlign w:val="center"/>
                </w:tcPr>
                <w:p w14:paraId="4B79F64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15户，约45人</w:t>
                  </w:r>
                </w:p>
              </w:tc>
              <w:tc>
                <w:tcPr>
                  <w:tcW w:w="609" w:type="pct"/>
                  <w:vMerge w:val="continue"/>
                  <w:noWrap w:val="0"/>
                  <w:vAlign w:val="center"/>
                </w:tcPr>
                <w:p w14:paraId="3E4FC8B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32C1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7"/>
                  <w:noWrap w:val="0"/>
                  <w:vAlign w:val="center"/>
                </w:tcPr>
                <w:p w14:paraId="26BF150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r>
            <w:tr w14:paraId="05D1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7479BD8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w:t>
                  </w:r>
                </w:p>
              </w:tc>
              <w:tc>
                <w:tcPr>
                  <w:tcW w:w="315" w:type="pct"/>
                  <w:vMerge w:val="restart"/>
                  <w:shd w:val="clear" w:color="auto" w:fill="auto"/>
                  <w:noWrap w:val="0"/>
                  <w:vAlign w:val="center"/>
                </w:tcPr>
                <w:p w14:paraId="0330B41E">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二郎段</w:t>
                  </w:r>
                </w:p>
              </w:tc>
              <w:tc>
                <w:tcPr>
                  <w:tcW w:w="735" w:type="pct"/>
                  <w:shd w:val="clear" w:color="auto" w:fill="auto"/>
                  <w:noWrap w:val="0"/>
                  <w:vAlign w:val="center"/>
                </w:tcPr>
                <w:p w14:paraId="34E2BA6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4B59CC7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二郎整治k1+400右岸</w:t>
                  </w:r>
                </w:p>
              </w:tc>
              <w:tc>
                <w:tcPr>
                  <w:tcW w:w="733" w:type="pct"/>
                  <w:shd w:val="clear" w:color="auto" w:fill="auto"/>
                  <w:noWrap w:val="0"/>
                  <w:vAlign w:val="center"/>
                </w:tcPr>
                <w:p w14:paraId="7DC96F2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8</w:t>
                  </w:r>
                </w:p>
              </w:tc>
              <w:tc>
                <w:tcPr>
                  <w:tcW w:w="990" w:type="pct"/>
                  <w:shd w:val="clear" w:color="auto" w:fill="auto"/>
                  <w:noWrap w:val="0"/>
                  <w:vAlign w:val="center"/>
                </w:tcPr>
                <w:p w14:paraId="5A1E58A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25户，约75人</w:t>
                  </w:r>
                </w:p>
              </w:tc>
              <w:tc>
                <w:tcPr>
                  <w:tcW w:w="609" w:type="pct"/>
                  <w:vMerge w:val="restart"/>
                  <w:noWrap w:val="0"/>
                  <w:vAlign w:val="center"/>
                </w:tcPr>
                <w:p w14:paraId="7CDA9503">
                  <w:pPr>
                    <w:pStyle w:val="23"/>
                    <w:keepNext w:val="0"/>
                    <w:keepLines w:val="0"/>
                    <w:pageBreakBefore w:val="0"/>
                    <w:widowControl w:val="0"/>
                    <w:kinsoku w:val="0"/>
                    <w:wordWrap/>
                    <w:overflowPunct w:val="0"/>
                    <w:topLinePunct w:val="0"/>
                    <w:autoSpaceDE w:val="0"/>
                    <w:autoSpaceDN w:val="0"/>
                    <w:bidi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环境空气二类区</w:t>
                  </w:r>
                </w:p>
              </w:tc>
            </w:tr>
            <w:tr w14:paraId="1875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0217A7E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w:t>
                  </w:r>
                </w:p>
              </w:tc>
              <w:tc>
                <w:tcPr>
                  <w:tcW w:w="315" w:type="pct"/>
                  <w:vMerge w:val="continue"/>
                  <w:noWrap w:val="0"/>
                  <w:vAlign w:val="center"/>
                </w:tcPr>
                <w:p w14:paraId="1BCA644F">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39830BBF">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5F94DE8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二郎整治k1+100右岸</w:t>
                  </w:r>
                </w:p>
              </w:tc>
              <w:tc>
                <w:tcPr>
                  <w:tcW w:w="733" w:type="pct"/>
                  <w:shd w:val="clear" w:color="auto" w:fill="auto"/>
                  <w:noWrap w:val="0"/>
                  <w:vAlign w:val="center"/>
                </w:tcPr>
                <w:p w14:paraId="3872754E">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8</w:t>
                  </w:r>
                </w:p>
              </w:tc>
              <w:tc>
                <w:tcPr>
                  <w:tcW w:w="990" w:type="pct"/>
                  <w:shd w:val="clear" w:color="auto" w:fill="auto"/>
                  <w:noWrap w:val="0"/>
                  <w:vAlign w:val="center"/>
                </w:tcPr>
                <w:p w14:paraId="588D9F8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25户，约75人</w:t>
                  </w:r>
                </w:p>
              </w:tc>
              <w:tc>
                <w:tcPr>
                  <w:tcW w:w="609" w:type="pct"/>
                  <w:vMerge w:val="continue"/>
                  <w:noWrap w:val="0"/>
                  <w:vAlign w:val="center"/>
                </w:tcPr>
                <w:p w14:paraId="706F8267">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3B734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67BAB2E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w:t>
                  </w:r>
                </w:p>
              </w:tc>
              <w:tc>
                <w:tcPr>
                  <w:tcW w:w="315" w:type="pct"/>
                  <w:vMerge w:val="continue"/>
                  <w:noWrap w:val="0"/>
                  <w:vAlign w:val="center"/>
                </w:tcPr>
                <w:p w14:paraId="252006EA">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46B21C09">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5645586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二郎整治k0+800左岸</w:t>
                  </w:r>
                </w:p>
              </w:tc>
              <w:tc>
                <w:tcPr>
                  <w:tcW w:w="733" w:type="pct"/>
                  <w:shd w:val="clear" w:color="auto" w:fill="auto"/>
                  <w:noWrap w:val="0"/>
                  <w:vAlign w:val="center"/>
                </w:tcPr>
                <w:p w14:paraId="34BA20A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13</w:t>
                  </w:r>
                </w:p>
              </w:tc>
              <w:tc>
                <w:tcPr>
                  <w:tcW w:w="990" w:type="pct"/>
                  <w:shd w:val="clear" w:color="auto" w:fill="auto"/>
                  <w:noWrap w:val="0"/>
                  <w:vAlign w:val="center"/>
                </w:tcPr>
                <w:p w14:paraId="31F573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7户，约21人</w:t>
                  </w:r>
                </w:p>
              </w:tc>
              <w:tc>
                <w:tcPr>
                  <w:tcW w:w="609" w:type="pct"/>
                  <w:vMerge w:val="continue"/>
                  <w:noWrap w:val="0"/>
                  <w:vAlign w:val="center"/>
                </w:tcPr>
                <w:p w14:paraId="5C36A20A">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019B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7CDF0EB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w:t>
                  </w:r>
                </w:p>
              </w:tc>
              <w:tc>
                <w:tcPr>
                  <w:tcW w:w="315" w:type="pct"/>
                  <w:vMerge w:val="continue"/>
                  <w:noWrap w:val="0"/>
                  <w:vAlign w:val="center"/>
                </w:tcPr>
                <w:p w14:paraId="6C9C2B38">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237518AE">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4B47903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二郎整治k1+600右岸</w:t>
                  </w:r>
                </w:p>
              </w:tc>
              <w:tc>
                <w:tcPr>
                  <w:tcW w:w="733" w:type="pct"/>
                  <w:shd w:val="clear" w:color="auto" w:fill="auto"/>
                  <w:noWrap w:val="0"/>
                  <w:vAlign w:val="center"/>
                </w:tcPr>
                <w:p w14:paraId="57C63FF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8</w:t>
                  </w:r>
                </w:p>
              </w:tc>
              <w:tc>
                <w:tcPr>
                  <w:tcW w:w="990" w:type="pct"/>
                  <w:shd w:val="clear" w:color="auto" w:fill="auto"/>
                  <w:noWrap w:val="0"/>
                  <w:vAlign w:val="center"/>
                </w:tcPr>
                <w:p w14:paraId="7A439B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15户，约45人</w:t>
                  </w:r>
                </w:p>
              </w:tc>
              <w:tc>
                <w:tcPr>
                  <w:tcW w:w="609" w:type="pct"/>
                  <w:vMerge w:val="continue"/>
                  <w:noWrap w:val="0"/>
                  <w:vAlign w:val="center"/>
                </w:tcPr>
                <w:p w14:paraId="15F1F22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52CDC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5FD42E0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w:t>
                  </w:r>
                </w:p>
              </w:tc>
              <w:tc>
                <w:tcPr>
                  <w:tcW w:w="315" w:type="pct"/>
                  <w:vMerge w:val="continue"/>
                  <w:noWrap w:val="0"/>
                  <w:vAlign w:val="center"/>
                </w:tcPr>
                <w:p w14:paraId="30DE21B9">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3751A1BC">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1C39074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二郎整治k1+400左岸</w:t>
                  </w:r>
                </w:p>
              </w:tc>
              <w:tc>
                <w:tcPr>
                  <w:tcW w:w="733" w:type="pct"/>
                  <w:shd w:val="clear" w:color="auto" w:fill="auto"/>
                  <w:noWrap w:val="0"/>
                  <w:vAlign w:val="center"/>
                </w:tcPr>
                <w:p w14:paraId="3B66C1E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20</w:t>
                  </w:r>
                </w:p>
              </w:tc>
              <w:tc>
                <w:tcPr>
                  <w:tcW w:w="990" w:type="pct"/>
                  <w:shd w:val="clear" w:color="auto" w:fill="auto"/>
                  <w:noWrap w:val="0"/>
                  <w:vAlign w:val="center"/>
                </w:tcPr>
                <w:p w14:paraId="7CE46C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2户，约6人</w:t>
                  </w:r>
                </w:p>
              </w:tc>
              <w:tc>
                <w:tcPr>
                  <w:tcW w:w="609" w:type="pct"/>
                  <w:vMerge w:val="continue"/>
                  <w:noWrap w:val="0"/>
                  <w:vAlign w:val="center"/>
                </w:tcPr>
                <w:p w14:paraId="2A86C71D">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E12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61306FB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w:t>
                  </w:r>
                </w:p>
              </w:tc>
              <w:tc>
                <w:tcPr>
                  <w:tcW w:w="315" w:type="pct"/>
                  <w:vMerge w:val="continue"/>
                  <w:noWrap w:val="0"/>
                  <w:vAlign w:val="center"/>
                </w:tcPr>
                <w:p w14:paraId="5A76F818">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7CC0F00E">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05BACEFA">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二郎整治k1+800右岸</w:t>
                  </w:r>
                </w:p>
              </w:tc>
              <w:tc>
                <w:tcPr>
                  <w:tcW w:w="733" w:type="pct"/>
                  <w:shd w:val="clear" w:color="auto" w:fill="auto"/>
                  <w:noWrap w:val="0"/>
                  <w:vAlign w:val="center"/>
                </w:tcPr>
                <w:p w14:paraId="4B237AB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30</w:t>
                  </w:r>
                </w:p>
              </w:tc>
              <w:tc>
                <w:tcPr>
                  <w:tcW w:w="990" w:type="pct"/>
                  <w:shd w:val="clear" w:color="auto" w:fill="auto"/>
                  <w:noWrap w:val="0"/>
                  <w:vAlign w:val="center"/>
                </w:tcPr>
                <w:p w14:paraId="1F4F61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10户，约30人</w:t>
                  </w:r>
                </w:p>
              </w:tc>
              <w:tc>
                <w:tcPr>
                  <w:tcW w:w="609" w:type="pct"/>
                  <w:vMerge w:val="continue"/>
                  <w:noWrap w:val="0"/>
                  <w:vAlign w:val="center"/>
                </w:tcPr>
                <w:p w14:paraId="4ECFD77C">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0CAF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32B64F0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7</w:t>
                  </w:r>
                </w:p>
              </w:tc>
              <w:tc>
                <w:tcPr>
                  <w:tcW w:w="315" w:type="pct"/>
                  <w:vMerge w:val="continue"/>
                  <w:noWrap w:val="0"/>
                  <w:vAlign w:val="center"/>
                </w:tcPr>
                <w:p w14:paraId="4FDBB313">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5A7BDA7A">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668CD79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二郎整治k0+000左岸</w:t>
                  </w:r>
                </w:p>
              </w:tc>
              <w:tc>
                <w:tcPr>
                  <w:tcW w:w="733" w:type="pct"/>
                  <w:noWrap w:val="0"/>
                  <w:vAlign w:val="center"/>
                </w:tcPr>
                <w:p w14:paraId="119D6EF1">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990" w:type="pct"/>
                  <w:shd w:val="clear" w:color="auto" w:fill="auto"/>
                  <w:noWrap w:val="0"/>
                  <w:vAlign w:val="center"/>
                </w:tcPr>
                <w:p w14:paraId="5D5D78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4户，约12人</w:t>
                  </w:r>
                </w:p>
              </w:tc>
              <w:tc>
                <w:tcPr>
                  <w:tcW w:w="609" w:type="pct"/>
                  <w:vMerge w:val="continue"/>
                  <w:noWrap w:val="0"/>
                  <w:vAlign w:val="center"/>
                </w:tcPr>
                <w:p w14:paraId="2AE8FD8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5D105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26E284F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8</w:t>
                  </w:r>
                </w:p>
              </w:tc>
              <w:tc>
                <w:tcPr>
                  <w:tcW w:w="315" w:type="pct"/>
                  <w:vMerge w:val="continue"/>
                  <w:noWrap w:val="0"/>
                  <w:vAlign w:val="center"/>
                </w:tcPr>
                <w:p w14:paraId="2D67EFFC">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510375E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16</w:t>
                  </w:r>
                  <w:r>
                    <w:rPr>
                      <w:rFonts w:hint="default" w:ascii="Times New Roman" w:hAnsi="Times New Roman" w:cs="Times New Roman"/>
                      <w:color w:val="auto"/>
                      <w:sz w:val="21"/>
                      <w:szCs w:val="21"/>
                      <w:highlight w:val="none"/>
                    </w:rPr>
                    <w:t>#居民点</w:t>
                  </w:r>
                </w:p>
              </w:tc>
              <w:tc>
                <w:tcPr>
                  <w:tcW w:w="1259" w:type="pct"/>
                  <w:noWrap w:val="0"/>
                  <w:vAlign w:val="center"/>
                </w:tcPr>
                <w:p w14:paraId="1E8AD7A2">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二郎整治k0+000右岸</w:t>
                  </w:r>
                </w:p>
              </w:tc>
              <w:tc>
                <w:tcPr>
                  <w:tcW w:w="733" w:type="pct"/>
                  <w:noWrap w:val="0"/>
                  <w:vAlign w:val="center"/>
                </w:tcPr>
                <w:p w14:paraId="2D2CB6D3">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110</w:t>
                  </w:r>
                </w:p>
              </w:tc>
              <w:tc>
                <w:tcPr>
                  <w:tcW w:w="990" w:type="pct"/>
                  <w:noWrap w:val="0"/>
                  <w:vAlign w:val="center"/>
                </w:tcPr>
                <w:p w14:paraId="7B34F1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3户，约9人</w:t>
                  </w:r>
                </w:p>
              </w:tc>
              <w:tc>
                <w:tcPr>
                  <w:tcW w:w="609" w:type="pct"/>
                  <w:vMerge w:val="continue"/>
                  <w:noWrap w:val="0"/>
                  <w:vAlign w:val="center"/>
                </w:tcPr>
                <w:p w14:paraId="48807030">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8B1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15B1F60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9</w:t>
                  </w:r>
                </w:p>
              </w:tc>
              <w:tc>
                <w:tcPr>
                  <w:tcW w:w="315" w:type="pct"/>
                  <w:vMerge w:val="continue"/>
                  <w:noWrap w:val="0"/>
                  <w:vAlign w:val="center"/>
                </w:tcPr>
                <w:p w14:paraId="3471E4EA">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6F7CAEF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17</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59143A8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二郎整治k0+000右岸</w:t>
                  </w:r>
                </w:p>
              </w:tc>
              <w:tc>
                <w:tcPr>
                  <w:tcW w:w="733" w:type="pct"/>
                  <w:noWrap w:val="0"/>
                  <w:vAlign w:val="center"/>
                </w:tcPr>
                <w:p w14:paraId="39E35069">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990" w:type="pct"/>
                  <w:noWrap w:val="0"/>
                  <w:vAlign w:val="center"/>
                </w:tcPr>
                <w:p w14:paraId="121FB1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30户，约90人</w:t>
                  </w:r>
                </w:p>
              </w:tc>
              <w:tc>
                <w:tcPr>
                  <w:tcW w:w="609" w:type="pct"/>
                  <w:vMerge w:val="continue"/>
                  <w:noWrap w:val="0"/>
                  <w:vAlign w:val="center"/>
                </w:tcPr>
                <w:p w14:paraId="3896EB7A">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B08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146551E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10</w:t>
                  </w:r>
                </w:p>
              </w:tc>
              <w:tc>
                <w:tcPr>
                  <w:tcW w:w="315" w:type="pct"/>
                  <w:vMerge w:val="continue"/>
                  <w:noWrap w:val="0"/>
                  <w:vAlign w:val="center"/>
                </w:tcPr>
                <w:p w14:paraId="797F0FE1">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7577226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18</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3415349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二郎整治k0+400左岸</w:t>
                  </w:r>
                </w:p>
              </w:tc>
              <w:tc>
                <w:tcPr>
                  <w:tcW w:w="733" w:type="pct"/>
                  <w:noWrap w:val="0"/>
                  <w:vAlign w:val="center"/>
                </w:tcPr>
                <w:p w14:paraId="4A8B9AC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c>
                <w:tcPr>
                  <w:tcW w:w="990" w:type="pct"/>
                  <w:noWrap w:val="0"/>
                  <w:vAlign w:val="center"/>
                </w:tcPr>
                <w:p w14:paraId="490A0F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32户，约96人</w:t>
                  </w:r>
                </w:p>
              </w:tc>
              <w:tc>
                <w:tcPr>
                  <w:tcW w:w="609" w:type="pct"/>
                  <w:vMerge w:val="continue"/>
                  <w:noWrap w:val="0"/>
                  <w:vAlign w:val="center"/>
                </w:tcPr>
                <w:p w14:paraId="2607165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6B1D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7358C5B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11</w:t>
                  </w:r>
                </w:p>
              </w:tc>
              <w:tc>
                <w:tcPr>
                  <w:tcW w:w="315" w:type="pct"/>
                  <w:vMerge w:val="continue"/>
                  <w:noWrap w:val="0"/>
                  <w:vAlign w:val="center"/>
                </w:tcPr>
                <w:p w14:paraId="4974C25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05B89B2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19</w:t>
                  </w:r>
                  <w:r>
                    <w:rPr>
                      <w:rFonts w:hint="default" w:ascii="Times New Roman" w:hAnsi="Times New Roman" w:cs="Times New Roman"/>
                      <w:color w:val="auto"/>
                      <w:sz w:val="21"/>
                      <w:szCs w:val="21"/>
                      <w:highlight w:val="none"/>
                    </w:rPr>
                    <w:t>#居民点</w:t>
                  </w:r>
                </w:p>
              </w:tc>
              <w:tc>
                <w:tcPr>
                  <w:tcW w:w="1259" w:type="pct"/>
                  <w:noWrap w:val="0"/>
                  <w:vAlign w:val="center"/>
                </w:tcPr>
                <w:p w14:paraId="66B45A67">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二郎整治k0+400右岸</w:t>
                  </w:r>
                </w:p>
              </w:tc>
              <w:tc>
                <w:tcPr>
                  <w:tcW w:w="733" w:type="pct"/>
                  <w:noWrap w:val="0"/>
                  <w:vAlign w:val="center"/>
                </w:tcPr>
                <w:p w14:paraId="4227BED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114</w:t>
                  </w:r>
                </w:p>
              </w:tc>
              <w:tc>
                <w:tcPr>
                  <w:tcW w:w="990" w:type="pct"/>
                  <w:shd w:val="clear" w:color="auto" w:fill="auto"/>
                  <w:noWrap w:val="0"/>
                  <w:vAlign w:val="center"/>
                </w:tcPr>
                <w:p w14:paraId="1A786C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3户，约9人</w:t>
                  </w:r>
                </w:p>
              </w:tc>
              <w:tc>
                <w:tcPr>
                  <w:tcW w:w="609" w:type="pct"/>
                  <w:vMerge w:val="continue"/>
                  <w:noWrap w:val="0"/>
                  <w:vAlign w:val="center"/>
                </w:tcPr>
                <w:p w14:paraId="004CAE6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C4B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25E220D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12</w:t>
                  </w:r>
                </w:p>
              </w:tc>
              <w:tc>
                <w:tcPr>
                  <w:tcW w:w="315" w:type="pct"/>
                  <w:vMerge w:val="continue"/>
                  <w:noWrap w:val="0"/>
                  <w:vAlign w:val="center"/>
                </w:tcPr>
                <w:p w14:paraId="7D311631">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25CA9C7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44B8867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二郎整治k0+600右岸</w:t>
                  </w:r>
                </w:p>
              </w:tc>
              <w:tc>
                <w:tcPr>
                  <w:tcW w:w="733" w:type="pct"/>
                  <w:noWrap w:val="0"/>
                  <w:vAlign w:val="center"/>
                </w:tcPr>
                <w:p w14:paraId="4438440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440</w:t>
                  </w:r>
                </w:p>
              </w:tc>
              <w:tc>
                <w:tcPr>
                  <w:tcW w:w="990" w:type="pct"/>
                  <w:noWrap w:val="0"/>
                  <w:vAlign w:val="center"/>
                </w:tcPr>
                <w:p w14:paraId="6FAEC6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3户，约9人</w:t>
                  </w:r>
                </w:p>
              </w:tc>
              <w:tc>
                <w:tcPr>
                  <w:tcW w:w="609" w:type="pct"/>
                  <w:vMerge w:val="continue"/>
                  <w:noWrap w:val="0"/>
                  <w:vAlign w:val="center"/>
                </w:tcPr>
                <w:p w14:paraId="61656BD7">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6E03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0EE91F8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13</w:t>
                  </w:r>
                </w:p>
              </w:tc>
              <w:tc>
                <w:tcPr>
                  <w:tcW w:w="315" w:type="pct"/>
                  <w:vMerge w:val="continue"/>
                  <w:noWrap w:val="0"/>
                  <w:vAlign w:val="center"/>
                </w:tcPr>
                <w:p w14:paraId="733E579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17332D2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21</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1F1FD0B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二郎整治k0+800左岸</w:t>
                  </w:r>
                </w:p>
              </w:tc>
              <w:tc>
                <w:tcPr>
                  <w:tcW w:w="733" w:type="pct"/>
                  <w:noWrap w:val="0"/>
                  <w:vAlign w:val="center"/>
                </w:tcPr>
                <w:p w14:paraId="78A3DCF0">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990" w:type="pct"/>
                  <w:noWrap w:val="0"/>
                  <w:vAlign w:val="center"/>
                </w:tcPr>
                <w:p w14:paraId="40FEDD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8户，约2人</w:t>
                  </w:r>
                </w:p>
              </w:tc>
              <w:tc>
                <w:tcPr>
                  <w:tcW w:w="609" w:type="pct"/>
                  <w:vMerge w:val="continue"/>
                  <w:noWrap w:val="0"/>
                  <w:vAlign w:val="center"/>
                </w:tcPr>
                <w:p w14:paraId="2B70D465">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651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04E2D39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14</w:t>
                  </w:r>
                </w:p>
              </w:tc>
              <w:tc>
                <w:tcPr>
                  <w:tcW w:w="315" w:type="pct"/>
                  <w:vMerge w:val="continue"/>
                  <w:noWrap w:val="0"/>
                  <w:vAlign w:val="center"/>
                </w:tcPr>
                <w:p w14:paraId="22B5B747">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44EFB40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22</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453B328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二郎整治k1+400左岸</w:t>
                  </w:r>
                </w:p>
              </w:tc>
              <w:tc>
                <w:tcPr>
                  <w:tcW w:w="733" w:type="pct"/>
                  <w:noWrap w:val="0"/>
                  <w:vAlign w:val="center"/>
                </w:tcPr>
                <w:p w14:paraId="7B29A885">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156</w:t>
                  </w:r>
                </w:p>
              </w:tc>
              <w:tc>
                <w:tcPr>
                  <w:tcW w:w="990" w:type="pct"/>
                  <w:noWrap w:val="0"/>
                  <w:vAlign w:val="center"/>
                </w:tcPr>
                <w:p w14:paraId="47FC4D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11户，约33人</w:t>
                  </w:r>
                </w:p>
              </w:tc>
              <w:tc>
                <w:tcPr>
                  <w:tcW w:w="609" w:type="pct"/>
                  <w:vMerge w:val="continue"/>
                  <w:noWrap w:val="0"/>
                  <w:vAlign w:val="center"/>
                </w:tcPr>
                <w:p w14:paraId="1FEB1BB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290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0FBFF8C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15</w:t>
                  </w:r>
                </w:p>
              </w:tc>
              <w:tc>
                <w:tcPr>
                  <w:tcW w:w="315" w:type="pct"/>
                  <w:vMerge w:val="continue"/>
                  <w:noWrap w:val="0"/>
                  <w:vAlign w:val="center"/>
                </w:tcPr>
                <w:p w14:paraId="55918C73">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31D44C4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23</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0DE6E55A">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二郎整治k1+400右岸</w:t>
                  </w:r>
                </w:p>
              </w:tc>
              <w:tc>
                <w:tcPr>
                  <w:tcW w:w="733" w:type="pct"/>
                  <w:noWrap w:val="0"/>
                  <w:vAlign w:val="center"/>
                </w:tcPr>
                <w:p w14:paraId="4761B7A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990" w:type="pct"/>
                  <w:noWrap w:val="0"/>
                  <w:vAlign w:val="center"/>
                </w:tcPr>
                <w:p w14:paraId="17E3DE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50户，约150人</w:t>
                  </w:r>
                </w:p>
              </w:tc>
              <w:tc>
                <w:tcPr>
                  <w:tcW w:w="609" w:type="pct"/>
                  <w:vMerge w:val="continue"/>
                  <w:noWrap w:val="0"/>
                  <w:vAlign w:val="center"/>
                </w:tcPr>
                <w:p w14:paraId="1A1EA02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3BBC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607562E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16</w:t>
                  </w:r>
                </w:p>
              </w:tc>
              <w:tc>
                <w:tcPr>
                  <w:tcW w:w="315" w:type="pct"/>
                  <w:vMerge w:val="continue"/>
                  <w:noWrap w:val="0"/>
                  <w:vAlign w:val="center"/>
                </w:tcPr>
                <w:p w14:paraId="18BC0468">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17CBB68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24</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5C9AA45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二郎整治k2+000左岸</w:t>
                  </w:r>
                </w:p>
              </w:tc>
              <w:tc>
                <w:tcPr>
                  <w:tcW w:w="733" w:type="pct"/>
                  <w:noWrap w:val="0"/>
                  <w:vAlign w:val="center"/>
                </w:tcPr>
                <w:p w14:paraId="345540B5">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w:t>
                  </w:r>
                </w:p>
              </w:tc>
              <w:tc>
                <w:tcPr>
                  <w:tcW w:w="990" w:type="pct"/>
                  <w:noWrap w:val="0"/>
                  <w:vAlign w:val="center"/>
                </w:tcPr>
                <w:p w14:paraId="19FC7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25户，约75人</w:t>
                  </w:r>
                </w:p>
              </w:tc>
              <w:tc>
                <w:tcPr>
                  <w:tcW w:w="609" w:type="pct"/>
                  <w:vMerge w:val="continue"/>
                  <w:noWrap w:val="0"/>
                  <w:vAlign w:val="center"/>
                </w:tcPr>
                <w:p w14:paraId="03FE7D5A">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3CB7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104EE9E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17</w:t>
                  </w:r>
                </w:p>
              </w:tc>
              <w:tc>
                <w:tcPr>
                  <w:tcW w:w="315" w:type="pct"/>
                  <w:vMerge w:val="continue"/>
                  <w:noWrap w:val="0"/>
                  <w:vAlign w:val="center"/>
                </w:tcPr>
                <w:p w14:paraId="2A76F0C8">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69398E8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25</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5301498E">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二郎整治k2+400左岸</w:t>
                  </w:r>
                </w:p>
              </w:tc>
              <w:tc>
                <w:tcPr>
                  <w:tcW w:w="733" w:type="pct"/>
                  <w:noWrap w:val="0"/>
                  <w:vAlign w:val="center"/>
                </w:tcPr>
                <w:p w14:paraId="6CAC8B4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95</w:t>
                  </w:r>
                </w:p>
              </w:tc>
              <w:tc>
                <w:tcPr>
                  <w:tcW w:w="990" w:type="pct"/>
                  <w:noWrap w:val="0"/>
                  <w:vAlign w:val="center"/>
                </w:tcPr>
                <w:p w14:paraId="2AC678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15户，约45人</w:t>
                  </w:r>
                </w:p>
              </w:tc>
              <w:tc>
                <w:tcPr>
                  <w:tcW w:w="609" w:type="pct"/>
                  <w:vMerge w:val="continue"/>
                  <w:noWrap w:val="0"/>
                  <w:vAlign w:val="center"/>
                </w:tcPr>
                <w:p w14:paraId="6DDA31E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937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16D0B6D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18</w:t>
                  </w:r>
                </w:p>
              </w:tc>
              <w:tc>
                <w:tcPr>
                  <w:tcW w:w="315" w:type="pct"/>
                  <w:vMerge w:val="continue"/>
                  <w:noWrap w:val="0"/>
                  <w:vAlign w:val="center"/>
                </w:tcPr>
                <w:p w14:paraId="444C4AD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048438F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26</w:t>
                  </w:r>
                  <w:r>
                    <w:rPr>
                      <w:rFonts w:hint="default" w:ascii="Times New Roman" w:hAnsi="Times New Roman" w:cs="Times New Roman"/>
                      <w:color w:val="auto"/>
                      <w:sz w:val="21"/>
                      <w:szCs w:val="21"/>
                      <w:highlight w:val="none"/>
                    </w:rPr>
                    <w:t>#居民点</w:t>
                  </w:r>
                </w:p>
              </w:tc>
              <w:tc>
                <w:tcPr>
                  <w:tcW w:w="1259" w:type="pct"/>
                  <w:noWrap w:val="0"/>
                  <w:vAlign w:val="center"/>
                </w:tcPr>
                <w:p w14:paraId="7FFD37A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二郎整治k2+400右岸</w:t>
                  </w:r>
                </w:p>
              </w:tc>
              <w:tc>
                <w:tcPr>
                  <w:tcW w:w="733" w:type="pct"/>
                  <w:noWrap w:val="0"/>
                  <w:vAlign w:val="center"/>
                </w:tcPr>
                <w:p w14:paraId="4EE59C67">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160</w:t>
                  </w:r>
                </w:p>
              </w:tc>
              <w:tc>
                <w:tcPr>
                  <w:tcW w:w="990" w:type="pct"/>
                  <w:noWrap w:val="0"/>
                  <w:vAlign w:val="center"/>
                </w:tcPr>
                <w:p w14:paraId="02B130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8户，约24人</w:t>
                  </w:r>
                </w:p>
              </w:tc>
              <w:tc>
                <w:tcPr>
                  <w:tcW w:w="609" w:type="pct"/>
                  <w:vMerge w:val="continue"/>
                  <w:noWrap w:val="0"/>
                  <w:vAlign w:val="center"/>
                </w:tcPr>
                <w:p w14:paraId="42EF0FF9">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86A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7AE3FB8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19</w:t>
                  </w:r>
                </w:p>
              </w:tc>
              <w:tc>
                <w:tcPr>
                  <w:tcW w:w="315" w:type="pct"/>
                  <w:vMerge w:val="continue"/>
                  <w:noWrap w:val="0"/>
                  <w:vAlign w:val="center"/>
                </w:tcPr>
                <w:p w14:paraId="0FFACD9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6381582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27</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480FEB9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二郎整治k2+400左岸</w:t>
                  </w:r>
                </w:p>
              </w:tc>
              <w:tc>
                <w:tcPr>
                  <w:tcW w:w="733" w:type="pct"/>
                  <w:noWrap w:val="0"/>
                  <w:vAlign w:val="center"/>
                </w:tcPr>
                <w:p w14:paraId="27D95777">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288</w:t>
                  </w:r>
                </w:p>
              </w:tc>
              <w:tc>
                <w:tcPr>
                  <w:tcW w:w="990" w:type="pct"/>
                  <w:noWrap w:val="0"/>
                  <w:vAlign w:val="center"/>
                </w:tcPr>
                <w:p w14:paraId="7AA77D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32户，约96人</w:t>
                  </w:r>
                </w:p>
              </w:tc>
              <w:tc>
                <w:tcPr>
                  <w:tcW w:w="609" w:type="pct"/>
                  <w:vMerge w:val="continue"/>
                  <w:noWrap w:val="0"/>
                  <w:vAlign w:val="center"/>
                </w:tcPr>
                <w:p w14:paraId="45D727F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48D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0718699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20</w:t>
                  </w:r>
                </w:p>
              </w:tc>
              <w:tc>
                <w:tcPr>
                  <w:tcW w:w="315" w:type="pct"/>
                  <w:vMerge w:val="continue"/>
                  <w:noWrap w:val="0"/>
                  <w:vAlign w:val="center"/>
                </w:tcPr>
                <w:p w14:paraId="7FF8DBDD">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57F95D52">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28</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134CD99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二郎整治k2+800左岸</w:t>
                  </w:r>
                </w:p>
              </w:tc>
              <w:tc>
                <w:tcPr>
                  <w:tcW w:w="733" w:type="pct"/>
                  <w:noWrap w:val="0"/>
                  <w:vAlign w:val="center"/>
                </w:tcPr>
                <w:p w14:paraId="199FA471">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95</w:t>
                  </w:r>
                </w:p>
              </w:tc>
              <w:tc>
                <w:tcPr>
                  <w:tcW w:w="990" w:type="pct"/>
                  <w:noWrap w:val="0"/>
                  <w:vAlign w:val="center"/>
                </w:tcPr>
                <w:p w14:paraId="2EAADF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10户，约30人</w:t>
                  </w:r>
                </w:p>
              </w:tc>
              <w:tc>
                <w:tcPr>
                  <w:tcW w:w="609" w:type="pct"/>
                  <w:vMerge w:val="continue"/>
                  <w:noWrap w:val="0"/>
                  <w:vAlign w:val="center"/>
                </w:tcPr>
                <w:p w14:paraId="7BC97323">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3820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55C70B2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21</w:t>
                  </w:r>
                </w:p>
              </w:tc>
              <w:tc>
                <w:tcPr>
                  <w:tcW w:w="315" w:type="pct"/>
                  <w:vMerge w:val="continue"/>
                  <w:noWrap w:val="0"/>
                  <w:vAlign w:val="center"/>
                </w:tcPr>
                <w:p w14:paraId="73A8D02A">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6D15F8C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29</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5EB00B82">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二郎整治k3+200左岸</w:t>
                  </w:r>
                </w:p>
              </w:tc>
              <w:tc>
                <w:tcPr>
                  <w:tcW w:w="733" w:type="pct"/>
                  <w:noWrap w:val="0"/>
                  <w:vAlign w:val="center"/>
                </w:tcPr>
                <w:p w14:paraId="0583C5E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70</w:t>
                  </w:r>
                </w:p>
              </w:tc>
              <w:tc>
                <w:tcPr>
                  <w:tcW w:w="990" w:type="pct"/>
                  <w:noWrap w:val="0"/>
                  <w:vAlign w:val="center"/>
                </w:tcPr>
                <w:p w14:paraId="10621E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6户，约18人</w:t>
                  </w:r>
                </w:p>
              </w:tc>
              <w:tc>
                <w:tcPr>
                  <w:tcW w:w="609" w:type="pct"/>
                  <w:vMerge w:val="continue"/>
                  <w:noWrap w:val="0"/>
                  <w:vAlign w:val="center"/>
                </w:tcPr>
                <w:p w14:paraId="7E87E95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60B7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79EDC6A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22</w:t>
                  </w:r>
                </w:p>
              </w:tc>
              <w:tc>
                <w:tcPr>
                  <w:tcW w:w="315" w:type="pct"/>
                  <w:vMerge w:val="continue"/>
                  <w:noWrap w:val="0"/>
                  <w:vAlign w:val="center"/>
                </w:tcPr>
                <w:p w14:paraId="160D7155">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00BCDD6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#居民点</w:t>
                  </w:r>
                </w:p>
              </w:tc>
              <w:tc>
                <w:tcPr>
                  <w:tcW w:w="1259" w:type="pct"/>
                  <w:noWrap w:val="0"/>
                  <w:vAlign w:val="center"/>
                </w:tcPr>
                <w:p w14:paraId="093D1258">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二郎整治k3+400右岸</w:t>
                  </w:r>
                </w:p>
              </w:tc>
              <w:tc>
                <w:tcPr>
                  <w:tcW w:w="733" w:type="pct"/>
                  <w:noWrap w:val="0"/>
                  <w:vAlign w:val="center"/>
                </w:tcPr>
                <w:p w14:paraId="06E5810F">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160</w:t>
                  </w:r>
                </w:p>
              </w:tc>
              <w:tc>
                <w:tcPr>
                  <w:tcW w:w="990" w:type="pct"/>
                  <w:noWrap w:val="0"/>
                  <w:vAlign w:val="center"/>
                </w:tcPr>
                <w:p w14:paraId="6C24D9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5户，约15人</w:t>
                  </w:r>
                </w:p>
              </w:tc>
              <w:tc>
                <w:tcPr>
                  <w:tcW w:w="609" w:type="pct"/>
                  <w:vMerge w:val="continue"/>
                  <w:noWrap w:val="0"/>
                  <w:vAlign w:val="center"/>
                </w:tcPr>
                <w:p w14:paraId="005C4B98">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A91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461B69E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23</w:t>
                  </w:r>
                </w:p>
              </w:tc>
              <w:tc>
                <w:tcPr>
                  <w:tcW w:w="315" w:type="pct"/>
                  <w:vMerge w:val="continue"/>
                  <w:noWrap w:val="0"/>
                  <w:vAlign w:val="center"/>
                </w:tcPr>
                <w:p w14:paraId="32C679D3">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6AEDF7E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31</w:t>
                  </w:r>
                  <w:r>
                    <w:rPr>
                      <w:rFonts w:hint="default" w:ascii="Times New Roman" w:hAnsi="Times New Roman" w:cs="Times New Roman"/>
                      <w:color w:val="auto"/>
                      <w:sz w:val="21"/>
                      <w:szCs w:val="21"/>
                      <w:highlight w:val="none"/>
                    </w:rPr>
                    <w:t>#居民点</w:t>
                  </w:r>
                </w:p>
              </w:tc>
              <w:tc>
                <w:tcPr>
                  <w:tcW w:w="1259" w:type="pct"/>
                  <w:noWrap w:val="0"/>
                  <w:vAlign w:val="center"/>
                </w:tcPr>
                <w:p w14:paraId="1A06D4C1">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二郎整治k3+600右岸</w:t>
                  </w:r>
                </w:p>
              </w:tc>
              <w:tc>
                <w:tcPr>
                  <w:tcW w:w="733" w:type="pct"/>
                  <w:noWrap w:val="0"/>
                  <w:vAlign w:val="center"/>
                </w:tcPr>
                <w:p w14:paraId="291A7C19">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95</w:t>
                  </w:r>
                </w:p>
              </w:tc>
              <w:tc>
                <w:tcPr>
                  <w:tcW w:w="990" w:type="pct"/>
                  <w:noWrap w:val="0"/>
                  <w:vAlign w:val="center"/>
                </w:tcPr>
                <w:p w14:paraId="5C9041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4户，约12人</w:t>
                  </w:r>
                </w:p>
              </w:tc>
              <w:tc>
                <w:tcPr>
                  <w:tcW w:w="609" w:type="pct"/>
                  <w:vMerge w:val="continue"/>
                  <w:noWrap w:val="0"/>
                  <w:vAlign w:val="center"/>
                </w:tcPr>
                <w:p w14:paraId="54A2DD1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69B5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2C3792F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24</w:t>
                  </w:r>
                </w:p>
              </w:tc>
              <w:tc>
                <w:tcPr>
                  <w:tcW w:w="315" w:type="pct"/>
                  <w:vMerge w:val="continue"/>
                  <w:noWrap w:val="0"/>
                  <w:vAlign w:val="center"/>
                </w:tcPr>
                <w:p w14:paraId="3C2815C9">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031DE93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32</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798EBD7A">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二郎整治k3+600右岸</w:t>
                  </w:r>
                </w:p>
              </w:tc>
              <w:tc>
                <w:tcPr>
                  <w:tcW w:w="733" w:type="pct"/>
                  <w:noWrap w:val="0"/>
                  <w:vAlign w:val="center"/>
                </w:tcPr>
                <w:p w14:paraId="028EF7E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990" w:type="pct"/>
                  <w:noWrap w:val="0"/>
                  <w:vAlign w:val="center"/>
                </w:tcPr>
                <w:p w14:paraId="7E3CA9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6户，约18人</w:t>
                  </w:r>
                </w:p>
              </w:tc>
              <w:tc>
                <w:tcPr>
                  <w:tcW w:w="609" w:type="pct"/>
                  <w:vMerge w:val="continue"/>
                  <w:noWrap w:val="0"/>
                  <w:vAlign w:val="center"/>
                </w:tcPr>
                <w:p w14:paraId="485B703C">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D21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230D1BBB">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25</w:t>
                  </w:r>
                </w:p>
              </w:tc>
              <w:tc>
                <w:tcPr>
                  <w:tcW w:w="315" w:type="pct"/>
                  <w:vMerge w:val="continue"/>
                  <w:noWrap w:val="0"/>
                  <w:vAlign w:val="center"/>
                </w:tcPr>
                <w:p w14:paraId="11EFC49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37D5F8CA">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33</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5F04CC4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二郎整治k3+800右岸</w:t>
                  </w:r>
                </w:p>
              </w:tc>
              <w:tc>
                <w:tcPr>
                  <w:tcW w:w="733" w:type="pct"/>
                  <w:noWrap w:val="0"/>
                  <w:vAlign w:val="center"/>
                </w:tcPr>
                <w:p w14:paraId="5C75E833">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110</w:t>
                  </w:r>
                </w:p>
              </w:tc>
              <w:tc>
                <w:tcPr>
                  <w:tcW w:w="990" w:type="pct"/>
                  <w:noWrap w:val="0"/>
                  <w:vAlign w:val="center"/>
                </w:tcPr>
                <w:p w14:paraId="1224B0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6户，约18人</w:t>
                  </w:r>
                </w:p>
              </w:tc>
              <w:tc>
                <w:tcPr>
                  <w:tcW w:w="609" w:type="pct"/>
                  <w:vMerge w:val="continue"/>
                  <w:noWrap w:val="0"/>
                  <w:vAlign w:val="center"/>
                </w:tcPr>
                <w:p w14:paraId="5CA33671">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850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394A2F5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26</w:t>
                  </w:r>
                </w:p>
              </w:tc>
              <w:tc>
                <w:tcPr>
                  <w:tcW w:w="315" w:type="pct"/>
                  <w:vMerge w:val="continue"/>
                  <w:noWrap w:val="0"/>
                  <w:vAlign w:val="center"/>
                </w:tcPr>
                <w:p w14:paraId="2B71956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50120CC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34</w:t>
                  </w:r>
                  <w:r>
                    <w:rPr>
                      <w:rFonts w:hint="default" w:ascii="Times New Roman" w:hAnsi="Times New Roman" w:cs="Times New Roman"/>
                      <w:color w:val="auto"/>
                      <w:sz w:val="21"/>
                      <w:szCs w:val="21"/>
                      <w:highlight w:val="none"/>
                    </w:rPr>
                    <w:t>#居民点</w:t>
                  </w:r>
                </w:p>
              </w:tc>
              <w:tc>
                <w:tcPr>
                  <w:tcW w:w="1259" w:type="pct"/>
                  <w:noWrap w:val="0"/>
                  <w:vAlign w:val="center"/>
                </w:tcPr>
                <w:p w14:paraId="2E4ADBB2">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二郎整治k4+400右岸</w:t>
                  </w:r>
                </w:p>
              </w:tc>
              <w:tc>
                <w:tcPr>
                  <w:tcW w:w="733" w:type="pct"/>
                  <w:noWrap w:val="0"/>
                  <w:vAlign w:val="center"/>
                </w:tcPr>
                <w:p w14:paraId="6F85D020">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990" w:type="pct"/>
                  <w:noWrap w:val="0"/>
                  <w:vAlign w:val="center"/>
                </w:tcPr>
                <w:p w14:paraId="784733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2户，约6人</w:t>
                  </w:r>
                </w:p>
              </w:tc>
              <w:tc>
                <w:tcPr>
                  <w:tcW w:w="609" w:type="pct"/>
                  <w:vMerge w:val="continue"/>
                  <w:noWrap w:val="0"/>
                  <w:vAlign w:val="center"/>
                </w:tcPr>
                <w:p w14:paraId="7184C2F8">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FF6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1C694B8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27</w:t>
                  </w:r>
                </w:p>
              </w:tc>
              <w:tc>
                <w:tcPr>
                  <w:tcW w:w="315" w:type="pct"/>
                  <w:vMerge w:val="continue"/>
                  <w:noWrap w:val="0"/>
                  <w:vAlign w:val="center"/>
                </w:tcPr>
                <w:p w14:paraId="27BDE3DD">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7B0B7DF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35</w:t>
                  </w:r>
                  <w:r>
                    <w:rPr>
                      <w:rFonts w:hint="default" w:ascii="Times New Roman" w:hAnsi="Times New Roman" w:cs="Times New Roman"/>
                      <w:color w:val="auto"/>
                      <w:sz w:val="21"/>
                      <w:szCs w:val="21"/>
                      <w:highlight w:val="none"/>
                    </w:rPr>
                    <w:t>#居民点</w:t>
                  </w:r>
                </w:p>
              </w:tc>
              <w:tc>
                <w:tcPr>
                  <w:tcW w:w="1259" w:type="pct"/>
                  <w:noWrap w:val="0"/>
                  <w:vAlign w:val="center"/>
                </w:tcPr>
                <w:p w14:paraId="7C0A0E3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二郎整治k4+400右岸</w:t>
                  </w:r>
                </w:p>
              </w:tc>
              <w:tc>
                <w:tcPr>
                  <w:tcW w:w="733" w:type="pct"/>
                  <w:noWrap w:val="0"/>
                  <w:vAlign w:val="center"/>
                </w:tcPr>
                <w:p w14:paraId="64E5A09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210</w:t>
                  </w:r>
                </w:p>
              </w:tc>
              <w:tc>
                <w:tcPr>
                  <w:tcW w:w="990" w:type="pct"/>
                  <w:noWrap w:val="0"/>
                  <w:vAlign w:val="center"/>
                </w:tcPr>
                <w:p w14:paraId="7C973F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3户，约9人</w:t>
                  </w:r>
                </w:p>
              </w:tc>
              <w:tc>
                <w:tcPr>
                  <w:tcW w:w="609" w:type="pct"/>
                  <w:vMerge w:val="continue"/>
                  <w:noWrap w:val="0"/>
                  <w:vAlign w:val="center"/>
                </w:tcPr>
                <w:p w14:paraId="5A650B6F">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701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2936DBF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28</w:t>
                  </w:r>
                </w:p>
              </w:tc>
              <w:tc>
                <w:tcPr>
                  <w:tcW w:w="315" w:type="pct"/>
                  <w:vMerge w:val="continue"/>
                  <w:noWrap w:val="0"/>
                  <w:vAlign w:val="center"/>
                </w:tcPr>
                <w:p w14:paraId="08D5EFE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3770DAB2">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36</w:t>
                  </w:r>
                  <w:r>
                    <w:rPr>
                      <w:rFonts w:hint="default" w:ascii="Times New Roman" w:hAnsi="Times New Roman" w:cs="Times New Roman"/>
                      <w:color w:val="auto"/>
                      <w:sz w:val="21"/>
                      <w:szCs w:val="21"/>
                      <w:highlight w:val="none"/>
                    </w:rPr>
                    <w:t>#居民点</w:t>
                  </w:r>
                </w:p>
              </w:tc>
              <w:tc>
                <w:tcPr>
                  <w:tcW w:w="1259" w:type="pct"/>
                  <w:noWrap w:val="0"/>
                  <w:vAlign w:val="center"/>
                </w:tcPr>
                <w:p w14:paraId="4703B47F">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二郎整治k4+400右岸</w:t>
                  </w:r>
                </w:p>
              </w:tc>
              <w:tc>
                <w:tcPr>
                  <w:tcW w:w="733" w:type="pct"/>
                  <w:noWrap w:val="0"/>
                  <w:vAlign w:val="center"/>
                </w:tcPr>
                <w:p w14:paraId="576D5A27">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245</w:t>
                  </w:r>
                </w:p>
              </w:tc>
              <w:tc>
                <w:tcPr>
                  <w:tcW w:w="990" w:type="pct"/>
                  <w:noWrap w:val="0"/>
                  <w:vAlign w:val="center"/>
                </w:tcPr>
                <w:p w14:paraId="53004E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8户，约24人</w:t>
                  </w:r>
                </w:p>
              </w:tc>
              <w:tc>
                <w:tcPr>
                  <w:tcW w:w="609" w:type="pct"/>
                  <w:vMerge w:val="continue"/>
                  <w:noWrap w:val="0"/>
                  <w:vAlign w:val="center"/>
                </w:tcPr>
                <w:p w14:paraId="72B25BBF">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739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2C656EF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29</w:t>
                  </w:r>
                </w:p>
              </w:tc>
              <w:tc>
                <w:tcPr>
                  <w:tcW w:w="315" w:type="pct"/>
                  <w:vMerge w:val="continue"/>
                  <w:noWrap w:val="0"/>
                  <w:vAlign w:val="center"/>
                </w:tcPr>
                <w:p w14:paraId="1321D1A7">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7386ED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37</w:t>
                  </w:r>
                  <w:r>
                    <w:rPr>
                      <w:rFonts w:hint="default" w:ascii="Times New Roman" w:hAnsi="Times New Roman" w:cs="Times New Roman"/>
                      <w:color w:val="auto"/>
                      <w:sz w:val="21"/>
                      <w:szCs w:val="21"/>
                      <w:highlight w:val="none"/>
                    </w:rPr>
                    <w:t>#居民点</w:t>
                  </w:r>
                </w:p>
              </w:tc>
              <w:tc>
                <w:tcPr>
                  <w:tcW w:w="1259" w:type="pct"/>
                  <w:noWrap w:val="0"/>
                  <w:vAlign w:val="center"/>
                </w:tcPr>
                <w:p w14:paraId="7EF83264">
                  <w:pPr>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二郎整治k4+400左岸</w:t>
                  </w:r>
                </w:p>
              </w:tc>
              <w:tc>
                <w:tcPr>
                  <w:tcW w:w="733" w:type="pct"/>
                  <w:noWrap w:val="0"/>
                  <w:vAlign w:val="center"/>
                </w:tcPr>
                <w:p w14:paraId="64BB3DFF">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93</w:t>
                  </w:r>
                </w:p>
              </w:tc>
              <w:tc>
                <w:tcPr>
                  <w:tcW w:w="990" w:type="pct"/>
                  <w:noWrap w:val="0"/>
                  <w:vAlign w:val="center"/>
                </w:tcPr>
                <w:p w14:paraId="274A54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7户，约21人</w:t>
                  </w:r>
                </w:p>
              </w:tc>
              <w:tc>
                <w:tcPr>
                  <w:tcW w:w="609" w:type="pct"/>
                  <w:vMerge w:val="continue"/>
                  <w:noWrap w:val="0"/>
                  <w:vAlign w:val="center"/>
                </w:tcPr>
                <w:p w14:paraId="2964332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780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4993460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30</w:t>
                  </w:r>
                </w:p>
              </w:tc>
              <w:tc>
                <w:tcPr>
                  <w:tcW w:w="315" w:type="pct"/>
                  <w:vMerge w:val="continue"/>
                  <w:noWrap w:val="0"/>
                  <w:vAlign w:val="center"/>
                </w:tcPr>
                <w:p w14:paraId="03DBF22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3BDC70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38</w:t>
                  </w:r>
                  <w:r>
                    <w:rPr>
                      <w:rFonts w:hint="default" w:ascii="Times New Roman" w:hAnsi="Times New Roman" w:cs="Times New Roman"/>
                      <w:color w:val="auto"/>
                      <w:sz w:val="21"/>
                      <w:szCs w:val="21"/>
                      <w:highlight w:val="none"/>
                    </w:rPr>
                    <w:t>#居民点</w:t>
                  </w:r>
                </w:p>
              </w:tc>
              <w:tc>
                <w:tcPr>
                  <w:tcW w:w="1259" w:type="pct"/>
                  <w:noWrap w:val="0"/>
                  <w:vAlign w:val="center"/>
                </w:tcPr>
                <w:p w14:paraId="05791C5A">
                  <w:pPr>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二郎整治k4+400左岸</w:t>
                  </w:r>
                </w:p>
              </w:tc>
              <w:tc>
                <w:tcPr>
                  <w:tcW w:w="733" w:type="pct"/>
                  <w:noWrap w:val="0"/>
                  <w:vAlign w:val="center"/>
                </w:tcPr>
                <w:p w14:paraId="7F162BE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63</w:t>
                  </w:r>
                </w:p>
              </w:tc>
              <w:tc>
                <w:tcPr>
                  <w:tcW w:w="990" w:type="pct"/>
                  <w:noWrap w:val="0"/>
                  <w:vAlign w:val="center"/>
                </w:tcPr>
                <w:p w14:paraId="060D0A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11户，约33人</w:t>
                  </w:r>
                </w:p>
              </w:tc>
              <w:tc>
                <w:tcPr>
                  <w:tcW w:w="609" w:type="pct"/>
                  <w:vMerge w:val="continue"/>
                  <w:noWrap w:val="0"/>
                  <w:vAlign w:val="center"/>
                </w:tcPr>
                <w:p w14:paraId="2F16BC7D">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A4C5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002C8A7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31</w:t>
                  </w:r>
                </w:p>
              </w:tc>
              <w:tc>
                <w:tcPr>
                  <w:tcW w:w="315" w:type="pct"/>
                  <w:vMerge w:val="continue"/>
                  <w:noWrap w:val="0"/>
                  <w:vAlign w:val="center"/>
                </w:tcPr>
                <w:p w14:paraId="5B100FB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01E493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39</w:t>
                  </w:r>
                  <w:r>
                    <w:rPr>
                      <w:rFonts w:hint="default" w:ascii="Times New Roman" w:hAnsi="Times New Roman" w:cs="Times New Roman"/>
                      <w:color w:val="auto"/>
                      <w:sz w:val="21"/>
                      <w:szCs w:val="21"/>
                      <w:highlight w:val="none"/>
                    </w:rPr>
                    <w:t>#居民点</w:t>
                  </w:r>
                </w:p>
              </w:tc>
              <w:tc>
                <w:tcPr>
                  <w:tcW w:w="1259" w:type="pct"/>
                  <w:noWrap w:val="0"/>
                  <w:vAlign w:val="center"/>
                </w:tcPr>
                <w:p w14:paraId="38D6C44B">
                  <w:pPr>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二郎整治k4+400左岸</w:t>
                  </w:r>
                </w:p>
              </w:tc>
              <w:tc>
                <w:tcPr>
                  <w:tcW w:w="733" w:type="pct"/>
                  <w:noWrap w:val="0"/>
                  <w:vAlign w:val="center"/>
                </w:tcPr>
                <w:p w14:paraId="0B9A153A">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230</w:t>
                  </w:r>
                </w:p>
              </w:tc>
              <w:tc>
                <w:tcPr>
                  <w:tcW w:w="990" w:type="pct"/>
                  <w:noWrap w:val="0"/>
                  <w:vAlign w:val="center"/>
                </w:tcPr>
                <w:p w14:paraId="16BB14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1户，约3人</w:t>
                  </w:r>
                </w:p>
              </w:tc>
              <w:tc>
                <w:tcPr>
                  <w:tcW w:w="609" w:type="pct"/>
                  <w:vMerge w:val="continue"/>
                  <w:noWrap w:val="0"/>
                  <w:vAlign w:val="center"/>
                </w:tcPr>
                <w:p w14:paraId="36394FCA">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7D6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66B726C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32</w:t>
                  </w:r>
                </w:p>
              </w:tc>
              <w:tc>
                <w:tcPr>
                  <w:tcW w:w="315" w:type="pct"/>
                  <w:vMerge w:val="continue"/>
                  <w:noWrap w:val="0"/>
                  <w:vAlign w:val="center"/>
                </w:tcPr>
                <w:p w14:paraId="6EB9629A">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0B352F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1BFFAC0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二郎整治k4+400右岸</w:t>
                  </w:r>
                </w:p>
              </w:tc>
              <w:tc>
                <w:tcPr>
                  <w:tcW w:w="733" w:type="pct"/>
                  <w:noWrap w:val="0"/>
                  <w:vAlign w:val="center"/>
                </w:tcPr>
                <w:p w14:paraId="300F588A">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990" w:type="pct"/>
                  <w:noWrap w:val="0"/>
                  <w:vAlign w:val="center"/>
                </w:tcPr>
                <w:p w14:paraId="429BB2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8户，约24人</w:t>
                  </w:r>
                </w:p>
              </w:tc>
              <w:tc>
                <w:tcPr>
                  <w:tcW w:w="609" w:type="pct"/>
                  <w:vMerge w:val="continue"/>
                  <w:noWrap w:val="0"/>
                  <w:vAlign w:val="center"/>
                </w:tcPr>
                <w:p w14:paraId="5C0D4C69">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0B8A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4C7D53F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33</w:t>
                  </w:r>
                </w:p>
              </w:tc>
              <w:tc>
                <w:tcPr>
                  <w:tcW w:w="315" w:type="pct"/>
                  <w:vMerge w:val="continue"/>
                  <w:noWrap w:val="0"/>
                  <w:vAlign w:val="center"/>
                </w:tcPr>
                <w:p w14:paraId="29E3B23A">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64A4A2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41</w:t>
                  </w:r>
                  <w:r>
                    <w:rPr>
                      <w:rFonts w:hint="default" w:ascii="Times New Roman" w:hAnsi="Times New Roman" w:cs="Times New Roman"/>
                      <w:color w:val="auto"/>
                      <w:sz w:val="21"/>
                      <w:szCs w:val="21"/>
                      <w:highlight w:val="none"/>
                    </w:rPr>
                    <w:t>#居民点</w:t>
                  </w:r>
                </w:p>
              </w:tc>
              <w:tc>
                <w:tcPr>
                  <w:tcW w:w="1259" w:type="pct"/>
                  <w:noWrap w:val="0"/>
                  <w:vAlign w:val="center"/>
                </w:tcPr>
                <w:p w14:paraId="7620006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二郎整治k5+634左岸</w:t>
                  </w:r>
                </w:p>
              </w:tc>
              <w:tc>
                <w:tcPr>
                  <w:tcW w:w="733" w:type="pct"/>
                  <w:noWrap w:val="0"/>
                  <w:vAlign w:val="center"/>
                </w:tcPr>
                <w:p w14:paraId="57AE23F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990" w:type="pct"/>
                  <w:noWrap w:val="0"/>
                  <w:vAlign w:val="center"/>
                </w:tcPr>
                <w:p w14:paraId="328449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2户，约6人</w:t>
                  </w:r>
                </w:p>
              </w:tc>
              <w:tc>
                <w:tcPr>
                  <w:tcW w:w="609" w:type="pct"/>
                  <w:vMerge w:val="continue"/>
                  <w:noWrap w:val="0"/>
                  <w:vAlign w:val="center"/>
                </w:tcPr>
                <w:p w14:paraId="35C0918A">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684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6CB3553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34</w:t>
                  </w:r>
                </w:p>
              </w:tc>
              <w:tc>
                <w:tcPr>
                  <w:tcW w:w="315" w:type="pct"/>
                  <w:vMerge w:val="continue"/>
                  <w:noWrap w:val="0"/>
                  <w:vAlign w:val="center"/>
                </w:tcPr>
                <w:p w14:paraId="0107EC01">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2EE44D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42</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3A3F15A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二郎整治k5+634左岸</w:t>
                  </w:r>
                </w:p>
              </w:tc>
              <w:tc>
                <w:tcPr>
                  <w:tcW w:w="733" w:type="pct"/>
                  <w:noWrap w:val="0"/>
                  <w:vAlign w:val="center"/>
                </w:tcPr>
                <w:p w14:paraId="572B7D95">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990" w:type="pct"/>
                  <w:noWrap w:val="0"/>
                  <w:vAlign w:val="center"/>
                </w:tcPr>
                <w:p w14:paraId="705821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22户，约66人</w:t>
                  </w:r>
                </w:p>
              </w:tc>
              <w:tc>
                <w:tcPr>
                  <w:tcW w:w="609" w:type="pct"/>
                  <w:vMerge w:val="continue"/>
                  <w:noWrap w:val="0"/>
                  <w:vAlign w:val="center"/>
                </w:tcPr>
                <w:p w14:paraId="36C1AAA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6807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065C5BFB">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35</w:t>
                  </w:r>
                </w:p>
              </w:tc>
              <w:tc>
                <w:tcPr>
                  <w:tcW w:w="315" w:type="pct"/>
                  <w:vMerge w:val="continue"/>
                  <w:noWrap w:val="0"/>
                  <w:vAlign w:val="center"/>
                </w:tcPr>
                <w:p w14:paraId="393873A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5ED6E3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43</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00E39FDE">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二郎整治k5+634左岸</w:t>
                  </w:r>
                </w:p>
              </w:tc>
              <w:tc>
                <w:tcPr>
                  <w:tcW w:w="733" w:type="pct"/>
                  <w:noWrap w:val="0"/>
                  <w:vAlign w:val="center"/>
                </w:tcPr>
                <w:p w14:paraId="0EE60E7F">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310</w:t>
                  </w:r>
                </w:p>
              </w:tc>
              <w:tc>
                <w:tcPr>
                  <w:tcW w:w="990" w:type="pct"/>
                  <w:noWrap w:val="0"/>
                  <w:vAlign w:val="center"/>
                </w:tcPr>
                <w:p w14:paraId="621D30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6户，约182人</w:t>
                  </w:r>
                </w:p>
              </w:tc>
              <w:tc>
                <w:tcPr>
                  <w:tcW w:w="609" w:type="pct"/>
                  <w:vMerge w:val="continue"/>
                  <w:noWrap w:val="0"/>
                  <w:vAlign w:val="center"/>
                </w:tcPr>
                <w:p w14:paraId="13CDC63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6C3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42B7922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36</w:t>
                  </w:r>
                </w:p>
              </w:tc>
              <w:tc>
                <w:tcPr>
                  <w:tcW w:w="315" w:type="pct"/>
                  <w:vMerge w:val="continue"/>
                  <w:noWrap w:val="0"/>
                  <w:vAlign w:val="center"/>
                </w:tcPr>
                <w:p w14:paraId="7F5BE920">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2B56DF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44</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72986F0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二郎整治k5+634左岸</w:t>
                  </w:r>
                </w:p>
              </w:tc>
              <w:tc>
                <w:tcPr>
                  <w:tcW w:w="733" w:type="pct"/>
                  <w:noWrap w:val="0"/>
                  <w:vAlign w:val="center"/>
                </w:tcPr>
                <w:p w14:paraId="4B7B76F5">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295</w:t>
                  </w:r>
                </w:p>
              </w:tc>
              <w:tc>
                <w:tcPr>
                  <w:tcW w:w="990" w:type="pct"/>
                  <w:noWrap w:val="0"/>
                  <w:vAlign w:val="center"/>
                </w:tcPr>
                <w:p w14:paraId="2EC976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15户，约45人</w:t>
                  </w:r>
                </w:p>
              </w:tc>
              <w:tc>
                <w:tcPr>
                  <w:tcW w:w="609" w:type="pct"/>
                  <w:vMerge w:val="continue"/>
                  <w:noWrap w:val="0"/>
                  <w:vAlign w:val="center"/>
                </w:tcPr>
                <w:p w14:paraId="519E2D75">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BD9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4C22AE7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37</w:t>
                  </w:r>
                </w:p>
              </w:tc>
              <w:tc>
                <w:tcPr>
                  <w:tcW w:w="315" w:type="pct"/>
                  <w:vMerge w:val="continue"/>
                  <w:noWrap w:val="0"/>
                  <w:vAlign w:val="center"/>
                </w:tcPr>
                <w:p w14:paraId="0581B645">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5F60C5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45</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6586B93E">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二郎整治k5+634左岸</w:t>
                  </w:r>
                </w:p>
              </w:tc>
              <w:tc>
                <w:tcPr>
                  <w:tcW w:w="733" w:type="pct"/>
                  <w:noWrap w:val="0"/>
                  <w:vAlign w:val="center"/>
                </w:tcPr>
                <w:p w14:paraId="03277547">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440</w:t>
                  </w:r>
                </w:p>
              </w:tc>
              <w:tc>
                <w:tcPr>
                  <w:tcW w:w="990" w:type="pct"/>
                  <w:noWrap w:val="0"/>
                  <w:vAlign w:val="center"/>
                </w:tcPr>
                <w:p w14:paraId="07CA14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20户，约60人</w:t>
                  </w:r>
                </w:p>
              </w:tc>
              <w:tc>
                <w:tcPr>
                  <w:tcW w:w="609" w:type="pct"/>
                  <w:vMerge w:val="continue"/>
                  <w:noWrap w:val="0"/>
                  <w:vAlign w:val="center"/>
                </w:tcPr>
                <w:p w14:paraId="18F2671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1B3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2822B1F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38</w:t>
                  </w:r>
                </w:p>
              </w:tc>
              <w:tc>
                <w:tcPr>
                  <w:tcW w:w="315" w:type="pct"/>
                  <w:vMerge w:val="continue"/>
                  <w:noWrap w:val="0"/>
                  <w:vAlign w:val="center"/>
                </w:tcPr>
                <w:p w14:paraId="230CBAB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71C6F6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46</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2742042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二郎整治k5+000右岸</w:t>
                  </w:r>
                </w:p>
              </w:tc>
              <w:tc>
                <w:tcPr>
                  <w:tcW w:w="733" w:type="pct"/>
                  <w:noWrap w:val="0"/>
                  <w:vAlign w:val="center"/>
                </w:tcPr>
                <w:p w14:paraId="14E32F4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121</w:t>
                  </w:r>
                </w:p>
              </w:tc>
              <w:tc>
                <w:tcPr>
                  <w:tcW w:w="990" w:type="pct"/>
                  <w:noWrap w:val="0"/>
                  <w:vAlign w:val="center"/>
                </w:tcPr>
                <w:p w14:paraId="2F2308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7户，约21人</w:t>
                  </w:r>
                </w:p>
              </w:tc>
              <w:tc>
                <w:tcPr>
                  <w:tcW w:w="609" w:type="pct"/>
                  <w:vMerge w:val="continue"/>
                  <w:noWrap w:val="0"/>
                  <w:vAlign w:val="center"/>
                </w:tcPr>
                <w:p w14:paraId="270D2CA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1E4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509217E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39</w:t>
                  </w:r>
                </w:p>
              </w:tc>
              <w:tc>
                <w:tcPr>
                  <w:tcW w:w="315" w:type="pct"/>
                  <w:vMerge w:val="continue"/>
                  <w:noWrap w:val="0"/>
                  <w:vAlign w:val="center"/>
                </w:tcPr>
                <w:p w14:paraId="6685CA78">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69017E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47</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0E27665E">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二郎整治k5+200右岸</w:t>
                  </w:r>
                </w:p>
              </w:tc>
              <w:tc>
                <w:tcPr>
                  <w:tcW w:w="733" w:type="pct"/>
                  <w:noWrap w:val="0"/>
                  <w:vAlign w:val="center"/>
                </w:tcPr>
                <w:p w14:paraId="1BCADB6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365</w:t>
                  </w:r>
                </w:p>
              </w:tc>
              <w:tc>
                <w:tcPr>
                  <w:tcW w:w="990" w:type="pct"/>
                  <w:noWrap w:val="0"/>
                  <w:vAlign w:val="center"/>
                </w:tcPr>
                <w:p w14:paraId="2676E7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4户，约12人</w:t>
                  </w:r>
                </w:p>
              </w:tc>
              <w:tc>
                <w:tcPr>
                  <w:tcW w:w="609" w:type="pct"/>
                  <w:vMerge w:val="continue"/>
                  <w:noWrap w:val="0"/>
                  <w:vAlign w:val="center"/>
                </w:tcPr>
                <w:p w14:paraId="3C16C96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31A1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6D08835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40</w:t>
                  </w:r>
                </w:p>
              </w:tc>
              <w:tc>
                <w:tcPr>
                  <w:tcW w:w="315" w:type="pct"/>
                  <w:vMerge w:val="restart"/>
                  <w:shd w:val="clear" w:color="auto" w:fill="auto"/>
                  <w:noWrap w:val="0"/>
                  <w:vAlign w:val="center"/>
                </w:tcPr>
                <w:p w14:paraId="0FD88CF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福兴段</w:t>
                  </w:r>
                </w:p>
              </w:tc>
              <w:tc>
                <w:tcPr>
                  <w:tcW w:w="735" w:type="pct"/>
                  <w:shd w:val="clear" w:color="auto" w:fill="auto"/>
                  <w:noWrap w:val="0"/>
                  <w:vAlign w:val="center"/>
                </w:tcPr>
                <w:p w14:paraId="72380CC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rPr>
                    <w:t>2#居民点</w:t>
                  </w:r>
                </w:p>
              </w:tc>
              <w:tc>
                <w:tcPr>
                  <w:tcW w:w="1259" w:type="pct"/>
                  <w:shd w:val="clear" w:color="auto" w:fill="auto"/>
                  <w:noWrap w:val="0"/>
                  <w:vAlign w:val="center"/>
                </w:tcPr>
                <w:p w14:paraId="40E1A0B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福兴整治k1+000右岸</w:t>
                  </w:r>
                </w:p>
              </w:tc>
              <w:tc>
                <w:tcPr>
                  <w:tcW w:w="733" w:type="pct"/>
                  <w:shd w:val="clear" w:color="auto" w:fill="auto"/>
                  <w:noWrap w:val="0"/>
                  <w:vAlign w:val="center"/>
                </w:tcPr>
                <w:p w14:paraId="7243246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16</w:t>
                  </w:r>
                </w:p>
              </w:tc>
              <w:tc>
                <w:tcPr>
                  <w:tcW w:w="990" w:type="pct"/>
                  <w:shd w:val="clear" w:color="auto" w:fill="auto"/>
                  <w:noWrap w:val="0"/>
                  <w:vAlign w:val="center"/>
                </w:tcPr>
                <w:p w14:paraId="09DAC3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40户，约120人</w:t>
                  </w:r>
                </w:p>
              </w:tc>
              <w:tc>
                <w:tcPr>
                  <w:tcW w:w="609" w:type="pct"/>
                  <w:vMerge w:val="continue"/>
                  <w:noWrap w:val="0"/>
                  <w:vAlign w:val="center"/>
                </w:tcPr>
                <w:p w14:paraId="57BE8F5F">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ACB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2B430FD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41</w:t>
                  </w:r>
                </w:p>
              </w:tc>
              <w:tc>
                <w:tcPr>
                  <w:tcW w:w="315" w:type="pct"/>
                  <w:vMerge w:val="continue"/>
                  <w:noWrap w:val="0"/>
                  <w:vAlign w:val="center"/>
                </w:tcPr>
                <w:p w14:paraId="42D0CC1D">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4C5E083A">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411D2C6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福兴整治k1+400左岸</w:t>
                  </w:r>
                </w:p>
              </w:tc>
              <w:tc>
                <w:tcPr>
                  <w:tcW w:w="733" w:type="pct"/>
                  <w:shd w:val="clear" w:color="auto" w:fill="auto"/>
                  <w:noWrap w:val="0"/>
                  <w:vAlign w:val="center"/>
                </w:tcPr>
                <w:p w14:paraId="2D9DFF9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20</w:t>
                  </w:r>
                </w:p>
              </w:tc>
              <w:tc>
                <w:tcPr>
                  <w:tcW w:w="990" w:type="pct"/>
                  <w:shd w:val="clear" w:color="auto" w:fill="auto"/>
                  <w:noWrap w:val="0"/>
                  <w:vAlign w:val="center"/>
                </w:tcPr>
                <w:p w14:paraId="0C8E43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3户，约9人</w:t>
                  </w:r>
                </w:p>
              </w:tc>
              <w:tc>
                <w:tcPr>
                  <w:tcW w:w="609" w:type="pct"/>
                  <w:vMerge w:val="continue"/>
                  <w:noWrap w:val="0"/>
                  <w:vAlign w:val="center"/>
                </w:tcPr>
                <w:p w14:paraId="60AB79A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EFA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3FE73BEB">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42</w:t>
                  </w:r>
                </w:p>
              </w:tc>
              <w:tc>
                <w:tcPr>
                  <w:tcW w:w="315" w:type="pct"/>
                  <w:vMerge w:val="continue"/>
                  <w:noWrap w:val="0"/>
                  <w:vAlign w:val="center"/>
                </w:tcPr>
                <w:p w14:paraId="087E9535">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44479350">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6092385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福兴整治k1+300左岸</w:t>
                  </w:r>
                </w:p>
              </w:tc>
              <w:tc>
                <w:tcPr>
                  <w:tcW w:w="733" w:type="pct"/>
                  <w:shd w:val="clear" w:color="auto" w:fill="auto"/>
                  <w:noWrap w:val="0"/>
                  <w:vAlign w:val="center"/>
                </w:tcPr>
                <w:p w14:paraId="229558F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w:t>
                  </w:r>
                </w:p>
              </w:tc>
              <w:tc>
                <w:tcPr>
                  <w:tcW w:w="990" w:type="pct"/>
                  <w:shd w:val="clear" w:color="auto" w:fill="auto"/>
                  <w:noWrap w:val="0"/>
                  <w:vAlign w:val="center"/>
                </w:tcPr>
                <w:p w14:paraId="66F48A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15户，约45人</w:t>
                  </w:r>
                </w:p>
              </w:tc>
              <w:tc>
                <w:tcPr>
                  <w:tcW w:w="609" w:type="pct"/>
                  <w:vMerge w:val="continue"/>
                  <w:noWrap w:val="0"/>
                  <w:vAlign w:val="center"/>
                </w:tcPr>
                <w:p w14:paraId="334E3CD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F0C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3646F63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43</w:t>
                  </w:r>
                </w:p>
              </w:tc>
              <w:tc>
                <w:tcPr>
                  <w:tcW w:w="315" w:type="pct"/>
                  <w:vMerge w:val="continue"/>
                  <w:noWrap w:val="0"/>
                  <w:vAlign w:val="center"/>
                </w:tcPr>
                <w:p w14:paraId="40BA8007">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424C4F55">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6D17389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福兴整治k1+200右岸</w:t>
                  </w:r>
                </w:p>
              </w:tc>
              <w:tc>
                <w:tcPr>
                  <w:tcW w:w="733" w:type="pct"/>
                  <w:shd w:val="clear" w:color="auto" w:fill="auto"/>
                  <w:noWrap w:val="0"/>
                  <w:vAlign w:val="center"/>
                </w:tcPr>
                <w:p w14:paraId="2F63B7F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18</w:t>
                  </w:r>
                </w:p>
              </w:tc>
              <w:tc>
                <w:tcPr>
                  <w:tcW w:w="990" w:type="pct"/>
                  <w:shd w:val="clear" w:color="auto" w:fill="auto"/>
                  <w:noWrap w:val="0"/>
                  <w:vAlign w:val="center"/>
                </w:tcPr>
                <w:p w14:paraId="2B44D8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6户，约18人</w:t>
                  </w:r>
                </w:p>
              </w:tc>
              <w:tc>
                <w:tcPr>
                  <w:tcW w:w="609" w:type="pct"/>
                  <w:vMerge w:val="continue"/>
                  <w:noWrap w:val="0"/>
                  <w:vAlign w:val="center"/>
                </w:tcPr>
                <w:p w14:paraId="4CF58A13">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BAF4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29F6629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44</w:t>
                  </w:r>
                </w:p>
              </w:tc>
              <w:tc>
                <w:tcPr>
                  <w:tcW w:w="315" w:type="pct"/>
                  <w:vMerge w:val="continue"/>
                  <w:noWrap w:val="0"/>
                  <w:vAlign w:val="center"/>
                </w:tcPr>
                <w:p w14:paraId="3843537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241C543E">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11</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244DBB3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福兴整治k0+900右岸</w:t>
                  </w:r>
                </w:p>
              </w:tc>
              <w:tc>
                <w:tcPr>
                  <w:tcW w:w="733" w:type="pct"/>
                  <w:shd w:val="clear" w:color="auto" w:fill="auto"/>
                  <w:noWrap w:val="0"/>
                  <w:vAlign w:val="center"/>
                </w:tcPr>
                <w:p w14:paraId="5F97A3B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8</w:t>
                  </w:r>
                </w:p>
              </w:tc>
              <w:tc>
                <w:tcPr>
                  <w:tcW w:w="990" w:type="pct"/>
                  <w:shd w:val="clear" w:color="auto" w:fill="auto"/>
                  <w:noWrap w:val="0"/>
                  <w:vAlign w:val="center"/>
                </w:tcPr>
                <w:p w14:paraId="0E1FBE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20户，约60人</w:t>
                  </w:r>
                </w:p>
              </w:tc>
              <w:tc>
                <w:tcPr>
                  <w:tcW w:w="609" w:type="pct"/>
                  <w:vMerge w:val="continue"/>
                  <w:noWrap w:val="0"/>
                  <w:vAlign w:val="center"/>
                </w:tcPr>
                <w:p w14:paraId="581E0DD9">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431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157E66B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45</w:t>
                  </w:r>
                </w:p>
              </w:tc>
              <w:tc>
                <w:tcPr>
                  <w:tcW w:w="315" w:type="pct"/>
                  <w:vMerge w:val="continue"/>
                  <w:noWrap w:val="0"/>
                  <w:vAlign w:val="center"/>
                </w:tcPr>
                <w:p w14:paraId="7F616CD5">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5C9EF7F4">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5AEE021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福兴整治k0+800右岸</w:t>
                  </w:r>
                </w:p>
              </w:tc>
              <w:tc>
                <w:tcPr>
                  <w:tcW w:w="733" w:type="pct"/>
                  <w:shd w:val="clear" w:color="auto" w:fill="auto"/>
                  <w:noWrap w:val="0"/>
                  <w:vAlign w:val="center"/>
                </w:tcPr>
                <w:p w14:paraId="3EFEC1D2">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8</w:t>
                  </w:r>
                </w:p>
              </w:tc>
              <w:tc>
                <w:tcPr>
                  <w:tcW w:w="990" w:type="pct"/>
                  <w:shd w:val="clear" w:color="auto" w:fill="auto"/>
                  <w:noWrap w:val="0"/>
                  <w:vAlign w:val="center"/>
                </w:tcPr>
                <w:p w14:paraId="2A24E6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20户，约60人</w:t>
                  </w:r>
                </w:p>
              </w:tc>
              <w:tc>
                <w:tcPr>
                  <w:tcW w:w="609" w:type="pct"/>
                  <w:vMerge w:val="continue"/>
                  <w:noWrap w:val="0"/>
                  <w:vAlign w:val="center"/>
                </w:tcPr>
                <w:p w14:paraId="28BC0AA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5239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11632CC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46</w:t>
                  </w:r>
                </w:p>
              </w:tc>
              <w:tc>
                <w:tcPr>
                  <w:tcW w:w="315" w:type="pct"/>
                  <w:vMerge w:val="continue"/>
                  <w:noWrap w:val="0"/>
                  <w:vAlign w:val="center"/>
                </w:tcPr>
                <w:p w14:paraId="4CC5412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0820097B">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13</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2522D032">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福兴整治k0+700右岸</w:t>
                  </w:r>
                </w:p>
              </w:tc>
              <w:tc>
                <w:tcPr>
                  <w:tcW w:w="733" w:type="pct"/>
                  <w:shd w:val="clear" w:color="auto" w:fill="auto"/>
                  <w:noWrap w:val="0"/>
                  <w:vAlign w:val="center"/>
                </w:tcPr>
                <w:p w14:paraId="6F59C01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13</w:t>
                  </w:r>
                </w:p>
              </w:tc>
              <w:tc>
                <w:tcPr>
                  <w:tcW w:w="990" w:type="pct"/>
                  <w:shd w:val="clear" w:color="auto" w:fill="auto"/>
                  <w:noWrap w:val="0"/>
                  <w:vAlign w:val="center"/>
                </w:tcPr>
                <w:p w14:paraId="214A84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1户，约3人</w:t>
                  </w:r>
                </w:p>
              </w:tc>
              <w:tc>
                <w:tcPr>
                  <w:tcW w:w="609" w:type="pct"/>
                  <w:vMerge w:val="continue"/>
                  <w:noWrap w:val="0"/>
                  <w:vAlign w:val="center"/>
                </w:tcPr>
                <w:p w14:paraId="1616BCAF">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35C5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23187D3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47</w:t>
                  </w:r>
                </w:p>
              </w:tc>
              <w:tc>
                <w:tcPr>
                  <w:tcW w:w="315" w:type="pct"/>
                  <w:vMerge w:val="continue"/>
                  <w:noWrap w:val="0"/>
                  <w:vAlign w:val="center"/>
                </w:tcPr>
                <w:p w14:paraId="693E43AC">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136D0DE8">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14</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52374A1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福兴整治k0+000右岸</w:t>
                  </w:r>
                </w:p>
              </w:tc>
              <w:tc>
                <w:tcPr>
                  <w:tcW w:w="733" w:type="pct"/>
                  <w:shd w:val="clear" w:color="auto" w:fill="auto"/>
                  <w:noWrap w:val="0"/>
                  <w:vAlign w:val="center"/>
                </w:tcPr>
                <w:p w14:paraId="346F342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35</w:t>
                  </w:r>
                </w:p>
              </w:tc>
              <w:tc>
                <w:tcPr>
                  <w:tcW w:w="990" w:type="pct"/>
                  <w:shd w:val="clear" w:color="auto" w:fill="auto"/>
                  <w:noWrap w:val="0"/>
                  <w:vAlign w:val="center"/>
                </w:tcPr>
                <w:p w14:paraId="6A48C6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2户，约6人</w:t>
                  </w:r>
                </w:p>
              </w:tc>
              <w:tc>
                <w:tcPr>
                  <w:tcW w:w="609" w:type="pct"/>
                  <w:vMerge w:val="continue"/>
                  <w:noWrap w:val="0"/>
                  <w:vAlign w:val="center"/>
                </w:tcPr>
                <w:p w14:paraId="78E69209">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36D3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0E48861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48</w:t>
                  </w:r>
                </w:p>
              </w:tc>
              <w:tc>
                <w:tcPr>
                  <w:tcW w:w="315" w:type="pct"/>
                  <w:vMerge w:val="continue"/>
                  <w:noWrap w:val="0"/>
                  <w:vAlign w:val="center"/>
                </w:tcPr>
                <w:p w14:paraId="6D10BAC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607884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48</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23B8A18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福兴整治k0+000右岸</w:t>
                  </w:r>
                </w:p>
              </w:tc>
              <w:tc>
                <w:tcPr>
                  <w:tcW w:w="733" w:type="pct"/>
                  <w:noWrap w:val="0"/>
                  <w:vAlign w:val="center"/>
                </w:tcPr>
                <w:p w14:paraId="3D1C5C2B">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96</w:t>
                  </w:r>
                </w:p>
              </w:tc>
              <w:tc>
                <w:tcPr>
                  <w:tcW w:w="990" w:type="pct"/>
                  <w:noWrap w:val="0"/>
                  <w:vAlign w:val="center"/>
                </w:tcPr>
                <w:p w14:paraId="7AB6DF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12户，约36人</w:t>
                  </w:r>
                </w:p>
              </w:tc>
              <w:tc>
                <w:tcPr>
                  <w:tcW w:w="609" w:type="pct"/>
                  <w:vMerge w:val="continue"/>
                  <w:noWrap w:val="0"/>
                  <w:vAlign w:val="center"/>
                </w:tcPr>
                <w:p w14:paraId="7CE473C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6500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6533E96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49</w:t>
                  </w:r>
                </w:p>
              </w:tc>
              <w:tc>
                <w:tcPr>
                  <w:tcW w:w="315" w:type="pct"/>
                  <w:vMerge w:val="continue"/>
                  <w:noWrap w:val="0"/>
                  <w:vAlign w:val="center"/>
                </w:tcPr>
                <w:p w14:paraId="4957D860">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5C3AE5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49</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502DA45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福兴整治k0+000右岸</w:t>
                  </w:r>
                </w:p>
              </w:tc>
              <w:tc>
                <w:tcPr>
                  <w:tcW w:w="733" w:type="pct"/>
                  <w:noWrap w:val="0"/>
                  <w:vAlign w:val="center"/>
                </w:tcPr>
                <w:p w14:paraId="6DC62D29">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330</w:t>
                  </w:r>
                </w:p>
              </w:tc>
              <w:tc>
                <w:tcPr>
                  <w:tcW w:w="990" w:type="pct"/>
                  <w:noWrap w:val="0"/>
                  <w:vAlign w:val="center"/>
                </w:tcPr>
                <w:p w14:paraId="1DFE14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6户，约18人</w:t>
                  </w:r>
                </w:p>
              </w:tc>
              <w:tc>
                <w:tcPr>
                  <w:tcW w:w="609" w:type="pct"/>
                  <w:vMerge w:val="continue"/>
                  <w:noWrap w:val="0"/>
                  <w:vAlign w:val="center"/>
                </w:tcPr>
                <w:p w14:paraId="6A006747">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948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4934DEF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50</w:t>
                  </w:r>
                </w:p>
              </w:tc>
              <w:tc>
                <w:tcPr>
                  <w:tcW w:w="315" w:type="pct"/>
                  <w:vMerge w:val="continue"/>
                  <w:noWrap w:val="0"/>
                  <w:vAlign w:val="center"/>
                </w:tcPr>
                <w:p w14:paraId="36DA86E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060399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50</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6B1382A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福兴整治k0+000右岸</w:t>
                  </w:r>
                </w:p>
              </w:tc>
              <w:tc>
                <w:tcPr>
                  <w:tcW w:w="733" w:type="pct"/>
                  <w:noWrap w:val="0"/>
                  <w:vAlign w:val="center"/>
                </w:tcPr>
                <w:p w14:paraId="45933F01">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427</w:t>
                  </w:r>
                </w:p>
              </w:tc>
              <w:tc>
                <w:tcPr>
                  <w:tcW w:w="990" w:type="pct"/>
                  <w:noWrap w:val="0"/>
                  <w:vAlign w:val="center"/>
                </w:tcPr>
                <w:p w14:paraId="34CD4F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5户，约15人</w:t>
                  </w:r>
                </w:p>
              </w:tc>
              <w:tc>
                <w:tcPr>
                  <w:tcW w:w="609" w:type="pct"/>
                  <w:vMerge w:val="continue"/>
                  <w:noWrap w:val="0"/>
                  <w:vAlign w:val="center"/>
                </w:tcPr>
                <w:p w14:paraId="6ADD2179">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CFA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04E3FB0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51</w:t>
                  </w:r>
                </w:p>
              </w:tc>
              <w:tc>
                <w:tcPr>
                  <w:tcW w:w="315" w:type="pct"/>
                  <w:vMerge w:val="continue"/>
                  <w:noWrap w:val="0"/>
                  <w:vAlign w:val="center"/>
                </w:tcPr>
                <w:p w14:paraId="03B06478">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1F350E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51</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06FA65E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福兴整治k0+000左岸</w:t>
                  </w:r>
                </w:p>
              </w:tc>
              <w:tc>
                <w:tcPr>
                  <w:tcW w:w="733" w:type="pct"/>
                  <w:noWrap w:val="0"/>
                  <w:vAlign w:val="center"/>
                </w:tcPr>
                <w:p w14:paraId="58A0B9A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130</w:t>
                  </w:r>
                </w:p>
              </w:tc>
              <w:tc>
                <w:tcPr>
                  <w:tcW w:w="990" w:type="pct"/>
                  <w:noWrap w:val="0"/>
                  <w:vAlign w:val="center"/>
                </w:tcPr>
                <w:p w14:paraId="31C615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10户，约30人</w:t>
                  </w:r>
                </w:p>
              </w:tc>
              <w:tc>
                <w:tcPr>
                  <w:tcW w:w="609" w:type="pct"/>
                  <w:vMerge w:val="continue"/>
                  <w:noWrap w:val="0"/>
                  <w:vAlign w:val="center"/>
                </w:tcPr>
                <w:p w14:paraId="5D069BC7">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3134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605201E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52</w:t>
                  </w:r>
                </w:p>
              </w:tc>
              <w:tc>
                <w:tcPr>
                  <w:tcW w:w="315" w:type="pct"/>
                  <w:vMerge w:val="continue"/>
                  <w:noWrap w:val="0"/>
                  <w:vAlign w:val="center"/>
                </w:tcPr>
                <w:p w14:paraId="372B7FFA">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36BA33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52</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2DF56E8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福兴整治k0+100左岸</w:t>
                  </w:r>
                </w:p>
              </w:tc>
              <w:tc>
                <w:tcPr>
                  <w:tcW w:w="733" w:type="pct"/>
                  <w:noWrap w:val="0"/>
                  <w:vAlign w:val="center"/>
                </w:tcPr>
                <w:p w14:paraId="0E0D6C4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172</w:t>
                  </w:r>
                </w:p>
              </w:tc>
              <w:tc>
                <w:tcPr>
                  <w:tcW w:w="990" w:type="pct"/>
                  <w:shd w:val="clear" w:color="auto" w:fill="auto"/>
                  <w:noWrap w:val="0"/>
                  <w:vAlign w:val="center"/>
                </w:tcPr>
                <w:p w14:paraId="6275ED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5户，约15人</w:t>
                  </w:r>
                </w:p>
              </w:tc>
              <w:tc>
                <w:tcPr>
                  <w:tcW w:w="609" w:type="pct"/>
                  <w:vMerge w:val="continue"/>
                  <w:noWrap w:val="0"/>
                  <w:vAlign w:val="center"/>
                </w:tcPr>
                <w:p w14:paraId="279D7E09">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6B6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5477DCE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53</w:t>
                  </w:r>
                </w:p>
              </w:tc>
              <w:tc>
                <w:tcPr>
                  <w:tcW w:w="315" w:type="pct"/>
                  <w:vMerge w:val="continue"/>
                  <w:noWrap w:val="0"/>
                  <w:vAlign w:val="center"/>
                </w:tcPr>
                <w:p w14:paraId="2D1D2230">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4640C2F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53</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38F8026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福兴整治k0+200左岸</w:t>
                  </w:r>
                </w:p>
              </w:tc>
              <w:tc>
                <w:tcPr>
                  <w:tcW w:w="733" w:type="pct"/>
                  <w:noWrap w:val="0"/>
                  <w:vAlign w:val="center"/>
                </w:tcPr>
                <w:p w14:paraId="6D824F1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365</w:t>
                  </w:r>
                </w:p>
              </w:tc>
              <w:tc>
                <w:tcPr>
                  <w:tcW w:w="990" w:type="pct"/>
                  <w:noWrap w:val="0"/>
                  <w:vAlign w:val="center"/>
                </w:tcPr>
                <w:p w14:paraId="216CDB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3户，约9人</w:t>
                  </w:r>
                </w:p>
              </w:tc>
              <w:tc>
                <w:tcPr>
                  <w:tcW w:w="609" w:type="pct"/>
                  <w:vMerge w:val="continue"/>
                  <w:noWrap w:val="0"/>
                  <w:vAlign w:val="center"/>
                </w:tcPr>
                <w:p w14:paraId="603ED441">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742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00ECCE2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54</w:t>
                  </w:r>
                </w:p>
              </w:tc>
              <w:tc>
                <w:tcPr>
                  <w:tcW w:w="315" w:type="pct"/>
                  <w:vMerge w:val="continue"/>
                  <w:noWrap w:val="0"/>
                  <w:vAlign w:val="center"/>
                </w:tcPr>
                <w:p w14:paraId="44AD7BB0">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14E373F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54</w:t>
                  </w:r>
                  <w:r>
                    <w:rPr>
                      <w:rFonts w:hint="default" w:ascii="Times New Roman" w:hAnsi="Times New Roman" w:cs="Times New Roman"/>
                      <w:color w:val="auto"/>
                      <w:sz w:val="21"/>
                      <w:szCs w:val="21"/>
                      <w:highlight w:val="none"/>
                    </w:rPr>
                    <w:t>#居民点</w:t>
                  </w:r>
                </w:p>
              </w:tc>
              <w:tc>
                <w:tcPr>
                  <w:tcW w:w="1259" w:type="pct"/>
                  <w:noWrap w:val="0"/>
                  <w:vAlign w:val="center"/>
                </w:tcPr>
                <w:p w14:paraId="0BF0A1A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福兴整治k0+400左岸</w:t>
                  </w:r>
                </w:p>
              </w:tc>
              <w:tc>
                <w:tcPr>
                  <w:tcW w:w="733" w:type="pct"/>
                  <w:noWrap w:val="0"/>
                  <w:vAlign w:val="center"/>
                </w:tcPr>
                <w:p w14:paraId="59CDAB7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125</w:t>
                  </w:r>
                </w:p>
              </w:tc>
              <w:tc>
                <w:tcPr>
                  <w:tcW w:w="990" w:type="pct"/>
                  <w:noWrap w:val="0"/>
                  <w:vAlign w:val="center"/>
                </w:tcPr>
                <w:p w14:paraId="1766C1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4户，约12人</w:t>
                  </w:r>
                </w:p>
              </w:tc>
              <w:tc>
                <w:tcPr>
                  <w:tcW w:w="609" w:type="pct"/>
                  <w:vMerge w:val="continue"/>
                  <w:noWrap w:val="0"/>
                  <w:vAlign w:val="center"/>
                </w:tcPr>
                <w:p w14:paraId="23B7D28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3EFCC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34C5322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55</w:t>
                  </w:r>
                </w:p>
              </w:tc>
              <w:tc>
                <w:tcPr>
                  <w:tcW w:w="315" w:type="pct"/>
                  <w:vMerge w:val="continue"/>
                  <w:noWrap w:val="0"/>
                  <w:vAlign w:val="center"/>
                </w:tcPr>
                <w:p w14:paraId="6004774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38755B7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55</w:t>
                  </w:r>
                  <w:r>
                    <w:rPr>
                      <w:rFonts w:hint="default" w:ascii="Times New Roman" w:hAnsi="Times New Roman" w:cs="Times New Roman"/>
                      <w:color w:val="auto"/>
                      <w:sz w:val="21"/>
                      <w:szCs w:val="21"/>
                      <w:highlight w:val="none"/>
                    </w:rPr>
                    <w:t>#居民点</w:t>
                  </w:r>
                </w:p>
              </w:tc>
              <w:tc>
                <w:tcPr>
                  <w:tcW w:w="1259" w:type="pct"/>
                  <w:noWrap w:val="0"/>
                  <w:vAlign w:val="center"/>
                </w:tcPr>
                <w:p w14:paraId="60B1BBF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福兴整治k0+400左岸</w:t>
                  </w:r>
                </w:p>
              </w:tc>
              <w:tc>
                <w:tcPr>
                  <w:tcW w:w="733" w:type="pct"/>
                  <w:noWrap w:val="0"/>
                  <w:vAlign w:val="center"/>
                </w:tcPr>
                <w:p w14:paraId="5AB0E133">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485</w:t>
                  </w:r>
                </w:p>
              </w:tc>
              <w:tc>
                <w:tcPr>
                  <w:tcW w:w="990" w:type="pct"/>
                  <w:noWrap w:val="0"/>
                  <w:vAlign w:val="center"/>
                </w:tcPr>
                <w:p w14:paraId="68DAC7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12户，约36人</w:t>
                  </w:r>
                </w:p>
              </w:tc>
              <w:tc>
                <w:tcPr>
                  <w:tcW w:w="609" w:type="pct"/>
                  <w:vMerge w:val="continue"/>
                  <w:noWrap w:val="0"/>
                  <w:vAlign w:val="center"/>
                </w:tcPr>
                <w:p w14:paraId="7E72EC22">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A4F5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40AF00B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56</w:t>
                  </w:r>
                </w:p>
              </w:tc>
              <w:tc>
                <w:tcPr>
                  <w:tcW w:w="315" w:type="pct"/>
                  <w:vMerge w:val="continue"/>
                  <w:noWrap w:val="0"/>
                  <w:vAlign w:val="center"/>
                </w:tcPr>
                <w:p w14:paraId="0A247D04">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78B0A2F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56</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22E1425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福兴整治k0+600左岸</w:t>
                  </w:r>
                </w:p>
              </w:tc>
              <w:tc>
                <w:tcPr>
                  <w:tcW w:w="733" w:type="pct"/>
                  <w:noWrap w:val="0"/>
                  <w:vAlign w:val="center"/>
                </w:tcPr>
                <w:p w14:paraId="207182DE">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78</w:t>
                  </w:r>
                </w:p>
              </w:tc>
              <w:tc>
                <w:tcPr>
                  <w:tcW w:w="990" w:type="pct"/>
                  <w:noWrap w:val="0"/>
                  <w:vAlign w:val="center"/>
                </w:tcPr>
                <w:p w14:paraId="4DE918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40户，约120人</w:t>
                  </w:r>
                </w:p>
              </w:tc>
              <w:tc>
                <w:tcPr>
                  <w:tcW w:w="609" w:type="pct"/>
                  <w:vMerge w:val="continue"/>
                  <w:noWrap w:val="0"/>
                  <w:vAlign w:val="center"/>
                </w:tcPr>
                <w:p w14:paraId="77208616">
                  <w:pPr>
                    <w:pStyle w:val="23"/>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EA8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5912B62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57</w:t>
                  </w:r>
                </w:p>
              </w:tc>
              <w:tc>
                <w:tcPr>
                  <w:tcW w:w="315" w:type="pct"/>
                  <w:vMerge w:val="continue"/>
                  <w:noWrap w:val="0"/>
                  <w:vAlign w:val="center"/>
                </w:tcPr>
                <w:p w14:paraId="27C909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081DD51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57</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530C129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福兴整治k1+400左岸</w:t>
                  </w:r>
                </w:p>
              </w:tc>
              <w:tc>
                <w:tcPr>
                  <w:tcW w:w="733" w:type="pct"/>
                  <w:noWrap w:val="0"/>
                  <w:vAlign w:val="center"/>
                </w:tcPr>
                <w:p w14:paraId="25397F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990" w:type="pct"/>
                  <w:noWrap w:val="0"/>
                  <w:vAlign w:val="center"/>
                </w:tcPr>
                <w:p w14:paraId="394C36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80户，约240人</w:t>
                  </w:r>
                </w:p>
              </w:tc>
              <w:tc>
                <w:tcPr>
                  <w:tcW w:w="609" w:type="pct"/>
                  <w:vMerge w:val="continue"/>
                  <w:noWrap w:val="0"/>
                  <w:vAlign w:val="center"/>
                </w:tcPr>
                <w:p w14:paraId="53A410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279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5CAD235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58</w:t>
                  </w:r>
                </w:p>
              </w:tc>
              <w:tc>
                <w:tcPr>
                  <w:tcW w:w="315" w:type="pct"/>
                  <w:vMerge w:val="continue"/>
                  <w:noWrap w:val="0"/>
                  <w:vAlign w:val="center"/>
                </w:tcPr>
                <w:p w14:paraId="3ECF72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309B01F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58</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2EFFF28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福兴整治k1+500左岸</w:t>
                  </w:r>
                </w:p>
              </w:tc>
              <w:tc>
                <w:tcPr>
                  <w:tcW w:w="733" w:type="pct"/>
                  <w:noWrap w:val="0"/>
                  <w:vAlign w:val="center"/>
                </w:tcPr>
                <w:p w14:paraId="0D6C00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140</w:t>
                  </w:r>
                </w:p>
              </w:tc>
              <w:tc>
                <w:tcPr>
                  <w:tcW w:w="990" w:type="pct"/>
                  <w:noWrap w:val="0"/>
                  <w:vAlign w:val="center"/>
                </w:tcPr>
                <w:p w14:paraId="3835B6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8户，约24人</w:t>
                  </w:r>
                </w:p>
              </w:tc>
              <w:tc>
                <w:tcPr>
                  <w:tcW w:w="609" w:type="pct"/>
                  <w:vMerge w:val="continue"/>
                  <w:noWrap w:val="0"/>
                  <w:vAlign w:val="center"/>
                </w:tcPr>
                <w:p w14:paraId="782D62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EE1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553B8AC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59</w:t>
                  </w:r>
                </w:p>
              </w:tc>
              <w:tc>
                <w:tcPr>
                  <w:tcW w:w="315" w:type="pct"/>
                  <w:vMerge w:val="continue"/>
                  <w:noWrap w:val="0"/>
                  <w:vAlign w:val="center"/>
                </w:tcPr>
                <w:p w14:paraId="61DF02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50E1439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59</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5A1ADED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福兴整治k1+500左岸</w:t>
                  </w:r>
                </w:p>
              </w:tc>
              <w:tc>
                <w:tcPr>
                  <w:tcW w:w="733" w:type="pct"/>
                  <w:noWrap w:val="0"/>
                  <w:vAlign w:val="center"/>
                </w:tcPr>
                <w:p w14:paraId="250B25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110</w:t>
                  </w:r>
                </w:p>
              </w:tc>
              <w:tc>
                <w:tcPr>
                  <w:tcW w:w="990" w:type="pct"/>
                  <w:noWrap w:val="0"/>
                  <w:vAlign w:val="center"/>
                </w:tcPr>
                <w:p w14:paraId="34A92D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10户，约30人</w:t>
                  </w:r>
                </w:p>
              </w:tc>
              <w:tc>
                <w:tcPr>
                  <w:tcW w:w="609" w:type="pct"/>
                  <w:vMerge w:val="continue"/>
                  <w:noWrap w:val="0"/>
                  <w:vAlign w:val="center"/>
                </w:tcPr>
                <w:p w14:paraId="12FEAE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E8D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3B0DE8B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60</w:t>
                  </w:r>
                </w:p>
              </w:tc>
              <w:tc>
                <w:tcPr>
                  <w:tcW w:w="315" w:type="pct"/>
                  <w:vMerge w:val="continue"/>
                  <w:noWrap w:val="0"/>
                  <w:vAlign w:val="center"/>
                </w:tcPr>
                <w:p w14:paraId="4207CA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3C89DEF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60</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471681B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福兴整治k1+500左岸</w:t>
                  </w:r>
                </w:p>
              </w:tc>
              <w:tc>
                <w:tcPr>
                  <w:tcW w:w="733" w:type="pct"/>
                  <w:noWrap w:val="0"/>
                  <w:vAlign w:val="center"/>
                </w:tcPr>
                <w:p w14:paraId="297C3D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230</w:t>
                  </w:r>
                </w:p>
              </w:tc>
              <w:tc>
                <w:tcPr>
                  <w:tcW w:w="990" w:type="pct"/>
                  <w:shd w:val="clear" w:color="auto" w:fill="auto"/>
                  <w:noWrap w:val="0"/>
                  <w:vAlign w:val="center"/>
                </w:tcPr>
                <w:p w14:paraId="6089D6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10户，约30人</w:t>
                  </w:r>
                </w:p>
              </w:tc>
              <w:tc>
                <w:tcPr>
                  <w:tcW w:w="609" w:type="pct"/>
                  <w:vMerge w:val="continue"/>
                  <w:noWrap w:val="0"/>
                  <w:vAlign w:val="center"/>
                </w:tcPr>
                <w:p w14:paraId="005DA6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0B7F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128766A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61</w:t>
                  </w:r>
                </w:p>
              </w:tc>
              <w:tc>
                <w:tcPr>
                  <w:tcW w:w="315" w:type="pct"/>
                  <w:vMerge w:val="continue"/>
                  <w:noWrap w:val="0"/>
                  <w:vAlign w:val="center"/>
                </w:tcPr>
                <w:p w14:paraId="429D8D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15ABC0A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61</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65A14C1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福兴整治k0+800右岸</w:t>
                  </w:r>
                </w:p>
              </w:tc>
              <w:tc>
                <w:tcPr>
                  <w:tcW w:w="733" w:type="pct"/>
                  <w:noWrap w:val="0"/>
                  <w:vAlign w:val="center"/>
                </w:tcPr>
                <w:p w14:paraId="166C93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315</w:t>
                  </w:r>
                </w:p>
              </w:tc>
              <w:tc>
                <w:tcPr>
                  <w:tcW w:w="990" w:type="pct"/>
                  <w:noWrap w:val="0"/>
                  <w:vAlign w:val="center"/>
                </w:tcPr>
                <w:p w14:paraId="30C2C1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15户，约45人</w:t>
                  </w:r>
                </w:p>
              </w:tc>
              <w:tc>
                <w:tcPr>
                  <w:tcW w:w="609" w:type="pct"/>
                  <w:vMerge w:val="continue"/>
                  <w:noWrap w:val="0"/>
                  <w:vAlign w:val="center"/>
                </w:tcPr>
                <w:p w14:paraId="45B682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41B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571C54F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62</w:t>
                  </w:r>
                </w:p>
              </w:tc>
              <w:tc>
                <w:tcPr>
                  <w:tcW w:w="315" w:type="pct"/>
                  <w:vMerge w:val="continue"/>
                  <w:noWrap w:val="0"/>
                  <w:vAlign w:val="center"/>
                </w:tcPr>
                <w:p w14:paraId="1BF4C0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49E5450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62</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6A0A927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福兴整治k1+000右岸</w:t>
                  </w:r>
                </w:p>
              </w:tc>
              <w:tc>
                <w:tcPr>
                  <w:tcW w:w="733" w:type="pct"/>
                  <w:noWrap w:val="0"/>
                  <w:vAlign w:val="center"/>
                </w:tcPr>
                <w:p w14:paraId="7C63F7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66</w:t>
                  </w:r>
                </w:p>
              </w:tc>
              <w:tc>
                <w:tcPr>
                  <w:tcW w:w="990" w:type="pct"/>
                  <w:noWrap w:val="0"/>
                  <w:vAlign w:val="center"/>
                </w:tcPr>
                <w:p w14:paraId="69FB1D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150户，约450人</w:t>
                  </w:r>
                </w:p>
              </w:tc>
              <w:tc>
                <w:tcPr>
                  <w:tcW w:w="609" w:type="pct"/>
                  <w:vMerge w:val="continue"/>
                  <w:noWrap w:val="0"/>
                  <w:vAlign w:val="center"/>
                </w:tcPr>
                <w:p w14:paraId="7DA952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4DA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270A3C2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63</w:t>
                  </w:r>
                </w:p>
              </w:tc>
              <w:tc>
                <w:tcPr>
                  <w:tcW w:w="315" w:type="pct"/>
                  <w:vMerge w:val="continue"/>
                  <w:noWrap w:val="0"/>
                  <w:vAlign w:val="center"/>
                </w:tcPr>
                <w:p w14:paraId="09D926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77C581E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63</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64C9E6C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福兴整治k1+000右岸</w:t>
                  </w:r>
                </w:p>
              </w:tc>
              <w:tc>
                <w:tcPr>
                  <w:tcW w:w="733" w:type="pct"/>
                  <w:noWrap w:val="0"/>
                  <w:vAlign w:val="center"/>
                </w:tcPr>
                <w:p w14:paraId="266B13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310</w:t>
                  </w:r>
                </w:p>
              </w:tc>
              <w:tc>
                <w:tcPr>
                  <w:tcW w:w="990" w:type="pct"/>
                  <w:noWrap w:val="0"/>
                  <w:vAlign w:val="center"/>
                </w:tcPr>
                <w:p w14:paraId="529B5D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3户，约9人</w:t>
                  </w:r>
                </w:p>
              </w:tc>
              <w:tc>
                <w:tcPr>
                  <w:tcW w:w="609" w:type="pct"/>
                  <w:vMerge w:val="continue"/>
                  <w:noWrap w:val="0"/>
                  <w:vAlign w:val="center"/>
                </w:tcPr>
                <w:p w14:paraId="6700F4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5A02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15B4808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64</w:t>
                  </w:r>
                </w:p>
              </w:tc>
              <w:tc>
                <w:tcPr>
                  <w:tcW w:w="315" w:type="pct"/>
                  <w:vMerge w:val="continue"/>
                  <w:noWrap w:val="0"/>
                  <w:vAlign w:val="center"/>
                </w:tcPr>
                <w:p w14:paraId="61A6C1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2411BD9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64</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4910CE9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福兴整治k1+795右岸</w:t>
                  </w:r>
                </w:p>
              </w:tc>
              <w:tc>
                <w:tcPr>
                  <w:tcW w:w="733" w:type="pct"/>
                  <w:noWrap w:val="0"/>
                  <w:vAlign w:val="center"/>
                </w:tcPr>
                <w:p w14:paraId="0FB1E0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115</w:t>
                  </w:r>
                </w:p>
              </w:tc>
              <w:tc>
                <w:tcPr>
                  <w:tcW w:w="990" w:type="pct"/>
                  <w:noWrap w:val="0"/>
                  <w:vAlign w:val="center"/>
                </w:tcPr>
                <w:p w14:paraId="757598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4户，约12人</w:t>
                  </w:r>
                </w:p>
              </w:tc>
              <w:tc>
                <w:tcPr>
                  <w:tcW w:w="609" w:type="pct"/>
                  <w:vMerge w:val="continue"/>
                  <w:noWrap w:val="0"/>
                  <w:vAlign w:val="center"/>
                </w:tcPr>
                <w:p w14:paraId="114FAE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5B63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4EA9D3A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65</w:t>
                  </w:r>
                </w:p>
              </w:tc>
              <w:tc>
                <w:tcPr>
                  <w:tcW w:w="315" w:type="pct"/>
                  <w:vMerge w:val="continue"/>
                  <w:noWrap w:val="0"/>
                  <w:vAlign w:val="center"/>
                </w:tcPr>
                <w:p w14:paraId="1821C5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797F046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65</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3EE29AE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福兴整治k1+795左岸</w:t>
                  </w:r>
                </w:p>
              </w:tc>
              <w:tc>
                <w:tcPr>
                  <w:tcW w:w="733" w:type="pct"/>
                  <w:noWrap w:val="0"/>
                  <w:vAlign w:val="center"/>
                </w:tcPr>
                <w:p w14:paraId="7EFBD7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145</w:t>
                  </w:r>
                </w:p>
              </w:tc>
              <w:tc>
                <w:tcPr>
                  <w:tcW w:w="990" w:type="pct"/>
                  <w:shd w:val="clear" w:color="auto" w:fill="auto"/>
                  <w:noWrap w:val="0"/>
                  <w:vAlign w:val="center"/>
                </w:tcPr>
                <w:p w14:paraId="31B30A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4户，约12人</w:t>
                  </w:r>
                </w:p>
              </w:tc>
              <w:tc>
                <w:tcPr>
                  <w:tcW w:w="609" w:type="pct"/>
                  <w:vMerge w:val="continue"/>
                  <w:noWrap w:val="0"/>
                  <w:vAlign w:val="center"/>
                </w:tcPr>
                <w:p w14:paraId="0CA1C3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6F614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6188E64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66</w:t>
                  </w:r>
                </w:p>
              </w:tc>
              <w:tc>
                <w:tcPr>
                  <w:tcW w:w="315" w:type="pct"/>
                  <w:vMerge w:val="continue"/>
                  <w:noWrap w:val="0"/>
                  <w:vAlign w:val="center"/>
                </w:tcPr>
                <w:p w14:paraId="60F01D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781E564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66</w:t>
                  </w:r>
                  <w:r>
                    <w:rPr>
                      <w:rFonts w:hint="default" w:ascii="Times New Roman" w:hAnsi="Times New Roman" w:cs="Times New Roman"/>
                      <w:color w:val="auto"/>
                      <w:sz w:val="21"/>
                      <w:szCs w:val="21"/>
                      <w:highlight w:val="none"/>
                    </w:rPr>
                    <w:t>#居民点</w:t>
                  </w:r>
                </w:p>
              </w:tc>
              <w:tc>
                <w:tcPr>
                  <w:tcW w:w="1259" w:type="pct"/>
                  <w:noWrap w:val="0"/>
                  <w:vAlign w:val="center"/>
                </w:tcPr>
                <w:p w14:paraId="4EFFEDB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福兴整治k1+795右岸</w:t>
                  </w:r>
                </w:p>
              </w:tc>
              <w:tc>
                <w:tcPr>
                  <w:tcW w:w="733" w:type="pct"/>
                  <w:noWrap w:val="0"/>
                  <w:vAlign w:val="center"/>
                </w:tcPr>
                <w:p w14:paraId="57B219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340</w:t>
                  </w:r>
                </w:p>
              </w:tc>
              <w:tc>
                <w:tcPr>
                  <w:tcW w:w="990" w:type="pct"/>
                  <w:shd w:val="clear" w:color="auto" w:fill="auto"/>
                  <w:noWrap w:val="0"/>
                  <w:vAlign w:val="center"/>
                </w:tcPr>
                <w:p w14:paraId="36FC5E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4户，约12人</w:t>
                  </w:r>
                </w:p>
              </w:tc>
              <w:tc>
                <w:tcPr>
                  <w:tcW w:w="609" w:type="pct"/>
                  <w:vMerge w:val="continue"/>
                  <w:noWrap w:val="0"/>
                  <w:vAlign w:val="center"/>
                </w:tcPr>
                <w:p w14:paraId="13F0D7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1D6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0501629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67</w:t>
                  </w:r>
                </w:p>
              </w:tc>
              <w:tc>
                <w:tcPr>
                  <w:tcW w:w="315" w:type="pct"/>
                  <w:vMerge w:val="continue"/>
                  <w:noWrap w:val="0"/>
                  <w:vAlign w:val="center"/>
                </w:tcPr>
                <w:p w14:paraId="381F40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735" w:type="pct"/>
                  <w:shd w:val="clear" w:color="auto" w:fill="auto"/>
                  <w:noWrap w:val="0"/>
                  <w:vAlign w:val="center"/>
                </w:tcPr>
                <w:p w14:paraId="4C536E5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67</w:t>
                  </w:r>
                  <w:r>
                    <w:rPr>
                      <w:rFonts w:hint="default" w:ascii="Times New Roman" w:hAnsi="Times New Roman" w:cs="Times New Roman"/>
                      <w:color w:val="auto"/>
                      <w:sz w:val="21"/>
                      <w:szCs w:val="21"/>
                      <w:highlight w:val="none"/>
                    </w:rPr>
                    <w:t>#居民点</w:t>
                  </w:r>
                </w:p>
              </w:tc>
              <w:tc>
                <w:tcPr>
                  <w:tcW w:w="1259" w:type="pct"/>
                  <w:noWrap w:val="0"/>
                  <w:vAlign w:val="center"/>
                </w:tcPr>
                <w:p w14:paraId="14ED71A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福兴整治k1+795右岸</w:t>
                  </w:r>
                </w:p>
              </w:tc>
              <w:tc>
                <w:tcPr>
                  <w:tcW w:w="733" w:type="pct"/>
                  <w:noWrap w:val="0"/>
                  <w:vAlign w:val="center"/>
                </w:tcPr>
                <w:p w14:paraId="7910AE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380</w:t>
                  </w:r>
                </w:p>
              </w:tc>
              <w:tc>
                <w:tcPr>
                  <w:tcW w:w="990" w:type="pct"/>
                  <w:noWrap w:val="0"/>
                  <w:vAlign w:val="center"/>
                </w:tcPr>
                <w:p w14:paraId="06E9F7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10户，约30人</w:t>
                  </w:r>
                </w:p>
              </w:tc>
              <w:tc>
                <w:tcPr>
                  <w:tcW w:w="609" w:type="pct"/>
                  <w:vMerge w:val="continue"/>
                  <w:noWrap w:val="0"/>
                  <w:vAlign w:val="center"/>
                </w:tcPr>
                <w:p w14:paraId="1066DD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7E10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noWrap w:val="0"/>
                  <w:vAlign w:val="center"/>
                </w:tcPr>
                <w:p w14:paraId="0DC2CD1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68</w:t>
                  </w:r>
                </w:p>
              </w:tc>
              <w:tc>
                <w:tcPr>
                  <w:tcW w:w="315" w:type="pct"/>
                  <w:vMerge w:val="restart"/>
                  <w:shd w:val="clear" w:color="auto" w:fill="auto"/>
                  <w:noWrap w:val="0"/>
                  <w:vAlign w:val="center"/>
                </w:tcPr>
                <w:p w14:paraId="4DD75D6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石河镇段</w:t>
                  </w:r>
                </w:p>
              </w:tc>
              <w:tc>
                <w:tcPr>
                  <w:tcW w:w="735" w:type="pct"/>
                  <w:shd w:val="clear" w:color="auto" w:fill="auto"/>
                  <w:noWrap w:val="0"/>
                  <w:vAlign w:val="center"/>
                </w:tcPr>
                <w:p w14:paraId="788F179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#居民点</w:t>
                  </w:r>
                </w:p>
              </w:tc>
              <w:tc>
                <w:tcPr>
                  <w:tcW w:w="1259" w:type="pct"/>
                  <w:shd w:val="clear" w:color="auto" w:fill="auto"/>
                  <w:noWrap w:val="0"/>
                  <w:vAlign w:val="center"/>
                </w:tcPr>
                <w:p w14:paraId="72DDC67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石0+900左岸</w:t>
                  </w:r>
                </w:p>
              </w:tc>
              <w:tc>
                <w:tcPr>
                  <w:tcW w:w="733" w:type="pct"/>
                  <w:shd w:val="clear" w:color="auto" w:fill="auto"/>
                  <w:noWrap w:val="0"/>
                  <w:vAlign w:val="center"/>
                </w:tcPr>
                <w:p w14:paraId="5986905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35</w:t>
                  </w:r>
                </w:p>
              </w:tc>
              <w:tc>
                <w:tcPr>
                  <w:tcW w:w="990" w:type="pct"/>
                  <w:shd w:val="clear" w:color="auto" w:fill="auto"/>
                  <w:noWrap w:val="0"/>
                  <w:vAlign w:val="center"/>
                </w:tcPr>
                <w:p w14:paraId="675336A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10户，约30人</w:t>
                  </w:r>
                </w:p>
              </w:tc>
              <w:tc>
                <w:tcPr>
                  <w:tcW w:w="609" w:type="pct"/>
                  <w:vMerge w:val="restart"/>
                  <w:shd w:val="clear" w:color="auto" w:fill="auto"/>
                  <w:noWrap w:val="0"/>
                  <w:vAlign w:val="center"/>
                </w:tcPr>
                <w:p w14:paraId="265DD707">
                  <w:pPr>
                    <w:pStyle w:val="23"/>
                    <w:keepNext w:val="0"/>
                    <w:keepLines w:val="0"/>
                    <w:pageBreakBefore w:val="0"/>
                    <w:widowControl w:val="0"/>
                    <w:kinsoku w:val="0"/>
                    <w:wordWrap/>
                    <w:overflowPunct w:val="0"/>
                    <w:topLinePunct w:val="0"/>
                    <w:autoSpaceDE w:val="0"/>
                    <w:autoSpaceDN w:val="0"/>
                    <w:bidi w:val="0"/>
                    <w:snapToGrid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rPr>
                    <w:t>环境空气二类区</w:t>
                  </w:r>
                </w:p>
              </w:tc>
            </w:tr>
            <w:tr w14:paraId="5DE3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1B0FDD7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69</w:t>
                  </w:r>
                </w:p>
              </w:tc>
              <w:tc>
                <w:tcPr>
                  <w:tcW w:w="315" w:type="pct"/>
                  <w:vMerge w:val="continue"/>
                </w:tcPr>
                <w:p w14:paraId="40D2C0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0DEFE792">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593CC55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石0+000右岸</w:t>
                  </w:r>
                </w:p>
              </w:tc>
              <w:tc>
                <w:tcPr>
                  <w:tcW w:w="0" w:type="auto"/>
                  <w:shd w:val="clear" w:color="auto" w:fill="auto"/>
                  <w:vAlign w:val="center"/>
                </w:tcPr>
                <w:p w14:paraId="188C7FB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11</w:t>
                  </w:r>
                </w:p>
              </w:tc>
              <w:tc>
                <w:tcPr>
                  <w:tcW w:w="0" w:type="auto"/>
                  <w:shd w:val="clear" w:color="auto" w:fill="auto"/>
                  <w:vAlign w:val="center"/>
                </w:tcPr>
                <w:p w14:paraId="21D4A59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4户，约12人</w:t>
                  </w:r>
                </w:p>
              </w:tc>
              <w:tc>
                <w:tcPr>
                  <w:tcW w:w="609" w:type="pct"/>
                  <w:vMerge w:val="continue"/>
                </w:tcPr>
                <w:p w14:paraId="090578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602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7E74C62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70</w:t>
                  </w:r>
                </w:p>
              </w:tc>
              <w:tc>
                <w:tcPr>
                  <w:tcW w:w="315" w:type="pct"/>
                  <w:vMerge w:val="continue"/>
                </w:tcPr>
                <w:p w14:paraId="029777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46E874F0">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356B2C2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石0+000左岸</w:t>
                  </w:r>
                </w:p>
              </w:tc>
              <w:tc>
                <w:tcPr>
                  <w:tcW w:w="0" w:type="auto"/>
                  <w:shd w:val="clear" w:color="auto" w:fill="auto"/>
                  <w:vAlign w:val="center"/>
                </w:tcPr>
                <w:p w14:paraId="637E5F9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15</w:t>
                  </w:r>
                </w:p>
              </w:tc>
              <w:tc>
                <w:tcPr>
                  <w:tcW w:w="0" w:type="auto"/>
                  <w:shd w:val="clear" w:color="auto" w:fill="auto"/>
                  <w:vAlign w:val="center"/>
                </w:tcPr>
                <w:p w14:paraId="727B82F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15户，约45人</w:t>
                  </w:r>
                </w:p>
              </w:tc>
              <w:tc>
                <w:tcPr>
                  <w:tcW w:w="609" w:type="pct"/>
                  <w:vMerge w:val="continue"/>
                </w:tcPr>
                <w:p w14:paraId="5959CB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3538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0C4834C9">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71</w:t>
                  </w:r>
                </w:p>
              </w:tc>
              <w:tc>
                <w:tcPr>
                  <w:tcW w:w="315" w:type="pct"/>
                  <w:vMerge w:val="continue"/>
                </w:tcPr>
                <w:p w14:paraId="5BBE2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7862D16A">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2C33ED8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石0+800左岸</w:t>
                  </w:r>
                </w:p>
              </w:tc>
              <w:tc>
                <w:tcPr>
                  <w:tcW w:w="0" w:type="auto"/>
                  <w:shd w:val="clear" w:color="auto" w:fill="auto"/>
                  <w:vAlign w:val="center"/>
                </w:tcPr>
                <w:p w14:paraId="2A80C25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32</w:t>
                  </w:r>
                </w:p>
              </w:tc>
              <w:tc>
                <w:tcPr>
                  <w:tcW w:w="0" w:type="auto"/>
                  <w:shd w:val="clear" w:color="auto" w:fill="auto"/>
                  <w:vAlign w:val="center"/>
                </w:tcPr>
                <w:p w14:paraId="50F99A7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5户，约15人</w:t>
                  </w:r>
                </w:p>
              </w:tc>
              <w:tc>
                <w:tcPr>
                  <w:tcW w:w="609" w:type="pct"/>
                  <w:vMerge w:val="continue"/>
                </w:tcPr>
                <w:p w14:paraId="59E2E1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6063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2D48D52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72</w:t>
                  </w:r>
                </w:p>
              </w:tc>
              <w:tc>
                <w:tcPr>
                  <w:tcW w:w="315" w:type="pct"/>
                  <w:vMerge w:val="continue"/>
                </w:tcPr>
                <w:p w14:paraId="03BB1E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2C2AA097">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518F581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石1+550右岸</w:t>
                  </w:r>
                </w:p>
              </w:tc>
              <w:tc>
                <w:tcPr>
                  <w:tcW w:w="0" w:type="auto"/>
                  <w:shd w:val="clear" w:color="auto" w:fill="auto"/>
                  <w:vAlign w:val="center"/>
                </w:tcPr>
                <w:p w14:paraId="532A59D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50</w:t>
                  </w:r>
                </w:p>
              </w:tc>
              <w:tc>
                <w:tcPr>
                  <w:tcW w:w="0" w:type="auto"/>
                  <w:shd w:val="clear" w:color="auto" w:fill="auto"/>
                  <w:vAlign w:val="center"/>
                </w:tcPr>
                <w:p w14:paraId="60F8A89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1户，约3人</w:t>
                  </w:r>
                </w:p>
              </w:tc>
              <w:tc>
                <w:tcPr>
                  <w:tcW w:w="609" w:type="pct"/>
                  <w:vMerge w:val="continue"/>
                </w:tcPr>
                <w:p w14:paraId="7A44D9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57B1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6688A58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73</w:t>
                  </w:r>
                </w:p>
              </w:tc>
              <w:tc>
                <w:tcPr>
                  <w:tcW w:w="315" w:type="pct"/>
                  <w:vMerge w:val="continue"/>
                </w:tcPr>
                <w:p w14:paraId="163E25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6CDA7337">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37272A5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石0+000左岸</w:t>
                  </w:r>
                </w:p>
              </w:tc>
              <w:tc>
                <w:tcPr>
                  <w:tcW w:w="0" w:type="auto"/>
                  <w:shd w:val="clear" w:color="auto" w:fill="auto"/>
                  <w:vAlign w:val="center"/>
                </w:tcPr>
                <w:p w14:paraId="01E13F8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66</w:t>
                  </w:r>
                </w:p>
              </w:tc>
              <w:tc>
                <w:tcPr>
                  <w:tcW w:w="0" w:type="auto"/>
                  <w:shd w:val="clear" w:color="auto" w:fill="auto"/>
                  <w:vAlign w:val="center"/>
                </w:tcPr>
                <w:p w14:paraId="58AA468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50户，约150人</w:t>
                  </w:r>
                </w:p>
              </w:tc>
              <w:tc>
                <w:tcPr>
                  <w:tcW w:w="609" w:type="pct"/>
                  <w:vMerge w:val="continue"/>
                </w:tcPr>
                <w:p w14:paraId="1D9BA4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0FCD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5259734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74</w:t>
                  </w:r>
                </w:p>
              </w:tc>
              <w:tc>
                <w:tcPr>
                  <w:tcW w:w="315" w:type="pct"/>
                  <w:vMerge w:val="continue"/>
                </w:tcPr>
                <w:p w14:paraId="1A5801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03AF6A47">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11</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3770848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石0+000左岸</w:t>
                  </w:r>
                </w:p>
              </w:tc>
              <w:tc>
                <w:tcPr>
                  <w:tcW w:w="0" w:type="auto"/>
                  <w:shd w:val="clear" w:color="auto" w:fill="auto"/>
                  <w:vAlign w:val="center"/>
                </w:tcPr>
                <w:p w14:paraId="67ECFF6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240</w:t>
                  </w:r>
                </w:p>
              </w:tc>
              <w:tc>
                <w:tcPr>
                  <w:tcW w:w="0" w:type="auto"/>
                  <w:shd w:val="clear" w:color="auto" w:fill="auto"/>
                  <w:vAlign w:val="center"/>
                </w:tcPr>
                <w:p w14:paraId="53A07FF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2户，约6人</w:t>
                  </w:r>
                </w:p>
              </w:tc>
              <w:tc>
                <w:tcPr>
                  <w:tcW w:w="609" w:type="pct"/>
                  <w:vMerge w:val="continue"/>
                </w:tcPr>
                <w:p w14:paraId="15DA94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0F56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3262A89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75</w:t>
                  </w:r>
                </w:p>
              </w:tc>
              <w:tc>
                <w:tcPr>
                  <w:tcW w:w="315" w:type="pct"/>
                  <w:vMerge w:val="continue"/>
                </w:tcPr>
                <w:p w14:paraId="276DA3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316D67B1">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409F052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石0+000左岸</w:t>
                  </w:r>
                </w:p>
              </w:tc>
              <w:tc>
                <w:tcPr>
                  <w:tcW w:w="0" w:type="auto"/>
                  <w:shd w:val="clear" w:color="auto" w:fill="auto"/>
                  <w:vAlign w:val="center"/>
                </w:tcPr>
                <w:p w14:paraId="438C25D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400</w:t>
                  </w:r>
                </w:p>
              </w:tc>
              <w:tc>
                <w:tcPr>
                  <w:tcW w:w="0" w:type="auto"/>
                  <w:shd w:val="clear" w:color="auto" w:fill="auto"/>
                  <w:vAlign w:val="center"/>
                </w:tcPr>
                <w:p w14:paraId="15287FC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12户，约36人</w:t>
                  </w:r>
                </w:p>
              </w:tc>
              <w:tc>
                <w:tcPr>
                  <w:tcW w:w="609" w:type="pct"/>
                  <w:vMerge w:val="continue"/>
                </w:tcPr>
                <w:p w14:paraId="622FDB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341E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17457B7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76</w:t>
                  </w:r>
                </w:p>
              </w:tc>
              <w:tc>
                <w:tcPr>
                  <w:tcW w:w="315" w:type="pct"/>
                  <w:vMerge w:val="continue"/>
                </w:tcPr>
                <w:p w14:paraId="0E06F5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059A4191">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13</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4CDD7D6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石0+000右岸</w:t>
                  </w:r>
                </w:p>
              </w:tc>
              <w:tc>
                <w:tcPr>
                  <w:tcW w:w="0" w:type="auto"/>
                  <w:shd w:val="clear" w:color="auto" w:fill="auto"/>
                  <w:vAlign w:val="center"/>
                </w:tcPr>
                <w:p w14:paraId="5DD493F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85</w:t>
                  </w:r>
                </w:p>
              </w:tc>
              <w:tc>
                <w:tcPr>
                  <w:tcW w:w="0" w:type="auto"/>
                  <w:shd w:val="clear" w:color="auto" w:fill="auto"/>
                  <w:vAlign w:val="center"/>
                </w:tcPr>
                <w:p w14:paraId="5DFB5CE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6户，约18人</w:t>
                  </w:r>
                </w:p>
              </w:tc>
              <w:tc>
                <w:tcPr>
                  <w:tcW w:w="609" w:type="pct"/>
                  <w:vMerge w:val="continue"/>
                </w:tcPr>
                <w:p w14:paraId="14FAFB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BFA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633DF7F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77</w:t>
                  </w:r>
                </w:p>
              </w:tc>
              <w:tc>
                <w:tcPr>
                  <w:tcW w:w="315" w:type="pct"/>
                  <w:vMerge w:val="continue"/>
                </w:tcPr>
                <w:p w14:paraId="1230A5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0D07F9A0">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14</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0EE59B6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石0+000左岸</w:t>
                  </w:r>
                </w:p>
              </w:tc>
              <w:tc>
                <w:tcPr>
                  <w:tcW w:w="0" w:type="auto"/>
                  <w:shd w:val="clear" w:color="auto" w:fill="auto"/>
                  <w:vAlign w:val="center"/>
                </w:tcPr>
                <w:p w14:paraId="53A9974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442</w:t>
                  </w:r>
                </w:p>
              </w:tc>
              <w:tc>
                <w:tcPr>
                  <w:tcW w:w="0" w:type="auto"/>
                  <w:shd w:val="clear" w:color="auto" w:fill="auto"/>
                  <w:vAlign w:val="center"/>
                </w:tcPr>
                <w:p w14:paraId="7CB602AA">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15户，约45人</w:t>
                  </w:r>
                </w:p>
              </w:tc>
              <w:tc>
                <w:tcPr>
                  <w:tcW w:w="609" w:type="pct"/>
                  <w:vMerge w:val="continue"/>
                </w:tcPr>
                <w:p w14:paraId="3D8EB0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429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597B3FD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78</w:t>
                  </w:r>
                </w:p>
              </w:tc>
              <w:tc>
                <w:tcPr>
                  <w:tcW w:w="315" w:type="pct"/>
                  <w:vMerge w:val="continue"/>
                </w:tcPr>
                <w:p w14:paraId="7B3DCC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1EDC2E7E">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5D00E24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石0+000右岸</w:t>
                  </w:r>
                </w:p>
              </w:tc>
              <w:tc>
                <w:tcPr>
                  <w:tcW w:w="0" w:type="auto"/>
                  <w:shd w:val="clear" w:color="auto" w:fill="auto"/>
                  <w:vAlign w:val="center"/>
                </w:tcPr>
                <w:p w14:paraId="3DB745E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300</w:t>
                  </w:r>
                </w:p>
              </w:tc>
              <w:tc>
                <w:tcPr>
                  <w:tcW w:w="0" w:type="auto"/>
                  <w:shd w:val="clear" w:color="auto" w:fill="auto"/>
                  <w:vAlign w:val="center"/>
                </w:tcPr>
                <w:p w14:paraId="2E6DC6B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12户，约36人</w:t>
                  </w:r>
                </w:p>
              </w:tc>
              <w:tc>
                <w:tcPr>
                  <w:tcW w:w="609" w:type="pct"/>
                  <w:vMerge w:val="continue"/>
                </w:tcPr>
                <w:p w14:paraId="01F829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58EE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3607FD6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79</w:t>
                  </w:r>
                </w:p>
              </w:tc>
              <w:tc>
                <w:tcPr>
                  <w:tcW w:w="315" w:type="pct"/>
                  <w:vMerge w:val="continue"/>
                </w:tcPr>
                <w:p w14:paraId="4DF33A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0916368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16</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68B5024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石0+000右岸</w:t>
                  </w:r>
                </w:p>
              </w:tc>
              <w:tc>
                <w:tcPr>
                  <w:tcW w:w="0" w:type="auto"/>
                  <w:shd w:val="clear" w:color="auto" w:fill="auto"/>
                  <w:vAlign w:val="center"/>
                </w:tcPr>
                <w:p w14:paraId="7FB6436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420</w:t>
                  </w:r>
                </w:p>
              </w:tc>
              <w:tc>
                <w:tcPr>
                  <w:tcW w:w="0" w:type="auto"/>
                  <w:shd w:val="clear" w:color="auto" w:fill="auto"/>
                  <w:vAlign w:val="center"/>
                </w:tcPr>
                <w:p w14:paraId="15C9DFC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25户，约75人</w:t>
                  </w:r>
                </w:p>
              </w:tc>
              <w:tc>
                <w:tcPr>
                  <w:tcW w:w="609" w:type="pct"/>
                  <w:vMerge w:val="continue"/>
                </w:tcPr>
                <w:p w14:paraId="5FCDD8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E8D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377867F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80</w:t>
                  </w:r>
                </w:p>
              </w:tc>
              <w:tc>
                <w:tcPr>
                  <w:tcW w:w="315" w:type="pct"/>
                  <w:vMerge w:val="continue"/>
                </w:tcPr>
                <w:p w14:paraId="626391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066BDD2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17</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7E5E548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石0+200右岸</w:t>
                  </w:r>
                </w:p>
              </w:tc>
              <w:tc>
                <w:tcPr>
                  <w:tcW w:w="0" w:type="auto"/>
                  <w:shd w:val="clear" w:color="auto" w:fill="auto"/>
                  <w:vAlign w:val="center"/>
                </w:tcPr>
                <w:p w14:paraId="38AE968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130</w:t>
                  </w:r>
                </w:p>
              </w:tc>
              <w:tc>
                <w:tcPr>
                  <w:tcW w:w="0" w:type="auto"/>
                  <w:shd w:val="clear" w:color="auto" w:fill="auto"/>
                  <w:vAlign w:val="center"/>
                </w:tcPr>
                <w:p w14:paraId="4F4DD4F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25户，约75人</w:t>
                  </w:r>
                </w:p>
              </w:tc>
              <w:tc>
                <w:tcPr>
                  <w:tcW w:w="609" w:type="pct"/>
                  <w:vMerge w:val="continue"/>
                </w:tcPr>
                <w:p w14:paraId="5BC02A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B96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5B12098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81</w:t>
                  </w:r>
                </w:p>
              </w:tc>
              <w:tc>
                <w:tcPr>
                  <w:tcW w:w="315" w:type="pct"/>
                  <w:vMerge w:val="continue"/>
                </w:tcPr>
                <w:p w14:paraId="12FCF0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5B8193A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18</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7356DDA2">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石0+350左岸</w:t>
                  </w:r>
                </w:p>
              </w:tc>
              <w:tc>
                <w:tcPr>
                  <w:tcW w:w="0" w:type="auto"/>
                  <w:shd w:val="clear" w:color="auto" w:fill="auto"/>
                  <w:vAlign w:val="center"/>
                </w:tcPr>
                <w:p w14:paraId="33A2805A">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170</w:t>
                  </w:r>
                </w:p>
              </w:tc>
              <w:tc>
                <w:tcPr>
                  <w:tcW w:w="0" w:type="auto"/>
                  <w:shd w:val="clear" w:color="auto" w:fill="auto"/>
                  <w:vAlign w:val="center"/>
                </w:tcPr>
                <w:p w14:paraId="66EBE5D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7户，约21人</w:t>
                  </w:r>
                </w:p>
              </w:tc>
              <w:tc>
                <w:tcPr>
                  <w:tcW w:w="609" w:type="pct"/>
                  <w:vMerge w:val="continue"/>
                </w:tcPr>
                <w:p w14:paraId="2E8735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6772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52BE4EEA">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82</w:t>
                  </w:r>
                </w:p>
              </w:tc>
              <w:tc>
                <w:tcPr>
                  <w:tcW w:w="315" w:type="pct"/>
                  <w:vMerge w:val="continue"/>
                </w:tcPr>
                <w:p w14:paraId="237E44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1D2B8E1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19</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71D48C6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石0+835左岸</w:t>
                  </w:r>
                </w:p>
              </w:tc>
              <w:tc>
                <w:tcPr>
                  <w:tcW w:w="0" w:type="auto"/>
                  <w:shd w:val="clear" w:color="auto" w:fill="auto"/>
                  <w:vAlign w:val="center"/>
                </w:tcPr>
                <w:p w14:paraId="5B807B4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96</w:t>
                  </w:r>
                </w:p>
              </w:tc>
              <w:tc>
                <w:tcPr>
                  <w:tcW w:w="0" w:type="auto"/>
                  <w:shd w:val="clear" w:color="auto" w:fill="auto"/>
                  <w:vAlign w:val="center"/>
                </w:tcPr>
                <w:p w14:paraId="39BCC07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15户，约45人</w:t>
                  </w:r>
                </w:p>
              </w:tc>
              <w:tc>
                <w:tcPr>
                  <w:tcW w:w="609" w:type="pct"/>
                  <w:vMerge w:val="continue"/>
                </w:tcPr>
                <w:p w14:paraId="4B8816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617F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43323C9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83</w:t>
                  </w:r>
                </w:p>
              </w:tc>
              <w:tc>
                <w:tcPr>
                  <w:tcW w:w="315" w:type="pct"/>
                  <w:vMerge w:val="continue"/>
                </w:tcPr>
                <w:p w14:paraId="473652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48C480C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7215E32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石0+950左岸</w:t>
                  </w:r>
                </w:p>
              </w:tc>
              <w:tc>
                <w:tcPr>
                  <w:tcW w:w="0" w:type="auto"/>
                  <w:shd w:val="clear" w:color="auto" w:fill="auto"/>
                  <w:vAlign w:val="center"/>
                </w:tcPr>
                <w:p w14:paraId="72352A4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65</w:t>
                  </w:r>
                </w:p>
              </w:tc>
              <w:tc>
                <w:tcPr>
                  <w:tcW w:w="0" w:type="auto"/>
                  <w:shd w:val="clear" w:color="auto" w:fill="auto"/>
                  <w:vAlign w:val="center"/>
                </w:tcPr>
                <w:p w14:paraId="54FD136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200户，约600人</w:t>
                  </w:r>
                </w:p>
              </w:tc>
              <w:tc>
                <w:tcPr>
                  <w:tcW w:w="609" w:type="pct"/>
                  <w:vMerge w:val="continue"/>
                </w:tcPr>
                <w:p w14:paraId="548428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5C7A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5904F8E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84</w:t>
                  </w:r>
                </w:p>
              </w:tc>
              <w:tc>
                <w:tcPr>
                  <w:tcW w:w="315" w:type="pct"/>
                  <w:vMerge w:val="continue"/>
                </w:tcPr>
                <w:p w14:paraId="6E9B75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32F2A11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21</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5119E88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石1+100右岸</w:t>
                  </w:r>
                </w:p>
              </w:tc>
              <w:tc>
                <w:tcPr>
                  <w:tcW w:w="0" w:type="auto"/>
                  <w:shd w:val="clear" w:color="auto" w:fill="auto"/>
                  <w:vAlign w:val="center"/>
                </w:tcPr>
                <w:p w14:paraId="0069C3B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54</w:t>
                  </w:r>
                </w:p>
              </w:tc>
              <w:tc>
                <w:tcPr>
                  <w:tcW w:w="0" w:type="auto"/>
                  <w:shd w:val="clear" w:color="auto" w:fill="auto"/>
                  <w:vAlign w:val="center"/>
                </w:tcPr>
                <w:p w14:paraId="5CDD471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12户，约36人</w:t>
                  </w:r>
                </w:p>
              </w:tc>
              <w:tc>
                <w:tcPr>
                  <w:tcW w:w="609" w:type="pct"/>
                  <w:vMerge w:val="continue"/>
                </w:tcPr>
                <w:p w14:paraId="7AD7C9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9B2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69B0B5C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85</w:t>
                  </w:r>
                </w:p>
              </w:tc>
              <w:tc>
                <w:tcPr>
                  <w:tcW w:w="315" w:type="pct"/>
                  <w:vMerge w:val="continue"/>
                </w:tcPr>
                <w:p w14:paraId="7B4F7A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368247EE">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22</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7633F32E">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石1+400右岸</w:t>
                  </w:r>
                </w:p>
              </w:tc>
              <w:tc>
                <w:tcPr>
                  <w:tcW w:w="0" w:type="auto"/>
                  <w:shd w:val="clear" w:color="auto" w:fill="auto"/>
                  <w:vAlign w:val="center"/>
                </w:tcPr>
                <w:p w14:paraId="7119CC5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130</w:t>
                  </w:r>
                </w:p>
              </w:tc>
              <w:tc>
                <w:tcPr>
                  <w:tcW w:w="0" w:type="auto"/>
                  <w:shd w:val="clear" w:color="auto" w:fill="auto"/>
                  <w:vAlign w:val="center"/>
                </w:tcPr>
                <w:p w14:paraId="0A07FEA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10户，约30人</w:t>
                  </w:r>
                </w:p>
              </w:tc>
              <w:tc>
                <w:tcPr>
                  <w:tcW w:w="609" w:type="pct"/>
                  <w:vMerge w:val="continue"/>
                </w:tcPr>
                <w:p w14:paraId="415ABC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8F8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4EDF82D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86</w:t>
                  </w:r>
                </w:p>
              </w:tc>
              <w:tc>
                <w:tcPr>
                  <w:tcW w:w="315" w:type="pct"/>
                  <w:vMerge w:val="continue"/>
                </w:tcPr>
                <w:p w14:paraId="057F1F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6B3D11D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23</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4B92B3D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石1+200右岸</w:t>
                  </w:r>
                </w:p>
              </w:tc>
              <w:tc>
                <w:tcPr>
                  <w:tcW w:w="0" w:type="auto"/>
                  <w:shd w:val="clear" w:color="auto" w:fill="auto"/>
                  <w:vAlign w:val="center"/>
                </w:tcPr>
                <w:p w14:paraId="5CC3BA2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240</w:t>
                  </w:r>
                </w:p>
              </w:tc>
              <w:tc>
                <w:tcPr>
                  <w:tcW w:w="0" w:type="auto"/>
                  <w:shd w:val="clear" w:color="auto" w:fill="auto"/>
                  <w:vAlign w:val="center"/>
                </w:tcPr>
                <w:p w14:paraId="35E6A7A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5户，约15人</w:t>
                  </w:r>
                </w:p>
              </w:tc>
              <w:tc>
                <w:tcPr>
                  <w:tcW w:w="609" w:type="pct"/>
                  <w:vMerge w:val="continue"/>
                </w:tcPr>
                <w:p w14:paraId="1A1D18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502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30B90E1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87</w:t>
                  </w:r>
                </w:p>
              </w:tc>
              <w:tc>
                <w:tcPr>
                  <w:tcW w:w="315" w:type="pct"/>
                  <w:vMerge w:val="continue"/>
                </w:tcPr>
                <w:p w14:paraId="14DED4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779266E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24</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0059FBDE">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石1+800右岸</w:t>
                  </w:r>
                </w:p>
              </w:tc>
              <w:tc>
                <w:tcPr>
                  <w:tcW w:w="0" w:type="auto"/>
                  <w:shd w:val="clear" w:color="auto" w:fill="auto"/>
                  <w:vAlign w:val="center"/>
                </w:tcPr>
                <w:p w14:paraId="0A9122F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60</w:t>
                  </w:r>
                </w:p>
              </w:tc>
              <w:tc>
                <w:tcPr>
                  <w:tcW w:w="0" w:type="auto"/>
                  <w:shd w:val="clear" w:color="auto" w:fill="auto"/>
                  <w:vAlign w:val="center"/>
                </w:tcPr>
                <w:p w14:paraId="73F4F70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6户，约18人</w:t>
                  </w:r>
                </w:p>
              </w:tc>
              <w:tc>
                <w:tcPr>
                  <w:tcW w:w="609" w:type="pct"/>
                  <w:vMerge w:val="continue"/>
                </w:tcPr>
                <w:p w14:paraId="5BD8CE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0E4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75C3537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88</w:t>
                  </w:r>
                </w:p>
              </w:tc>
              <w:tc>
                <w:tcPr>
                  <w:tcW w:w="315" w:type="pct"/>
                  <w:vMerge w:val="continue"/>
                </w:tcPr>
                <w:p w14:paraId="56AC7A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1CBEAEA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25</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5216C68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石1+800右岸</w:t>
                  </w:r>
                </w:p>
              </w:tc>
              <w:tc>
                <w:tcPr>
                  <w:tcW w:w="0" w:type="auto"/>
                  <w:shd w:val="clear" w:color="auto" w:fill="auto"/>
                  <w:vAlign w:val="center"/>
                </w:tcPr>
                <w:p w14:paraId="3DD9483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90</w:t>
                  </w:r>
                </w:p>
              </w:tc>
              <w:tc>
                <w:tcPr>
                  <w:tcW w:w="0" w:type="auto"/>
                  <w:shd w:val="clear" w:color="auto" w:fill="auto"/>
                  <w:vAlign w:val="center"/>
                </w:tcPr>
                <w:p w14:paraId="4557C05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10户，约30人</w:t>
                  </w:r>
                </w:p>
              </w:tc>
              <w:tc>
                <w:tcPr>
                  <w:tcW w:w="609" w:type="pct"/>
                  <w:vMerge w:val="continue"/>
                </w:tcPr>
                <w:p w14:paraId="1DB427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65E1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12F5D33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89</w:t>
                  </w:r>
                </w:p>
              </w:tc>
              <w:tc>
                <w:tcPr>
                  <w:tcW w:w="315" w:type="pct"/>
                  <w:vMerge w:val="continue"/>
                </w:tcPr>
                <w:p w14:paraId="2BB210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69CCDB1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26</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13A3A042">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石0+950左岸</w:t>
                  </w:r>
                </w:p>
              </w:tc>
              <w:tc>
                <w:tcPr>
                  <w:tcW w:w="0" w:type="auto"/>
                  <w:shd w:val="clear" w:color="auto" w:fill="auto"/>
                  <w:vAlign w:val="center"/>
                </w:tcPr>
                <w:p w14:paraId="28705A1E">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495</w:t>
                  </w:r>
                </w:p>
              </w:tc>
              <w:tc>
                <w:tcPr>
                  <w:tcW w:w="0" w:type="auto"/>
                  <w:shd w:val="clear" w:color="auto" w:fill="auto"/>
                  <w:vAlign w:val="center"/>
                </w:tcPr>
                <w:p w14:paraId="5FBC09AA">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20户，约60人</w:t>
                  </w:r>
                </w:p>
              </w:tc>
              <w:tc>
                <w:tcPr>
                  <w:tcW w:w="609" w:type="pct"/>
                  <w:vMerge w:val="continue"/>
                </w:tcPr>
                <w:p w14:paraId="570C84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E88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4844179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90</w:t>
                  </w:r>
                </w:p>
              </w:tc>
              <w:tc>
                <w:tcPr>
                  <w:tcW w:w="315" w:type="pct"/>
                  <w:vMerge w:val="continue"/>
                </w:tcPr>
                <w:p w14:paraId="545E6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06571BB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27</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52B7BC2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石2+450左岸</w:t>
                  </w:r>
                </w:p>
              </w:tc>
              <w:tc>
                <w:tcPr>
                  <w:tcW w:w="0" w:type="auto"/>
                  <w:shd w:val="clear" w:color="auto" w:fill="auto"/>
                  <w:vAlign w:val="center"/>
                </w:tcPr>
                <w:p w14:paraId="26BCF55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200</w:t>
                  </w:r>
                </w:p>
              </w:tc>
              <w:tc>
                <w:tcPr>
                  <w:tcW w:w="0" w:type="auto"/>
                  <w:shd w:val="clear" w:color="auto" w:fill="auto"/>
                  <w:vAlign w:val="center"/>
                </w:tcPr>
                <w:p w14:paraId="0728D1E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15户，约45人</w:t>
                  </w:r>
                </w:p>
              </w:tc>
              <w:tc>
                <w:tcPr>
                  <w:tcW w:w="609" w:type="pct"/>
                  <w:vMerge w:val="continue"/>
                </w:tcPr>
                <w:p w14:paraId="318242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721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4E93D7E3">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91</w:t>
                  </w:r>
                </w:p>
              </w:tc>
              <w:tc>
                <w:tcPr>
                  <w:tcW w:w="315" w:type="pct"/>
                  <w:vMerge w:val="continue"/>
                </w:tcPr>
                <w:p w14:paraId="07A3B7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33976E0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28</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11593BA2">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石2+450右岸</w:t>
                  </w:r>
                </w:p>
              </w:tc>
              <w:tc>
                <w:tcPr>
                  <w:tcW w:w="0" w:type="auto"/>
                  <w:shd w:val="clear" w:color="auto" w:fill="auto"/>
                  <w:vAlign w:val="center"/>
                </w:tcPr>
                <w:p w14:paraId="5E88592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450</w:t>
                  </w:r>
                </w:p>
              </w:tc>
              <w:tc>
                <w:tcPr>
                  <w:tcW w:w="0" w:type="auto"/>
                  <w:shd w:val="clear" w:color="auto" w:fill="auto"/>
                  <w:vAlign w:val="center"/>
                </w:tcPr>
                <w:p w14:paraId="057AFE3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10户，约30人</w:t>
                  </w:r>
                </w:p>
              </w:tc>
              <w:tc>
                <w:tcPr>
                  <w:tcW w:w="609" w:type="pct"/>
                  <w:vMerge w:val="continue"/>
                </w:tcPr>
                <w:p w14:paraId="3D11C6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587C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692F36CC">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92</w:t>
                  </w:r>
                </w:p>
              </w:tc>
              <w:tc>
                <w:tcPr>
                  <w:tcW w:w="315" w:type="pct"/>
                  <w:vMerge w:val="restart"/>
                  <w:shd w:val="clear" w:color="auto" w:fill="auto"/>
                  <w:vAlign w:val="center"/>
                </w:tcPr>
                <w:p w14:paraId="32E1934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双拱场段</w:t>
                  </w:r>
                </w:p>
              </w:tc>
              <w:tc>
                <w:tcPr>
                  <w:tcW w:w="0" w:type="auto"/>
                  <w:shd w:val="clear" w:color="auto" w:fill="auto"/>
                  <w:vAlign w:val="center"/>
                </w:tcPr>
                <w:p w14:paraId="1339968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 w:val="21"/>
                      <w:szCs w:val="21"/>
                      <w:highlight w:val="none"/>
                    </w:rPr>
                    <w:t>2#居民点</w:t>
                  </w:r>
                </w:p>
              </w:tc>
              <w:tc>
                <w:tcPr>
                  <w:tcW w:w="0" w:type="auto"/>
                  <w:shd w:val="clear" w:color="auto" w:fill="auto"/>
                  <w:vAlign w:val="center"/>
                </w:tcPr>
                <w:p w14:paraId="41FFAA0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双0+550右岸</w:t>
                  </w:r>
                </w:p>
              </w:tc>
              <w:tc>
                <w:tcPr>
                  <w:tcW w:w="0" w:type="auto"/>
                  <w:shd w:val="clear" w:color="auto" w:fill="auto"/>
                  <w:vAlign w:val="center"/>
                </w:tcPr>
                <w:p w14:paraId="2068369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8</w:t>
                  </w:r>
                </w:p>
              </w:tc>
              <w:tc>
                <w:tcPr>
                  <w:tcW w:w="0" w:type="auto"/>
                  <w:shd w:val="clear" w:color="auto" w:fill="auto"/>
                  <w:vAlign w:val="center"/>
                </w:tcPr>
                <w:p w14:paraId="2B7F4CB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80户，约240人</w:t>
                  </w:r>
                </w:p>
              </w:tc>
              <w:tc>
                <w:tcPr>
                  <w:tcW w:w="609" w:type="pct"/>
                  <w:vMerge w:val="continue"/>
                </w:tcPr>
                <w:p w14:paraId="196771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511D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2AB70A8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93</w:t>
                  </w:r>
                </w:p>
              </w:tc>
              <w:tc>
                <w:tcPr>
                  <w:tcW w:w="315" w:type="pct"/>
                  <w:vMerge w:val="continue"/>
                </w:tcPr>
                <w:p w14:paraId="703608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12C95F4F">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0C1B9FC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双0+550左岸</w:t>
                  </w:r>
                </w:p>
              </w:tc>
              <w:tc>
                <w:tcPr>
                  <w:tcW w:w="0" w:type="auto"/>
                  <w:shd w:val="clear" w:color="auto" w:fill="auto"/>
                  <w:vAlign w:val="center"/>
                </w:tcPr>
                <w:p w14:paraId="3CDBE0B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8</w:t>
                  </w:r>
                </w:p>
              </w:tc>
              <w:tc>
                <w:tcPr>
                  <w:tcW w:w="0" w:type="auto"/>
                  <w:shd w:val="clear" w:color="auto" w:fill="auto"/>
                  <w:vAlign w:val="center"/>
                </w:tcPr>
                <w:p w14:paraId="5499D23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70户，约210人</w:t>
                  </w:r>
                </w:p>
              </w:tc>
              <w:tc>
                <w:tcPr>
                  <w:tcW w:w="609" w:type="pct"/>
                  <w:vMerge w:val="continue"/>
                </w:tcPr>
                <w:p w14:paraId="407452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A022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51967CAB">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94</w:t>
                  </w:r>
                </w:p>
              </w:tc>
              <w:tc>
                <w:tcPr>
                  <w:tcW w:w="315" w:type="pct"/>
                  <w:vMerge w:val="continue"/>
                </w:tcPr>
                <w:p w14:paraId="566E3A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779A4184">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1F202DC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双0+800左岸</w:t>
                  </w:r>
                </w:p>
              </w:tc>
              <w:tc>
                <w:tcPr>
                  <w:tcW w:w="0" w:type="auto"/>
                  <w:shd w:val="clear" w:color="auto" w:fill="auto"/>
                  <w:vAlign w:val="center"/>
                </w:tcPr>
                <w:p w14:paraId="6EB2EEF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30</w:t>
                  </w:r>
                </w:p>
              </w:tc>
              <w:tc>
                <w:tcPr>
                  <w:tcW w:w="0" w:type="auto"/>
                  <w:shd w:val="clear" w:color="auto" w:fill="auto"/>
                  <w:vAlign w:val="center"/>
                </w:tcPr>
                <w:p w14:paraId="1B2A813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30户，约90人</w:t>
                  </w:r>
                </w:p>
              </w:tc>
              <w:tc>
                <w:tcPr>
                  <w:tcW w:w="609" w:type="pct"/>
                  <w:vMerge w:val="continue"/>
                </w:tcPr>
                <w:p w14:paraId="1017E1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3B56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27C62B3F">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95</w:t>
                  </w:r>
                </w:p>
              </w:tc>
              <w:tc>
                <w:tcPr>
                  <w:tcW w:w="315" w:type="pct"/>
                  <w:vMerge w:val="continue"/>
                </w:tcPr>
                <w:p w14:paraId="11C20F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6C6F1B86">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673D59DA">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双1+150左岸</w:t>
                  </w:r>
                </w:p>
              </w:tc>
              <w:tc>
                <w:tcPr>
                  <w:tcW w:w="0" w:type="auto"/>
                  <w:shd w:val="clear" w:color="auto" w:fill="auto"/>
                  <w:vAlign w:val="center"/>
                </w:tcPr>
                <w:p w14:paraId="527F144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28</w:t>
                  </w:r>
                </w:p>
              </w:tc>
              <w:tc>
                <w:tcPr>
                  <w:tcW w:w="0" w:type="auto"/>
                  <w:shd w:val="clear" w:color="auto" w:fill="auto"/>
                  <w:vAlign w:val="center"/>
                </w:tcPr>
                <w:p w14:paraId="2F76CEB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15户，约45人</w:t>
                  </w:r>
                </w:p>
              </w:tc>
              <w:tc>
                <w:tcPr>
                  <w:tcW w:w="609" w:type="pct"/>
                  <w:vMerge w:val="continue"/>
                </w:tcPr>
                <w:p w14:paraId="51F317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F79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0795762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96</w:t>
                  </w:r>
                </w:p>
              </w:tc>
              <w:tc>
                <w:tcPr>
                  <w:tcW w:w="315" w:type="pct"/>
                  <w:vMerge w:val="continue"/>
                </w:tcPr>
                <w:p w14:paraId="54154E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25166D0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29</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302326C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双0+000右岸</w:t>
                  </w:r>
                </w:p>
              </w:tc>
              <w:tc>
                <w:tcPr>
                  <w:tcW w:w="0" w:type="auto"/>
                  <w:shd w:val="clear" w:color="auto" w:fill="auto"/>
                  <w:vAlign w:val="center"/>
                </w:tcPr>
                <w:p w14:paraId="75ADAB8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456</w:t>
                  </w:r>
                </w:p>
              </w:tc>
              <w:tc>
                <w:tcPr>
                  <w:tcW w:w="0" w:type="auto"/>
                  <w:shd w:val="clear" w:color="auto" w:fill="auto"/>
                  <w:vAlign w:val="center"/>
                </w:tcPr>
                <w:p w14:paraId="1578733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8户，约24人</w:t>
                  </w:r>
                </w:p>
              </w:tc>
              <w:tc>
                <w:tcPr>
                  <w:tcW w:w="609" w:type="pct"/>
                  <w:vMerge w:val="continue"/>
                </w:tcPr>
                <w:p w14:paraId="74B18E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456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49131E6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97</w:t>
                  </w:r>
                </w:p>
              </w:tc>
              <w:tc>
                <w:tcPr>
                  <w:tcW w:w="315" w:type="pct"/>
                  <w:vMerge w:val="continue"/>
                </w:tcPr>
                <w:p w14:paraId="0F42F8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07C82AA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538AA19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双0+000右岸</w:t>
                  </w:r>
                </w:p>
              </w:tc>
              <w:tc>
                <w:tcPr>
                  <w:tcW w:w="0" w:type="auto"/>
                  <w:shd w:val="clear" w:color="auto" w:fill="auto"/>
                  <w:vAlign w:val="center"/>
                </w:tcPr>
                <w:p w14:paraId="55319C0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450</w:t>
                  </w:r>
                </w:p>
              </w:tc>
              <w:tc>
                <w:tcPr>
                  <w:tcW w:w="0" w:type="auto"/>
                  <w:shd w:val="clear" w:color="auto" w:fill="auto"/>
                  <w:vAlign w:val="center"/>
                </w:tcPr>
                <w:p w14:paraId="672ACE9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35户，约105人</w:t>
                  </w:r>
                </w:p>
              </w:tc>
              <w:tc>
                <w:tcPr>
                  <w:tcW w:w="609" w:type="pct"/>
                  <w:vMerge w:val="continue"/>
                </w:tcPr>
                <w:p w14:paraId="724EC1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52EE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7053BBA4">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98</w:t>
                  </w:r>
                </w:p>
              </w:tc>
              <w:tc>
                <w:tcPr>
                  <w:tcW w:w="315" w:type="pct"/>
                  <w:vMerge w:val="continue"/>
                </w:tcPr>
                <w:p w14:paraId="6A31F0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2F9015F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31</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4EE128C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双0+450右岸</w:t>
                  </w:r>
                </w:p>
              </w:tc>
              <w:tc>
                <w:tcPr>
                  <w:tcW w:w="0" w:type="auto"/>
                  <w:shd w:val="clear" w:color="auto" w:fill="auto"/>
                  <w:vAlign w:val="center"/>
                </w:tcPr>
                <w:p w14:paraId="4210A6B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55</w:t>
                  </w:r>
                </w:p>
              </w:tc>
              <w:tc>
                <w:tcPr>
                  <w:tcW w:w="0" w:type="auto"/>
                  <w:shd w:val="clear" w:color="auto" w:fill="auto"/>
                  <w:vAlign w:val="center"/>
                </w:tcPr>
                <w:p w14:paraId="5D98A85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约2000人</w:t>
                  </w:r>
                </w:p>
              </w:tc>
              <w:tc>
                <w:tcPr>
                  <w:tcW w:w="609" w:type="pct"/>
                  <w:vMerge w:val="continue"/>
                </w:tcPr>
                <w:p w14:paraId="3B1C09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A2D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373B40E2">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99</w:t>
                  </w:r>
                </w:p>
              </w:tc>
              <w:tc>
                <w:tcPr>
                  <w:tcW w:w="315" w:type="pct"/>
                  <w:vMerge w:val="continue"/>
                </w:tcPr>
                <w:p w14:paraId="3F5D37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24F3215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32</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77915CB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双0+500左岸</w:t>
                  </w:r>
                </w:p>
              </w:tc>
              <w:tc>
                <w:tcPr>
                  <w:tcW w:w="0" w:type="auto"/>
                  <w:shd w:val="clear" w:color="auto" w:fill="auto"/>
                  <w:vAlign w:val="center"/>
                </w:tcPr>
                <w:p w14:paraId="105AB62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57</w:t>
                  </w:r>
                </w:p>
              </w:tc>
              <w:tc>
                <w:tcPr>
                  <w:tcW w:w="0" w:type="auto"/>
                  <w:shd w:val="clear" w:color="auto" w:fill="auto"/>
                  <w:vAlign w:val="center"/>
                </w:tcPr>
                <w:p w14:paraId="1C03CAD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300户，约900人</w:t>
                  </w:r>
                </w:p>
              </w:tc>
              <w:tc>
                <w:tcPr>
                  <w:tcW w:w="609" w:type="pct"/>
                  <w:vMerge w:val="continue"/>
                </w:tcPr>
                <w:p w14:paraId="0BF6E3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80F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1DC8A0FE">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100</w:t>
                  </w:r>
                </w:p>
              </w:tc>
              <w:tc>
                <w:tcPr>
                  <w:tcW w:w="315" w:type="pct"/>
                  <w:vMerge w:val="continue"/>
                </w:tcPr>
                <w:p w14:paraId="53F9F3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650B41E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33</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4122E05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双0+000左岸</w:t>
                  </w:r>
                </w:p>
              </w:tc>
              <w:tc>
                <w:tcPr>
                  <w:tcW w:w="0" w:type="auto"/>
                  <w:shd w:val="clear" w:color="auto" w:fill="auto"/>
                  <w:vAlign w:val="center"/>
                </w:tcPr>
                <w:p w14:paraId="6D47520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490</w:t>
                  </w:r>
                </w:p>
              </w:tc>
              <w:tc>
                <w:tcPr>
                  <w:tcW w:w="0" w:type="auto"/>
                  <w:shd w:val="clear" w:color="auto" w:fill="auto"/>
                  <w:vAlign w:val="center"/>
                </w:tcPr>
                <w:p w14:paraId="0A85764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20户，约60人</w:t>
                  </w:r>
                </w:p>
              </w:tc>
              <w:tc>
                <w:tcPr>
                  <w:tcW w:w="609" w:type="pct"/>
                  <w:vMerge w:val="continue"/>
                </w:tcPr>
                <w:p w14:paraId="1463CD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6310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1FBEC91B">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101</w:t>
                  </w:r>
                </w:p>
              </w:tc>
              <w:tc>
                <w:tcPr>
                  <w:tcW w:w="315" w:type="pct"/>
                  <w:vMerge w:val="continue"/>
                </w:tcPr>
                <w:p w14:paraId="71575A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65979E5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34</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31FB838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双0+500左岸</w:t>
                  </w:r>
                </w:p>
              </w:tc>
              <w:tc>
                <w:tcPr>
                  <w:tcW w:w="0" w:type="auto"/>
                  <w:shd w:val="clear" w:color="auto" w:fill="auto"/>
                  <w:vAlign w:val="center"/>
                </w:tcPr>
                <w:p w14:paraId="4C2C706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477</w:t>
                  </w:r>
                </w:p>
              </w:tc>
              <w:tc>
                <w:tcPr>
                  <w:tcW w:w="0" w:type="auto"/>
                  <w:shd w:val="clear" w:color="auto" w:fill="auto"/>
                  <w:vAlign w:val="center"/>
                </w:tcPr>
                <w:p w14:paraId="209D2BCA">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12户，约36人</w:t>
                  </w:r>
                </w:p>
              </w:tc>
              <w:tc>
                <w:tcPr>
                  <w:tcW w:w="609" w:type="pct"/>
                  <w:vMerge w:val="continue"/>
                </w:tcPr>
                <w:p w14:paraId="78D9E9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8EC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1D4F8E8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102</w:t>
                  </w:r>
                </w:p>
              </w:tc>
              <w:tc>
                <w:tcPr>
                  <w:tcW w:w="315" w:type="pct"/>
                  <w:vMerge w:val="continue"/>
                </w:tcPr>
                <w:p w14:paraId="79EBB9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0FFA87C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35</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5366080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双0+650右岸</w:t>
                  </w:r>
                </w:p>
              </w:tc>
              <w:tc>
                <w:tcPr>
                  <w:tcW w:w="0" w:type="auto"/>
                  <w:shd w:val="clear" w:color="auto" w:fill="auto"/>
                  <w:vAlign w:val="center"/>
                </w:tcPr>
                <w:p w14:paraId="706D031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58</w:t>
                  </w:r>
                </w:p>
              </w:tc>
              <w:tc>
                <w:tcPr>
                  <w:tcW w:w="0" w:type="auto"/>
                  <w:shd w:val="clear" w:color="auto" w:fill="auto"/>
                  <w:vAlign w:val="center"/>
                </w:tcPr>
                <w:p w14:paraId="2FC81DE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约600人</w:t>
                  </w:r>
                </w:p>
              </w:tc>
              <w:tc>
                <w:tcPr>
                  <w:tcW w:w="609" w:type="pct"/>
                  <w:vMerge w:val="continue"/>
                </w:tcPr>
                <w:p w14:paraId="36F0FE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186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157ED4D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103</w:t>
                  </w:r>
                </w:p>
              </w:tc>
              <w:tc>
                <w:tcPr>
                  <w:tcW w:w="315" w:type="pct"/>
                  <w:vMerge w:val="continue"/>
                </w:tcPr>
                <w:p w14:paraId="228060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225D614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36</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2353F17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b w:val="0"/>
                      <w:bCs w:val="0"/>
                      <w:snapToGrid w:val="0"/>
                      <w:color w:val="auto"/>
                      <w:w w:val="100"/>
                      <w:sz w:val="21"/>
                      <w:szCs w:val="21"/>
                      <w:highlight w:val="none"/>
                      <w:lang w:val="en-US" w:eastAsia="zh-CN" w:bidi="ar-SA"/>
                    </w:rPr>
                  </w:pPr>
                  <w:r>
                    <w:rPr>
                      <w:rFonts w:hint="eastAsia" w:cs="Times New Roman"/>
                      <w:b w:val="0"/>
                      <w:bCs w:val="0"/>
                      <w:snapToGrid w:val="0"/>
                      <w:color w:val="auto"/>
                      <w:w w:val="100"/>
                      <w:sz w:val="21"/>
                      <w:szCs w:val="21"/>
                      <w:highlight w:val="none"/>
                      <w:lang w:val="en-US" w:eastAsia="zh-CN" w:bidi="ar-SA"/>
                    </w:rPr>
                    <w:t>双1+200左岸</w:t>
                  </w:r>
                </w:p>
              </w:tc>
              <w:tc>
                <w:tcPr>
                  <w:tcW w:w="0" w:type="auto"/>
                  <w:shd w:val="clear" w:color="auto" w:fill="auto"/>
                  <w:vAlign w:val="center"/>
                </w:tcPr>
                <w:p w14:paraId="71660EA1">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110</w:t>
                  </w:r>
                </w:p>
              </w:tc>
              <w:tc>
                <w:tcPr>
                  <w:tcW w:w="0" w:type="auto"/>
                  <w:shd w:val="clear" w:color="auto" w:fill="auto"/>
                  <w:vAlign w:val="center"/>
                </w:tcPr>
                <w:p w14:paraId="4366F46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10户，约30人</w:t>
                  </w:r>
                </w:p>
              </w:tc>
              <w:tc>
                <w:tcPr>
                  <w:tcW w:w="609" w:type="pct"/>
                  <w:vMerge w:val="continue"/>
                </w:tcPr>
                <w:p w14:paraId="5BA173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172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1C756C1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104</w:t>
                  </w:r>
                </w:p>
              </w:tc>
              <w:tc>
                <w:tcPr>
                  <w:tcW w:w="315" w:type="pct"/>
                  <w:vMerge w:val="continue"/>
                </w:tcPr>
                <w:p w14:paraId="1D6CCB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64009D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37</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7E0C71C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b w:val="0"/>
                      <w:bCs w:val="0"/>
                      <w:snapToGrid w:val="0"/>
                      <w:color w:val="auto"/>
                      <w:w w:val="100"/>
                      <w:sz w:val="21"/>
                      <w:szCs w:val="21"/>
                      <w:highlight w:val="none"/>
                      <w:lang w:val="en-US" w:eastAsia="zh-CN" w:bidi="ar-SA"/>
                    </w:rPr>
                  </w:pPr>
                  <w:r>
                    <w:rPr>
                      <w:rFonts w:hint="eastAsia" w:cs="Times New Roman"/>
                      <w:b w:val="0"/>
                      <w:bCs w:val="0"/>
                      <w:snapToGrid w:val="0"/>
                      <w:color w:val="auto"/>
                      <w:w w:val="100"/>
                      <w:sz w:val="21"/>
                      <w:szCs w:val="21"/>
                      <w:highlight w:val="none"/>
                      <w:lang w:val="en-US" w:eastAsia="zh-CN" w:bidi="ar-SA"/>
                    </w:rPr>
                    <w:t>双1+250左岸</w:t>
                  </w:r>
                </w:p>
              </w:tc>
              <w:tc>
                <w:tcPr>
                  <w:tcW w:w="0" w:type="auto"/>
                  <w:shd w:val="clear" w:color="auto" w:fill="auto"/>
                  <w:vAlign w:val="center"/>
                </w:tcPr>
                <w:p w14:paraId="74B8860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360</w:t>
                  </w:r>
                </w:p>
              </w:tc>
              <w:tc>
                <w:tcPr>
                  <w:tcW w:w="0" w:type="auto"/>
                  <w:shd w:val="clear" w:color="auto" w:fill="auto"/>
                  <w:vAlign w:val="center"/>
                </w:tcPr>
                <w:p w14:paraId="1D60C38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4户，约12人</w:t>
                  </w:r>
                </w:p>
              </w:tc>
              <w:tc>
                <w:tcPr>
                  <w:tcW w:w="609" w:type="pct"/>
                  <w:vMerge w:val="continue"/>
                </w:tcPr>
                <w:p w14:paraId="32337A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12C45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11562518">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105</w:t>
                  </w:r>
                </w:p>
              </w:tc>
              <w:tc>
                <w:tcPr>
                  <w:tcW w:w="315" w:type="pct"/>
                  <w:vMerge w:val="continue"/>
                </w:tcPr>
                <w:p w14:paraId="4D4819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4BBECC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38</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3E37524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b w:val="0"/>
                      <w:bCs w:val="0"/>
                      <w:snapToGrid w:val="0"/>
                      <w:color w:val="auto"/>
                      <w:w w:val="100"/>
                      <w:sz w:val="21"/>
                      <w:szCs w:val="21"/>
                      <w:highlight w:val="none"/>
                      <w:lang w:val="en-US" w:eastAsia="zh-CN" w:bidi="ar-SA"/>
                    </w:rPr>
                  </w:pPr>
                  <w:r>
                    <w:rPr>
                      <w:rFonts w:hint="eastAsia" w:cs="Times New Roman"/>
                      <w:b w:val="0"/>
                      <w:bCs w:val="0"/>
                      <w:snapToGrid w:val="0"/>
                      <w:color w:val="auto"/>
                      <w:w w:val="100"/>
                      <w:sz w:val="21"/>
                      <w:szCs w:val="21"/>
                      <w:highlight w:val="none"/>
                      <w:lang w:val="en-US" w:eastAsia="zh-CN" w:bidi="ar-SA"/>
                    </w:rPr>
                    <w:t>双1+250左岸</w:t>
                  </w:r>
                </w:p>
              </w:tc>
              <w:tc>
                <w:tcPr>
                  <w:tcW w:w="0" w:type="auto"/>
                  <w:shd w:val="clear" w:color="auto" w:fill="auto"/>
                  <w:vAlign w:val="center"/>
                </w:tcPr>
                <w:p w14:paraId="5F46D8D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410</w:t>
                  </w:r>
                </w:p>
              </w:tc>
              <w:tc>
                <w:tcPr>
                  <w:tcW w:w="0" w:type="auto"/>
                  <w:shd w:val="clear" w:color="auto" w:fill="auto"/>
                  <w:vAlign w:val="center"/>
                </w:tcPr>
                <w:p w14:paraId="43A9C58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7户，约21人</w:t>
                  </w:r>
                </w:p>
              </w:tc>
              <w:tc>
                <w:tcPr>
                  <w:tcW w:w="609" w:type="pct"/>
                  <w:vMerge w:val="continue"/>
                </w:tcPr>
                <w:p w14:paraId="08CA89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6926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7DDF9F4D">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106</w:t>
                  </w:r>
                </w:p>
              </w:tc>
              <w:tc>
                <w:tcPr>
                  <w:tcW w:w="315" w:type="pct"/>
                  <w:vMerge w:val="continue"/>
                </w:tcPr>
                <w:p w14:paraId="52E675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688140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39</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110E7A1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b w:val="0"/>
                      <w:bCs w:val="0"/>
                      <w:snapToGrid w:val="0"/>
                      <w:color w:val="auto"/>
                      <w:w w:val="100"/>
                      <w:sz w:val="21"/>
                      <w:szCs w:val="21"/>
                      <w:highlight w:val="none"/>
                      <w:lang w:val="en-US" w:eastAsia="zh-CN" w:bidi="ar-SA"/>
                    </w:rPr>
                  </w:pPr>
                  <w:r>
                    <w:rPr>
                      <w:rFonts w:hint="eastAsia" w:cs="Times New Roman"/>
                      <w:b w:val="0"/>
                      <w:bCs w:val="0"/>
                      <w:snapToGrid w:val="0"/>
                      <w:color w:val="auto"/>
                      <w:w w:val="100"/>
                      <w:sz w:val="21"/>
                      <w:szCs w:val="21"/>
                      <w:highlight w:val="none"/>
                      <w:lang w:val="en-US" w:eastAsia="zh-CN" w:bidi="ar-SA"/>
                    </w:rPr>
                    <w:t>双1+400左岸</w:t>
                  </w:r>
                </w:p>
              </w:tc>
              <w:tc>
                <w:tcPr>
                  <w:tcW w:w="0" w:type="auto"/>
                  <w:shd w:val="clear" w:color="auto" w:fill="auto"/>
                  <w:vAlign w:val="center"/>
                </w:tcPr>
                <w:p w14:paraId="2195FBE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92</w:t>
                  </w:r>
                </w:p>
              </w:tc>
              <w:tc>
                <w:tcPr>
                  <w:tcW w:w="0" w:type="auto"/>
                  <w:shd w:val="clear" w:color="auto" w:fill="auto"/>
                  <w:vAlign w:val="center"/>
                </w:tcPr>
                <w:p w14:paraId="446545B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20户，约60人</w:t>
                  </w:r>
                </w:p>
              </w:tc>
              <w:tc>
                <w:tcPr>
                  <w:tcW w:w="609" w:type="pct"/>
                  <w:vMerge w:val="continue"/>
                </w:tcPr>
                <w:p w14:paraId="12EC4B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418D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219AC3B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107</w:t>
                  </w:r>
                </w:p>
              </w:tc>
              <w:tc>
                <w:tcPr>
                  <w:tcW w:w="315" w:type="pct"/>
                  <w:vMerge w:val="continue"/>
                </w:tcPr>
                <w:p w14:paraId="5946B9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78B9AD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40</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5F72D32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b w:val="0"/>
                      <w:bCs w:val="0"/>
                      <w:snapToGrid w:val="0"/>
                      <w:color w:val="auto"/>
                      <w:w w:val="100"/>
                      <w:sz w:val="21"/>
                      <w:szCs w:val="21"/>
                      <w:highlight w:val="none"/>
                      <w:lang w:val="en-US" w:eastAsia="zh-CN" w:bidi="ar-SA"/>
                    </w:rPr>
                  </w:pPr>
                  <w:r>
                    <w:rPr>
                      <w:rFonts w:hint="eastAsia" w:cs="Times New Roman"/>
                      <w:b w:val="0"/>
                      <w:bCs w:val="0"/>
                      <w:snapToGrid w:val="0"/>
                      <w:color w:val="auto"/>
                      <w:w w:val="100"/>
                      <w:sz w:val="21"/>
                      <w:szCs w:val="21"/>
                      <w:highlight w:val="none"/>
                      <w:lang w:val="en-US" w:eastAsia="zh-CN" w:bidi="ar-SA"/>
                    </w:rPr>
                    <w:t>双1+550左岸</w:t>
                  </w:r>
                </w:p>
              </w:tc>
              <w:tc>
                <w:tcPr>
                  <w:tcW w:w="0" w:type="auto"/>
                  <w:shd w:val="clear" w:color="auto" w:fill="auto"/>
                  <w:vAlign w:val="center"/>
                </w:tcPr>
                <w:p w14:paraId="2A8A02D8">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240</w:t>
                  </w:r>
                </w:p>
              </w:tc>
              <w:tc>
                <w:tcPr>
                  <w:tcW w:w="0" w:type="auto"/>
                  <w:shd w:val="clear" w:color="auto" w:fill="auto"/>
                  <w:vAlign w:val="center"/>
                </w:tcPr>
                <w:p w14:paraId="6137639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30户，约90人</w:t>
                  </w:r>
                </w:p>
              </w:tc>
              <w:tc>
                <w:tcPr>
                  <w:tcW w:w="609" w:type="pct"/>
                  <w:vMerge w:val="continue"/>
                </w:tcPr>
                <w:p w14:paraId="5AEBCD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0F37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0FA43125">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108</w:t>
                  </w:r>
                </w:p>
              </w:tc>
              <w:tc>
                <w:tcPr>
                  <w:tcW w:w="315" w:type="pct"/>
                  <w:vMerge w:val="continue"/>
                </w:tcPr>
                <w:p w14:paraId="48BA2A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7EE1DE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41</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69E881AC">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b w:val="0"/>
                      <w:bCs w:val="0"/>
                      <w:snapToGrid w:val="0"/>
                      <w:color w:val="auto"/>
                      <w:w w:val="100"/>
                      <w:sz w:val="21"/>
                      <w:szCs w:val="21"/>
                      <w:highlight w:val="none"/>
                      <w:lang w:val="en-US" w:eastAsia="zh-CN" w:bidi="ar-SA"/>
                    </w:rPr>
                  </w:pPr>
                  <w:r>
                    <w:rPr>
                      <w:rFonts w:hint="eastAsia" w:cs="Times New Roman"/>
                      <w:b w:val="0"/>
                      <w:bCs w:val="0"/>
                      <w:snapToGrid w:val="0"/>
                      <w:color w:val="auto"/>
                      <w:w w:val="100"/>
                      <w:sz w:val="21"/>
                      <w:szCs w:val="21"/>
                      <w:highlight w:val="none"/>
                      <w:lang w:val="en-US" w:eastAsia="zh-CN" w:bidi="ar-SA"/>
                    </w:rPr>
                    <w:t>双1+800左岸</w:t>
                  </w:r>
                </w:p>
              </w:tc>
              <w:tc>
                <w:tcPr>
                  <w:tcW w:w="0" w:type="auto"/>
                  <w:shd w:val="clear" w:color="auto" w:fill="auto"/>
                  <w:vAlign w:val="center"/>
                </w:tcPr>
                <w:p w14:paraId="78BC334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250</w:t>
                  </w:r>
                </w:p>
              </w:tc>
              <w:tc>
                <w:tcPr>
                  <w:tcW w:w="0" w:type="auto"/>
                  <w:shd w:val="clear" w:color="auto" w:fill="auto"/>
                  <w:vAlign w:val="center"/>
                </w:tcPr>
                <w:p w14:paraId="5532833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9户，约27人</w:t>
                  </w:r>
                </w:p>
              </w:tc>
              <w:tc>
                <w:tcPr>
                  <w:tcW w:w="609" w:type="pct"/>
                  <w:vMerge w:val="continue"/>
                </w:tcPr>
                <w:p w14:paraId="189745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DC0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403122D6">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109</w:t>
                  </w:r>
                </w:p>
              </w:tc>
              <w:tc>
                <w:tcPr>
                  <w:tcW w:w="315" w:type="pct"/>
                  <w:vMerge w:val="continue"/>
                </w:tcPr>
                <w:p w14:paraId="79474A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0EDA87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42</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6CC0A6CE">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b w:val="0"/>
                      <w:bCs w:val="0"/>
                      <w:snapToGrid w:val="0"/>
                      <w:color w:val="auto"/>
                      <w:w w:val="100"/>
                      <w:sz w:val="21"/>
                      <w:szCs w:val="21"/>
                      <w:highlight w:val="none"/>
                      <w:lang w:val="en-US" w:eastAsia="zh-CN" w:bidi="ar-SA"/>
                    </w:rPr>
                  </w:pPr>
                  <w:r>
                    <w:rPr>
                      <w:rFonts w:hint="eastAsia" w:cs="Times New Roman"/>
                      <w:b w:val="0"/>
                      <w:bCs w:val="0"/>
                      <w:snapToGrid w:val="0"/>
                      <w:color w:val="auto"/>
                      <w:w w:val="100"/>
                      <w:sz w:val="21"/>
                      <w:szCs w:val="21"/>
                      <w:highlight w:val="none"/>
                      <w:lang w:val="en-US" w:eastAsia="zh-CN" w:bidi="ar-SA"/>
                    </w:rPr>
                    <w:t>双1+850左岸</w:t>
                  </w:r>
                </w:p>
              </w:tc>
              <w:tc>
                <w:tcPr>
                  <w:tcW w:w="0" w:type="auto"/>
                  <w:shd w:val="clear" w:color="auto" w:fill="auto"/>
                  <w:vAlign w:val="center"/>
                </w:tcPr>
                <w:p w14:paraId="22A626F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65</w:t>
                  </w:r>
                </w:p>
              </w:tc>
              <w:tc>
                <w:tcPr>
                  <w:tcW w:w="0" w:type="auto"/>
                  <w:shd w:val="clear" w:color="auto" w:fill="auto"/>
                  <w:vAlign w:val="center"/>
                </w:tcPr>
                <w:p w14:paraId="7158CB7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15户，约45人</w:t>
                  </w:r>
                </w:p>
              </w:tc>
              <w:tc>
                <w:tcPr>
                  <w:tcW w:w="609" w:type="pct"/>
                  <w:vMerge w:val="continue"/>
                </w:tcPr>
                <w:p w14:paraId="3D4C2F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D72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2BE55B77">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110</w:t>
                  </w:r>
                </w:p>
              </w:tc>
              <w:tc>
                <w:tcPr>
                  <w:tcW w:w="315" w:type="pct"/>
                  <w:vMerge w:val="continue"/>
                </w:tcPr>
                <w:p w14:paraId="62D159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6E7CA3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43</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061C58F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双2+150左岸</w:t>
                  </w:r>
                </w:p>
              </w:tc>
              <w:tc>
                <w:tcPr>
                  <w:tcW w:w="0" w:type="auto"/>
                  <w:shd w:val="clear" w:color="auto" w:fill="auto"/>
                  <w:vAlign w:val="center"/>
                </w:tcPr>
                <w:p w14:paraId="4405E76F">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240</w:t>
                  </w:r>
                </w:p>
              </w:tc>
              <w:tc>
                <w:tcPr>
                  <w:tcW w:w="0" w:type="auto"/>
                  <w:shd w:val="clear" w:color="auto" w:fill="auto"/>
                  <w:vAlign w:val="center"/>
                </w:tcPr>
                <w:p w14:paraId="75329C42">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8户，约24人</w:t>
                  </w:r>
                </w:p>
              </w:tc>
              <w:tc>
                <w:tcPr>
                  <w:tcW w:w="609" w:type="pct"/>
                  <w:vMerge w:val="continue"/>
                </w:tcPr>
                <w:p w14:paraId="18D5AF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7A13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458C8981">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111</w:t>
                  </w:r>
                </w:p>
              </w:tc>
              <w:tc>
                <w:tcPr>
                  <w:tcW w:w="315" w:type="pct"/>
                  <w:vMerge w:val="continue"/>
                </w:tcPr>
                <w:p w14:paraId="4F3A0C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4E4766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44</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5B1CE07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双2+150右岸</w:t>
                  </w:r>
                </w:p>
              </w:tc>
              <w:tc>
                <w:tcPr>
                  <w:tcW w:w="0" w:type="auto"/>
                  <w:shd w:val="clear" w:color="auto" w:fill="auto"/>
                  <w:vAlign w:val="center"/>
                </w:tcPr>
                <w:p w14:paraId="7FCD68F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214</w:t>
                  </w:r>
                </w:p>
              </w:tc>
              <w:tc>
                <w:tcPr>
                  <w:tcW w:w="0" w:type="auto"/>
                  <w:shd w:val="clear" w:color="auto" w:fill="auto"/>
                  <w:vAlign w:val="center"/>
                </w:tcPr>
                <w:p w14:paraId="7543566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40户，约120人</w:t>
                  </w:r>
                </w:p>
              </w:tc>
              <w:tc>
                <w:tcPr>
                  <w:tcW w:w="609" w:type="pct"/>
                  <w:vMerge w:val="continue"/>
                </w:tcPr>
                <w:p w14:paraId="42D902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r w14:paraId="2154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56" w:type="pct"/>
                  <w:vAlign w:val="center"/>
                </w:tcPr>
                <w:p w14:paraId="55214D00">
                  <w:pPr>
                    <w:keepNext w:val="0"/>
                    <w:keepLines w:val="0"/>
                    <w:pageBreakBefore w:val="0"/>
                    <w:widowControl/>
                    <w:suppressLineNumbers w:val="0"/>
                    <w:kinsoku/>
                    <w:wordWrap/>
                    <w:overflowPunct/>
                    <w:topLinePunct w:val="0"/>
                    <w:bidi w:val="0"/>
                    <w:adjustRightInd/>
                    <w:snapToGrid/>
                    <w:spacing w:line="240" w:lineRule="auto"/>
                    <w:ind w:firstLine="0" w:firstLineChars="0"/>
                    <w:jc w:val="center"/>
                    <w:textAlignment w:val="center"/>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eastAsia" w:ascii="Times New Roman" w:hAnsi="Times New Roman" w:eastAsia="宋体" w:cs="Times New Roman"/>
                      <w:i w:val="0"/>
                      <w:iCs w:val="0"/>
                      <w:snapToGrid w:val="0"/>
                      <w:color w:val="auto"/>
                      <w:kern w:val="0"/>
                      <w:sz w:val="21"/>
                      <w:szCs w:val="21"/>
                      <w:highlight w:val="none"/>
                      <w:u w:val="none"/>
                      <w:lang w:val="en-US" w:eastAsia="zh-CN" w:bidi="ar"/>
                    </w:rPr>
                    <w:t>112</w:t>
                  </w:r>
                </w:p>
              </w:tc>
              <w:tc>
                <w:tcPr>
                  <w:tcW w:w="315" w:type="pct"/>
                  <w:vMerge w:val="continue"/>
                </w:tcPr>
                <w:p w14:paraId="207F7A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c>
                <w:tcPr>
                  <w:tcW w:w="0" w:type="auto"/>
                  <w:shd w:val="clear" w:color="auto" w:fill="auto"/>
                  <w:vAlign w:val="center"/>
                </w:tcPr>
                <w:p w14:paraId="180CE1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45</w:t>
                  </w:r>
                  <w:r>
                    <w:rPr>
                      <w:rFonts w:hint="default" w:ascii="Times New Roman" w:hAnsi="Times New Roman" w:cs="Times New Roman"/>
                      <w:color w:val="auto"/>
                      <w:sz w:val="21"/>
                      <w:szCs w:val="21"/>
                      <w:highlight w:val="none"/>
                    </w:rPr>
                    <w:t>#居民点</w:t>
                  </w:r>
                </w:p>
              </w:tc>
              <w:tc>
                <w:tcPr>
                  <w:tcW w:w="0" w:type="auto"/>
                  <w:shd w:val="clear" w:color="auto" w:fill="auto"/>
                  <w:vAlign w:val="center"/>
                </w:tcPr>
                <w:p w14:paraId="2BCACDA7">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双2+150右岸</w:t>
                  </w:r>
                </w:p>
              </w:tc>
              <w:tc>
                <w:tcPr>
                  <w:tcW w:w="0" w:type="auto"/>
                  <w:shd w:val="clear" w:color="auto" w:fill="auto"/>
                  <w:vAlign w:val="center"/>
                </w:tcPr>
                <w:p w14:paraId="1305F8E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eastAsia="宋体" w:cs="Times New Roman"/>
                      <w:snapToGrid w:val="0"/>
                      <w:color w:val="auto"/>
                      <w:w w:val="100"/>
                      <w:sz w:val="21"/>
                      <w:szCs w:val="21"/>
                      <w:highlight w:val="none"/>
                      <w:lang w:val="en-US" w:eastAsia="zh-CN" w:bidi="ar-SA"/>
                    </w:rPr>
                    <w:t>195</w:t>
                  </w:r>
                </w:p>
              </w:tc>
              <w:tc>
                <w:tcPr>
                  <w:tcW w:w="0" w:type="auto"/>
                  <w:shd w:val="clear" w:color="auto" w:fill="auto"/>
                  <w:vAlign w:val="center"/>
                </w:tcPr>
                <w:p w14:paraId="080298D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80户，约240人</w:t>
                  </w:r>
                </w:p>
              </w:tc>
              <w:tc>
                <w:tcPr>
                  <w:tcW w:w="609" w:type="pct"/>
                  <w:vMerge w:val="continue"/>
                </w:tcPr>
                <w:p w14:paraId="424A59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p>
              </w:tc>
            </w:tr>
          </w:tbl>
          <w:p w14:paraId="710E2F27">
            <w:pPr>
              <w:pStyle w:val="38"/>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Cs w:val="24"/>
                <w:highlight w:val="none"/>
                <w:lang w:val="en-US" w:eastAsia="zh-CN"/>
              </w:rPr>
            </w:pPr>
            <w:r>
              <w:rPr>
                <w:rFonts w:hint="default" w:ascii="Times New Roman" w:hAnsi="Times New Roman" w:cs="Times New Roman"/>
                <w:b/>
                <w:bCs/>
                <w:color w:val="auto"/>
                <w:szCs w:val="24"/>
                <w:highlight w:val="none"/>
                <w:lang w:val="en-US" w:eastAsia="zh-CN"/>
              </w:rPr>
              <w:t xml:space="preserve">表3.5-3  </w:t>
            </w:r>
            <w:r>
              <w:rPr>
                <w:rFonts w:hint="eastAsia" w:cs="Times New Roman"/>
                <w:b/>
                <w:bCs/>
                <w:color w:val="auto"/>
                <w:szCs w:val="24"/>
                <w:highlight w:val="none"/>
                <w:lang w:val="en-US" w:eastAsia="zh-CN"/>
              </w:rPr>
              <w:t>施工场地</w:t>
            </w:r>
            <w:r>
              <w:rPr>
                <w:rFonts w:hint="default" w:ascii="Times New Roman" w:hAnsi="Times New Roman" w:cs="Times New Roman"/>
                <w:b/>
                <w:bCs/>
                <w:color w:val="auto"/>
                <w:sz w:val="24"/>
                <w:szCs w:val="22"/>
                <w:highlight w:val="none"/>
              </w:rPr>
              <w:t>周边环境</w:t>
            </w:r>
            <w:r>
              <w:rPr>
                <w:rFonts w:hint="default" w:ascii="Times New Roman" w:hAnsi="Times New Roman" w:cs="Times New Roman"/>
                <w:b/>
                <w:bCs/>
                <w:color w:val="auto"/>
                <w:sz w:val="24"/>
                <w:szCs w:val="22"/>
                <w:highlight w:val="none"/>
                <w:lang w:val="en-US" w:eastAsia="zh-CN"/>
              </w:rPr>
              <w:t>保护目标</w:t>
            </w:r>
            <w:r>
              <w:rPr>
                <w:rFonts w:hint="default" w:ascii="Times New Roman" w:hAnsi="Times New Roman" w:cs="Times New Roman"/>
                <w:b/>
                <w:bCs/>
                <w:color w:val="auto"/>
                <w:sz w:val="24"/>
                <w:szCs w:val="22"/>
                <w:highlight w:val="none"/>
              </w:rPr>
              <w:t>统计表</w:t>
            </w:r>
          </w:p>
          <w:tbl>
            <w:tblPr>
              <w:tblStyle w:val="12"/>
              <w:tblW w:w="90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751"/>
              <w:gridCol w:w="1501"/>
              <w:gridCol w:w="900"/>
              <w:gridCol w:w="2331"/>
              <w:gridCol w:w="1708"/>
              <w:gridCol w:w="1066"/>
            </w:tblGrid>
            <w:tr w14:paraId="7375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shd w:val="clear" w:color="auto" w:fill="auto"/>
                  <w:vAlign w:val="center"/>
                </w:tcPr>
                <w:p w14:paraId="55EC1FD1">
                  <w:pPr>
                    <w:pStyle w:val="23"/>
                    <w:spacing w:line="240" w:lineRule="auto"/>
                    <w:ind w:left="0" w:leftChars="0" w:firstLine="0" w:firstLineChars="0"/>
                    <w:jc w:val="center"/>
                    <w:rPr>
                      <w:rFonts w:hint="default" w:ascii="Times New Roman" w:hAnsi="Times New Roman" w:eastAsia="宋体" w:cs="Times New Roman"/>
                      <w:b/>
                      <w:bCs/>
                      <w:snapToGrid w:val="0"/>
                      <w:color w:val="auto"/>
                      <w:w w:val="100"/>
                      <w:sz w:val="21"/>
                      <w:szCs w:val="21"/>
                      <w:highlight w:val="none"/>
                      <w:lang w:val="en-US" w:eastAsia="zh-CN" w:bidi="ar-SA"/>
                    </w:rPr>
                  </w:pPr>
                  <w:r>
                    <w:rPr>
                      <w:rFonts w:hint="default" w:ascii="Times New Roman" w:hAnsi="Times New Roman" w:cs="Times New Roman"/>
                      <w:b/>
                      <w:bCs/>
                      <w:color w:val="auto"/>
                      <w:szCs w:val="21"/>
                      <w:highlight w:val="none"/>
                    </w:rPr>
                    <w:t>序号</w:t>
                  </w:r>
                </w:p>
              </w:tc>
              <w:tc>
                <w:tcPr>
                  <w:tcW w:w="751" w:type="dxa"/>
                  <w:shd w:val="clear" w:color="auto" w:fill="auto"/>
                  <w:vAlign w:val="center"/>
                </w:tcPr>
                <w:p w14:paraId="4F69F81B">
                  <w:pPr>
                    <w:pStyle w:val="23"/>
                    <w:spacing w:line="240" w:lineRule="auto"/>
                    <w:ind w:left="0" w:leftChars="0" w:firstLine="0" w:firstLineChars="0"/>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位置</w:t>
                  </w:r>
                </w:p>
              </w:tc>
              <w:tc>
                <w:tcPr>
                  <w:tcW w:w="1501" w:type="dxa"/>
                  <w:shd w:val="clear" w:color="auto" w:fill="auto"/>
                  <w:vAlign w:val="center"/>
                </w:tcPr>
                <w:p w14:paraId="310C8108">
                  <w:pPr>
                    <w:pStyle w:val="23"/>
                    <w:spacing w:line="240" w:lineRule="auto"/>
                    <w:ind w:left="0" w:leftChars="0" w:firstLine="0" w:firstLineChars="0"/>
                    <w:jc w:val="center"/>
                    <w:rPr>
                      <w:rFonts w:hint="default" w:ascii="Times New Roman" w:hAnsi="Times New Roman" w:eastAsia="宋体" w:cs="Times New Roman"/>
                      <w:b/>
                      <w:bCs/>
                      <w:snapToGrid w:val="0"/>
                      <w:color w:val="auto"/>
                      <w:w w:val="100"/>
                      <w:sz w:val="21"/>
                      <w:szCs w:val="21"/>
                      <w:highlight w:val="none"/>
                      <w:lang w:val="en-US" w:eastAsia="zh-CN" w:bidi="ar-SA"/>
                    </w:rPr>
                  </w:pPr>
                  <w:r>
                    <w:rPr>
                      <w:rFonts w:hint="default" w:ascii="Times New Roman" w:hAnsi="Times New Roman" w:cs="Times New Roman"/>
                      <w:b/>
                      <w:bCs/>
                      <w:color w:val="auto"/>
                      <w:szCs w:val="21"/>
                      <w:highlight w:val="none"/>
                    </w:rPr>
                    <w:t>敏感点</w:t>
                  </w:r>
                </w:p>
              </w:tc>
              <w:tc>
                <w:tcPr>
                  <w:tcW w:w="900" w:type="dxa"/>
                  <w:shd w:val="clear" w:color="auto" w:fill="auto"/>
                  <w:vAlign w:val="center"/>
                </w:tcPr>
                <w:p w14:paraId="2D46EF50">
                  <w:pPr>
                    <w:pStyle w:val="23"/>
                    <w:spacing w:line="240" w:lineRule="auto"/>
                    <w:ind w:left="0" w:leftChars="0" w:firstLine="0" w:firstLineChars="0"/>
                    <w:rPr>
                      <w:rFonts w:hint="default" w:ascii="Times New Roman" w:hAnsi="Times New Roman" w:eastAsia="宋体" w:cs="Times New Roman"/>
                      <w:b/>
                      <w:bCs/>
                      <w:snapToGrid w:val="0"/>
                      <w:color w:val="auto"/>
                      <w:w w:val="100"/>
                      <w:sz w:val="21"/>
                      <w:szCs w:val="21"/>
                      <w:highlight w:val="none"/>
                      <w:lang w:val="en-US" w:eastAsia="zh-CN" w:bidi="ar-SA"/>
                    </w:rPr>
                  </w:pPr>
                  <w:r>
                    <w:rPr>
                      <w:rFonts w:hint="default" w:ascii="Times New Roman" w:hAnsi="Times New Roman" w:cs="Times New Roman"/>
                      <w:b/>
                      <w:bCs/>
                      <w:color w:val="auto"/>
                      <w:szCs w:val="21"/>
                      <w:highlight w:val="none"/>
                    </w:rPr>
                    <w:t>方位</w:t>
                  </w:r>
                </w:p>
              </w:tc>
              <w:tc>
                <w:tcPr>
                  <w:tcW w:w="2331" w:type="dxa"/>
                  <w:shd w:val="clear" w:color="auto" w:fill="auto"/>
                  <w:vAlign w:val="center"/>
                </w:tcPr>
                <w:p w14:paraId="3E256C0C">
                  <w:pPr>
                    <w:pStyle w:val="23"/>
                    <w:spacing w:line="240" w:lineRule="auto"/>
                    <w:ind w:left="0" w:leftChars="0" w:firstLine="0" w:firstLineChars="0"/>
                    <w:rPr>
                      <w:rFonts w:hint="default" w:ascii="Times New Roman" w:hAnsi="Times New Roman" w:eastAsia="宋体" w:cs="Times New Roman"/>
                      <w:b/>
                      <w:bCs/>
                      <w:snapToGrid w:val="0"/>
                      <w:color w:val="auto"/>
                      <w:w w:val="100"/>
                      <w:sz w:val="21"/>
                      <w:szCs w:val="21"/>
                      <w:highlight w:val="none"/>
                      <w:lang w:val="en-US" w:eastAsia="zh-CN" w:bidi="ar-SA"/>
                    </w:rPr>
                  </w:pPr>
                  <w:r>
                    <w:rPr>
                      <w:rFonts w:hint="default" w:ascii="Times New Roman" w:hAnsi="Times New Roman" w:cs="Times New Roman"/>
                      <w:b/>
                      <w:bCs/>
                      <w:color w:val="auto"/>
                      <w:szCs w:val="21"/>
                      <w:highlight w:val="none"/>
                    </w:rPr>
                    <w:t>与项目最近距离（m）</w:t>
                  </w:r>
                </w:p>
              </w:tc>
              <w:tc>
                <w:tcPr>
                  <w:tcW w:w="1708" w:type="dxa"/>
                  <w:shd w:val="clear" w:color="auto" w:fill="auto"/>
                  <w:vAlign w:val="center"/>
                </w:tcPr>
                <w:p w14:paraId="6563F52F">
                  <w:pPr>
                    <w:pStyle w:val="23"/>
                    <w:spacing w:line="240" w:lineRule="auto"/>
                    <w:ind w:left="0" w:leftChars="0" w:firstLine="0" w:firstLineChars="0"/>
                    <w:rPr>
                      <w:rFonts w:hint="default" w:ascii="Times New Roman" w:hAnsi="Times New Roman" w:eastAsia="宋体" w:cs="Times New Roman"/>
                      <w:b/>
                      <w:bCs/>
                      <w:snapToGrid w:val="0"/>
                      <w:color w:val="auto"/>
                      <w:w w:val="100"/>
                      <w:sz w:val="21"/>
                      <w:szCs w:val="21"/>
                      <w:highlight w:val="none"/>
                      <w:lang w:val="en-US" w:eastAsia="zh-CN" w:bidi="ar-SA"/>
                    </w:rPr>
                  </w:pPr>
                  <w:r>
                    <w:rPr>
                      <w:rFonts w:hint="default" w:ascii="Times New Roman" w:hAnsi="Times New Roman" w:cs="Times New Roman"/>
                      <w:b/>
                      <w:bCs/>
                      <w:color w:val="auto"/>
                      <w:szCs w:val="21"/>
                      <w:highlight w:val="none"/>
                    </w:rPr>
                    <w:t>规模</w:t>
                  </w:r>
                </w:p>
              </w:tc>
              <w:tc>
                <w:tcPr>
                  <w:tcW w:w="1066" w:type="dxa"/>
                  <w:shd w:val="clear" w:color="auto" w:fill="auto"/>
                  <w:vAlign w:val="center"/>
                </w:tcPr>
                <w:p w14:paraId="58F59B75">
                  <w:pPr>
                    <w:pStyle w:val="23"/>
                    <w:spacing w:line="240" w:lineRule="auto"/>
                    <w:ind w:left="0" w:leftChars="0" w:firstLine="0" w:firstLineChars="0"/>
                    <w:rPr>
                      <w:rFonts w:hint="default" w:ascii="Times New Roman" w:hAnsi="Times New Roman" w:eastAsia="宋体" w:cs="Times New Roman"/>
                      <w:b/>
                      <w:bCs/>
                      <w:snapToGrid w:val="0"/>
                      <w:color w:val="auto"/>
                      <w:w w:val="100"/>
                      <w:sz w:val="21"/>
                      <w:szCs w:val="21"/>
                      <w:highlight w:val="none"/>
                      <w:lang w:val="en-US" w:eastAsia="zh-CN" w:bidi="ar-SA"/>
                    </w:rPr>
                  </w:pPr>
                  <w:r>
                    <w:rPr>
                      <w:rFonts w:hint="default" w:ascii="Times New Roman" w:hAnsi="Times New Roman" w:cs="Times New Roman"/>
                      <w:b/>
                      <w:bCs/>
                      <w:color w:val="auto"/>
                      <w:szCs w:val="21"/>
                      <w:highlight w:val="none"/>
                    </w:rPr>
                    <w:t>功能分区</w:t>
                  </w:r>
                </w:p>
              </w:tc>
            </w:tr>
            <w:tr w14:paraId="6497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shd w:val="clear" w:color="auto" w:fill="auto"/>
                  <w:vAlign w:val="center"/>
                </w:tcPr>
                <w:p w14:paraId="7453839F">
                  <w:pPr>
                    <w:pStyle w:val="23"/>
                    <w:spacing w:line="240" w:lineRule="auto"/>
                    <w:ind w:left="0" w:leftChars="0"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1</w:t>
                  </w:r>
                </w:p>
              </w:tc>
              <w:tc>
                <w:tcPr>
                  <w:tcW w:w="751" w:type="dxa"/>
                  <w:vMerge w:val="restart"/>
                  <w:shd w:val="clear" w:color="auto" w:fill="auto"/>
                  <w:vAlign w:val="center"/>
                </w:tcPr>
                <w:p w14:paraId="0A6932B2">
                  <w:pPr>
                    <w:pStyle w:val="23"/>
                    <w:spacing w:line="240" w:lineRule="auto"/>
                    <w:ind w:left="0" w:leftChars="0" w:firstLine="0" w:firstLineChars="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1#施工场地</w:t>
                  </w:r>
                </w:p>
              </w:tc>
              <w:tc>
                <w:tcPr>
                  <w:tcW w:w="1501" w:type="dxa"/>
                  <w:shd w:val="clear" w:color="auto" w:fill="auto"/>
                  <w:vAlign w:val="center"/>
                </w:tcPr>
                <w:p w14:paraId="255CF576">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68</w:t>
                  </w:r>
                  <w:r>
                    <w:rPr>
                      <w:rFonts w:hint="default" w:ascii="Times New Roman" w:hAnsi="Times New Roman" w:cs="Times New Roman"/>
                      <w:color w:val="auto"/>
                      <w:sz w:val="21"/>
                      <w:szCs w:val="21"/>
                      <w:highlight w:val="none"/>
                    </w:rPr>
                    <w:t>#居民点</w:t>
                  </w:r>
                </w:p>
              </w:tc>
              <w:tc>
                <w:tcPr>
                  <w:tcW w:w="900" w:type="dxa"/>
                  <w:shd w:val="clear" w:color="auto" w:fill="auto"/>
                  <w:vAlign w:val="center"/>
                </w:tcPr>
                <w:p w14:paraId="0D859F95">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N</w:t>
                  </w:r>
                </w:p>
              </w:tc>
              <w:tc>
                <w:tcPr>
                  <w:tcW w:w="2331" w:type="dxa"/>
                  <w:shd w:val="clear" w:color="auto" w:fill="auto"/>
                  <w:vAlign w:val="center"/>
                </w:tcPr>
                <w:p w14:paraId="11C345FA">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15~51</w:t>
                  </w:r>
                </w:p>
              </w:tc>
              <w:tc>
                <w:tcPr>
                  <w:tcW w:w="1708" w:type="dxa"/>
                  <w:shd w:val="clear" w:color="auto" w:fill="auto"/>
                  <w:vAlign w:val="center"/>
                </w:tcPr>
                <w:p w14:paraId="01289D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10户，约30人</w:t>
                  </w:r>
                </w:p>
              </w:tc>
              <w:tc>
                <w:tcPr>
                  <w:tcW w:w="1066" w:type="dxa"/>
                  <w:vMerge w:val="restart"/>
                  <w:shd w:val="clear" w:color="auto" w:fill="auto"/>
                  <w:vAlign w:val="center"/>
                </w:tcPr>
                <w:p w14:paraId="52E41856">
                  <w:pPr>
                    <w:pStyle w:val="23"/>
                    <w:kinsoku w:val="0"/>
                    <w:overflowPunct w:val="0"/>
                    <w:autoSpaceDE w:val="0"/>
                    <w:autoSpaceDN w:val="0"/>
                    <w:snapToGrid w:val="0"/>
                    <w:spacing w:line="240" w:lineRule="auto"/>
                    <w:ind w:left="0" w:leftChars="0" w:firstLine="0" w:firstLineChars="0"/>
                    <w:rPr>
                      <w:rFonts w:hint="default" w:ascii="Times New Roman" w:hAnsi="Times New Roman" w:eastAsia="宋体" w:cs="Times New Roman"/>
                      <w:snapToGrid w:val="0"/>
                      <w:color w:val="auto"/>
                      <w:w w:val="100"/>
                      <w:sz w:val="21"/>
                      <w:szCs w:val="21"/>
                      <w:highlight w:val="none"/>
                      <w:lang w:val="en-US" w:eastAsia="zh-CN" w:bidi="ar-SA"/>
                    </w:rPr>
                  </w:pPr>
                  <w:r>
                    <w:rPr>
                      <w:rFonts w:hint="default" w:ascii="Times New Roman" w:hAnsi="Times New Roman" w:cs="Times New Roman"/>
                      <w:color w:val="auto"/>
                      <w:szCs w:val="21"/>
                      <w:highlight w:val="none"/>
                    </w:rPr>
                    <w:t>环境空气二类区</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2类声功能区</w:t>
                  </w:r>
                </w:p>
              </w:tc>
            </w:tr>
            <w:tr w14:paraId="4F0F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D9203CA">
                  <w:pPr>
                    <w:pStyle w:val="23"/>
                    <w:spacing w:line="240" w:lineRule="auto"/>
                    <w:ind w:left="0" w:leftChars="0" w:firstLine="0" w:firstLineChars="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2</w:t>
                  </w:r>
                </w:p>
              </w:tc>
              <w:tc>
                <w:tcPr>
                  <w:tcW w:w="751" w:type="dxa"/>
                  <w:vMerge w:val="continue"/>
                  <w:vAlign w:val="center"/>
                </w:tcPr>
                <w:p w14:paraId="3BC146B4">
                  <w:pPr>
                    <w:pStyle w:val="23"/>
                    <w:spacing w:line="240" w:lineRule="auto"/>
                    <w:ind w:left="0" w:leftChars="0" w:firstLine="0" w:firstLineChars="0"/>
                    <w:jc w:val="center"/>
                    <w:rPr>
                      <w:rFonts w:hint="default" w:ascii="Times New Roman" w:hAnsi="Times New Roman" w:eastAsia="宋体" w:cs="Times New Roman"/>
                      <w:b w:val="0"/>
                      <w:bCs w:val="0"/>
                      <w:color w:val="auto"/>
                      <w:szCs w:val="21"/>
                      <w:highlight w:val="none"/>
                      <w:lang w:val="en-US" w:eastAsia="zh-CN"/>
                    </w:rPr>
                  </w:pPr>
                </w:p>
              </w:tc>
              <w:tc>
                <w:tcPr>
                  <w:tcW w:w="0" w:type="auto"/>
                  <w:shd w:val="clear" w:color="auto" w:fill="auto"/>
                  <w:vAlign w:val="center"/>
                </w:tcPr>
                <w:p w14:paraId="4885B33A">
                  <w:pPr>
                    <w:keepNext w:val="0"/>
                    <w:keepLines w:val="0"/>
                    <w:pageBreakBefore w:val="0"/>
                    <w:widowControl w:val="0"/>
                    <w:wordWrap/>
                    <w:topLinePunct w:val="0"/>
                    <w:bidi w:val="0"/>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69</w:t>
                  </w:r>
                  <w:r>
                    <w:rPr>
                      <w:rFonts w:hint="default" w:ascii="Times New Roman" w:hAnsi="Times New Roman" w:cs="Times New Roman"/>
                      <w:color w:val="auto"/>
                      <w:sz w:val="21"/>
                      <w:szCs w:val="21"/>
                      <w:highlight w:val="none"/>
                    </w:rPr>
                    <w:t>#居民点</w:t>
                  </w:r>
                </w:p>
              </w:tc>
              <w:tc>
                <w:tcPr>
                  <w:tcW w:w="900" w:type="dxa"/>
                  <w:shd w:val="clear" w:color="auto" w:fill="auto"/>
                  <w:vAlign w:val="center"/>
                </w:tcPr>
                <w:p w14:paraId="2602A4E0">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E</w:t>
                  </w:r>
                </w:p>
              </w:tc>
              <w:tc>
                <w:tcPr>
                  <w:tcW w:w="2331" w:type="dxa"/>
                  <w:shd w:val="clear" w:color="auto" w:fill="auto"/>
                  <w:vAlign w:val="center"/>
                </w:tcPr>
                <w:p w14:paraId="3A76C18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54~70</w:t>
                  </w:r>
                </w:p>
              </w:tc>
              <w:tc>
                <w:tcPr>
                  <w:tcW w:w="1708" w:type="dxa"/>
                  <w:shd w:val="clear" w:color="auto" w:fill="auto"/>
                  <w:vAlign w:val="center"/>
                </w:tcPr>
                <w:p w14:paraId="048C42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2户，约6人</w:t>
                  </w:r>
                </w:p>
              </w:tc>
              <w:tc>
                <w:tcPr>
                  <w:tcW w:w="1066" w:type="dxa"/>
                  <w:vMerge w:val="continue"/>
                </w:tcPr>
                <w:p w14:paraId="024BFB83">
                  <w:pPr>
                    <w:pStyle w:val="23"/>
                    <w:spacing w:line="240" w:lineRule="auto"/>
                    <w:ind w:left="0" w:leftChars="0" w:firstLine="0" w:firstLineChars="0"/>
                    <w:rPr>
                      <w:rFonts w:hint="default" w:ascii="Times New Roman" w:hAnsi="Times New Roman" w:cs="Times New Roman"/>
                      <w:b/>
                      <w:bCs/>
                      <w:color w:val="auto"/>
                      <w:szCs w:val="21"/>
                      <w:highlight w:val="none"/>
                    </w:rPr>
                  </w:pPr>
                </w:p>
              </w:tc>
            </w:tr>
            <w:tr w14:paraId="4799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696D5FE5">
                  <w:pPr>
                    <w:pStyle w:val="23"/>
                    <w:spacing w:line="240" w:lineRule="auto"/>
                    <w:ind w:left="0" w:leftChars="0" w:firstLine="0" w:firstLineChars="0"/>
                    <w:jc w:val="center"/>
                    <w:rPr>
                      <w:rFonts w:hint="default" w:ascii="Times New Roman" w:hAnsi="Times New Roman"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3</w:t>
                  </w:r>
                </w:p>
              </w:tc>
              <w:tc>
                <w:tcPr>
                  <w:tcW w:w="751" w:type="dxa"/>
                  <w:vMerge w:val="continue"/>
                  <w:vAlign w:val="center"/>
                </w:tcPr>
                <w:p w14:paraId="6D10347D">
                  <w:pPr>
                    <w:pStyle w:val="23"/>
                    <w:spacing w:line="240" w:lineRule="auto"/>
                    <w:ind w:left="0" w:leftChars="0" w:firstLine="0" w:firstLineChars="0"/>
                    <w:jc w:val="center"/>
                    <w:rPr>
                      <w:rFonts w:hint="default" w:ascii="Times New Roman" w:hAnsi="Times New Roman" w:eastAsia="宋体" w:cs="Times New Roman"/>
                      <w:b w:val="0"/>
                      <w:bCs w:val="0"/>
                      <w:color w:val="auto"/>
                      <w:szCs w:val="21"/>
                      <w:highlight w:val="none"/>
                      <w:lang w:val="en-US" w:eastAsia="zh-CN"/>
                    </w:rPr>
                  </w:pPr>
                </w:p>
              </w:tc>
              <w:tc>
                <w:tcPr>
                  <w:tcW w:w="0" w:type="auto"/>
                  <w:shd w:val="clear" w:color="auto" w:fill="auto"/>
                  <w:vAlign w:val="center"/>
                </w:tcPr>
                <w:p w14:paraId="0352FD8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eastAsia" w:ascii="Times New Roman" w:hAnsi="Times New Roman" w:eastAsia="宋体" w:cs="Times New Roman"/>
                      <w:snapToGrid w:val="0"/>
                      <w:color w:val="auto"/>
                      <w:w w:val="100"/>
                      <w:sz w:val="21"/>
                      <w:szCs w:val="21"/>
                      <w:highlight w:val="none"/>
                      <w:lang w:val="en-US" w:eastAsia="zh-CN" w:bidi="ar-SA"/>
                    </w:rPr>
                  </w:pPr>
                  <w:r>
                    <w:rPr>
                      <w:rFonts w:hint="eastAsia" w:cs="Times New Roman"/>
                      <w:color w:val="auto"/>
                      <w:sz w:val="21"/>
                      <w:szCs w:val="21"/>
                      <w:highlight w:val="none"/>
                      <w:lang w:val="en-US" w:eastAsia="zh-CN"/>
                    </w:rPr>
                    <w:t>70</w:t>
                  </w:r>
                  <w:r>
                    <w:rPr>
                      <w:rFonts w:hint="default" w:ascii="Times New Roman" w:hAnsi="Times New Roman" w:cs="Times New Roman"/>
                      <w:color w:val="auto"/>
                      <w:sz w:val="21"/>
                      <w:szCs w:val="21"/>
                      <w:highlight w:val="none"/>
                    </w:rPr>
                    <w:t>#居民点</w:t>
                  </w:r>
                </w:p>
              </w:tc>
              <w:tc>
                <w:tcPr>
                  <w:tcW w:w="900" w:type="dxa"/>
                  <w:shd w:val="clear" w:color="auto" w:fill="auto"/>
                  <w:vAlign w:val="center"/>
                </w:tcPr>
                <w:p w14:paraId="48AA2B9E">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W</w:t>
                  </w:r>
                </w:p>
              </w:tc>
              <w:tc>
                <w:tcPr>
                  <w:tcW w:w="2331" w:type="dxa"/>
                  <w:shd w:val="clear" w:color="auto" w:fill="auto"/>
                  <w:vAlign w:val="center"/>
                </w:tcPr>
                <w:p w14:paraId="6F316A96">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167~203</w:t>
                  </w:r>
                </w:p>
              </w:tc>
              <w:tc>
                <w:tcPr>
                  <w:tcW w:w="1708" w:type="dxa"/>
                  <w:shd w:val="clear" w:color="auto" w:fill="auto"/>
                  <w:vAlign w:val="center"/>
                </w:tcPr>
                <w:p w14:paraId="3F273F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2户，约6人</w:t>
                  </w:r>
                </w:p>
              </w:tc>
              <w:tc>
                <w:tcPr>
                  <w:tcW w:w="1066" w:type="dxa"/>
                  <w:vMerge w:val="continue"/>
                </w:tcPr>
                <w:p w14:paraId="72C4DA52">
                  <w:pPr>
                    <w:pStyle w:val="23"/>
                    <w:spacing w:line="240" w:lineRule="auto"/>
                    <w:ind w:left="0" w:leftChars="0" w:firstLine="0" w:firstLineChars="0"/>
                    <w:rPr>
                      <w:rFonts w:hint="default" w:ascii="Times New Roman" w:hAnsi="Times New Roman" w:cs="Times New Roman"/>
                      <w:b/>
                      <w:bCs/>
                      <w:color w:val="auto"/>
                      <w:szCs w:val="21"/>
                      <w:highlight w:val="none"/>
                    </w:rPr>
                  </w:pPr>
                </w:p>
              </w:tc>
            </w:tr>
            <w:tr w14:paraId="0C10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7F0B0A38">
                  <w:pPr>
                    <w:pStyle w:val="23"/>
                    <w:spacing w:line="240" w:lineRule="auto"/>
                    <w:ind w:left="0" w:leftChars="0" w:firstLine="0" w:firstLineChars="0"/>
                    <w:jc w:val="center"/>
                    <w:rPr>
                      <w:rFonts w:hint="default" w:ascii="Times New Roman" w:hAnsi="Times New Roman"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4</w:t>
                  </w:r>
                </w:p>
              </w:tc>
              <w:tc>
                <w:tcPr>
                  <w:tcW w:w="751" w:type="dxa"/>
                  <w:vMerge w:val="continue"/>
                  <w:vAlign w:val="center"/>
                </w:tcPr>
                <w:p w14:paraId="679222DB">
                  <w:pPr>
                    <w:pStyle w:val="23"/>
                    <w:spacing w:line="240" w:lineRule="auto"/>
                    <w:ind w:left="0" w:leftChars="0" w:firstLine="0" w:firstLineChars="0"/>
                    <w:jc w:val="center"/>
                    <w:rPr>
                      <w:rFonts w:hint="default" w:ascii="Times New Roman" w:hAnsi="Times New Roman" w:eastAsia="宋体" w:cs="Times New Roman"/>
                      <w:b w:val="0"/>
                      <w:bCs w:val="0"/>
                      <w:color w:val="auto"/>
                      <w:szCs w:val="21"/>
                      <w:highlight w:val="none"/>
                      <w:lang w:val="en-US" w:eastAsia="zh-CN"/>
                    </w:rPr>
                  </w:pPr>
                </w:p>
              </w:tc>
              <w:tc>
                <w:tcPr>
                  <w:tcW w:w="0" w:type="auto"/>
                  <w:shd w:val="clear" w:color="auto" w:fill="auto"/>
                  <w:vAlign w:val="center"/>
                </w:tcPr>
                <w:p w14:paraId="23B6D934">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71</w:t>
                  </w:r>
                  <w:r>
                    <w:rPr>
                      <w:rFonts w:hint="default" w:ascii="Times New Roman" w:hAnsi="Times New Roman" w:cs="Times New Roman"/>
                      <w:color w:val="auto"/>
                      <w:sz w:val="21"/>
                      <w:szCs w:val="21"/>
                      <w:highlight w:val="none"/>
                    </w:rPr>
                    <w:t>#居民点</w:t>
                  </w:r>
                </w:p>
              </w:tc>
              <w:tc>
                <w:tcPr>
                  <w:tcW w:w="900" w:type="dxa"/>
                  <w:shd w:val="clear" w:color="auto" w:fill="auto"/>
                  <w:vAlign w:val="center"/>
                </w:tcPr>
                <w:p w14:paraId="7308C1BA">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NW</w:t>
                  </w:r>
                </w:p>
              </w:tc>
              <w:tc>
                <w:tcPr>
                  <w:tcW w:w="2331" w:type="dxa"/>
                  <w:shd w:val="clear" w:color="auto" w:fill="auto"/>
                  <w:vAlign w:val="center"/>
                </w:tcPr>
                <w:p w14:paraId="5CDEC2D9">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67~217</w:t>
                  </w:r>
                </w:p>
              </w:tc>
              <w:tc>
                <w:tcPr>
                  <w:tcW w:w="1708" w:type="dxa"/>
                  <w:shd w:val="clear" w:color="auto" w:fill="auto"/>
                  <w:vAlign w:val="center"/>
                </w:tcPr>
                <w:p w14:paraId="658694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15户，约45人</w:t>
                  </w:r>
                </w:p>
              </w:tc>
              <w:tc>
                <w:tcPr>
                  <w:tcW w:w="1066" w:type="dxa"/>
                  <w:vMerge w:val="continue"/>
                </w:tcPr>
                <w:p w14:paraId="18ABBC2C">
                  <w:pPr>
                    <w:pStyle w:val="23"/>
                    <w:spacing w:line="240" w:lineRule="auto"/>
                    <w:ind w:left="0" w:leftChars="0" w:firstLine="0" w:firstLineChars="0"/>
                    <w:rPr>
                      <w:rFonts w:hint="default" w:ascii="Times New Roman" w:hAnsi="Times New Roman" w:cs="Times New Roman"/>
                      <w:b/>
                      <w:bCs/>
                      <w:color w:val="auto"/>
                      <w:szCs w:val="21"/>
                      <w:highlight w:val="none"/>
                    </w:rPr>
                  </w:pPr>
                </w:p>
              </w:tc>
            </w:tr>
            <w:tr w14:paraId="2E88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5BB7661B">
                  <w:pPr>
                    <w:pStyle w:val="23"/>
                    <w:spacing w:line="240" w:lineRule="auto"/>
                    <w:ind w:left="0" w:leftChars="0" w:firstLine="0" w:firstLineChars="0"/>
                    <w:jc w:val="center"/>
                    <w:rPr>
                      <w:rFonts w:hint="default" w:ascii="Times New Roman" w:hAnsi="Times New Roman"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5</w:t>
                  </w:r>
                </w:p>
              </w:tc>
              <w:tc>
                <w:tcPr>
                  <w:tcW w:w="751" w:type="dxa"/>
                  <w:vMerge w:val="continue"/>
                  <w:vAlign w:val="center"/>
                </w:tcPr>
                <w:p w14:paraId="513BEF59">
                  <w:pPr>
                    <w:pStyle w:val="23"/>
                    <w:spacing w:line="240" w:lineRule="auto"/>
                    <w:ind w:left="0" w:leftChars="0" w:firstLine="0" w:firstLineChars="0"/>
                    <w:jc w:val="center"/>
                    <w:rPr>
                      <w:rFonts w:hint="default" w:ascii="Times New Roman" w:hAnsi="Times New Roman" w:eastAsia="宋体" w:cs="Times New Roman"/>
                      <w:b w:val="0"/>
                      <w:bCs w:val="0"/>
                      <w:color w:val="auto"/>
                      <w:szCs w:val="21"/>
                      <w:highlight w:val="none"/>
                      <w:lang w:val="en-US" w:eastAsia="zh-CN"/>
                    </w:rPr>
                  </w:pPr>
                </w:p>
              </w:tc>
              <w:tc>
                <w:tcPr>
                  <w:tcW w:w="0" w:type="auto"/>
                  <w:shd w:val="clear" w:color="auto" w:fill="auto"/>
                  <w:vAlign w:val="center"/>
                </w:tcPr>
                <w:p w14:paraId="22CDE592">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72</w:t>
                  </w:r>
                  <w:r>
                    <w:rPr>
                      <w:rFonts w:hint="default" w:ascii="Times New Roman" w:hAnsi="Times New Roman" w:cs="Times New Roman"/>
                      <w:color w:val="auto"/>
                      <w:sz w:val="21"/>
                      <w:szCs w:val="21"/>
                      <w:highlight w:val="none"/>
                    </w:rPr>
                    <w:t>#居民点</w:t>
                  </w:r>
                </w:p>
              </w:tc>
              <w:tc>
                <w:tcPr>
                  <w:tcW w:w="900" w:type="dxa"/>
                  <w:shd w:val="clear" w:color="auto" w:fill="auto"/>
                  <w:vAlign w:val="center"/>
                </w:tcPr>
                <w:p w14:paraId="5E27F61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NE</w:t>
                  </w:r>
                </w:p>
              </w:tc>
              <w:tc>
                <w:tcPr>
                  <w:tcW w:w="2331" w:type="dxa"/>
                  <w:shd w:val="clear" w:color="auto" w:fill="auto"/>
                  <w:vAlign w:val="center"/>
                </w:tcPr>
                <w:p w14:paraId="6641A5EA">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190</w:t>
                  </w:r>
                </w:p>
              </w:tc>
              <w:tc>
                <w:tcPr>
                  <w:tcW w:w="1708" w:type="dxa"/>
                  <w:shd w:val="clear" w:color="auto" w:fill="auto"/>
                  <w:vAlign w:val="center"/>
                </w:tcPr>
                <w:p w14:paraId="19E1B2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1户，约3人</w:t>
                  </w:r>
                </w:p>
              </w:tc>
              <w:tc>
                <w:tcPr>
                  <w:tcW w:w="1066" w:type="dxa"/>
                  <w:vMerge w:val="continue"/>
                </w:tcPr>
                <w:p w14:paraId="0FA4F21C">
                  <w:pPr>
                    <w:pStyle w:val="23"/>
                    <w:spacing w:line="240" w:lineRule="auto"/>
                    <w:ind w:left="0" w:leftChars="0" w:firstLine="0" w:firstLineChars="0"/>
                    <w:rPr>
                      <w:rFonts w:hint="default" w:ascii="Times New Roman" w:hAnsi="Times New Roman" w:cs="Times New Roman"/>
                      <w:b/>
                      <w:bCs/>
                      <w:color w:val="auto"/>
                      <w:szCs w:val="21"/>
                      <w:highlight w:val="none"/>
                    </w:rPr>
                  </w:pPr>
                </w:p>
              </w:tc>
            </w:tr>
            <w:tr w14:paraId="7F60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dxa"/>
                  <w:vAlign w:val="center"/>
                </w:tcPr>
                <w:p w14:paraId="081A86FD">
                  <w:pPr>
                    <w:pStyle w:val="23"/>
                    <w:spacing w:line="240" w:lineRule="auto"/>
                    <w:ind w:left="0" w:leftChars="0" w:firstLine="0" w:firstLineChars="0"/>
                    <w:jc w:val="center"/>
                    <w:rPr>
                      <w:rFonts w:hint="default" w:ascii="Times New Roman" w:hAnsi="Times New Roman"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6</w:t>
                  </w:r>
                </w:p>
              </w:tc>
              <w:tc>
                <w:tcPr>
                  <w:tcW w:w="751" w:type="dxa"/>
                  <w:vMerge w:val="continue"/>
                  <w:vAlign w:val="center"/>
                </w:tcPr>
                <w:p w14:paraId="2F01402B">
                  <w:pPr>
                    <w:pStyle w:val="23"/>
                    <w:spacing w:line="240" w:lineRule="auto"/>
                    <w:ind w:left="0" w:leftChars="0" w:firstLine="0" w:firstLineChars="0"/>
                    <w:jc w:val="center"/>
                    <w:rPr>
                      <w:rFonts w:hint="default" w:ascii="Times New Roman" w:hAnsi="Times New Roman" w:eastAsia="宋体" w:cs="Times New Roman"/>
                      <w:b w:val="0"/>
                      <w:bCs w:val="0"/>
                      <w:color w:val="auto"/>
                      <w:szCs w:val="21"/>
                      <w:highlight w:val="none"/>
                      <w:lang w:val="en-US" w:eastAsia="zh-CN"/>
                    </w:rPr>
                  </w:pPr>
                </w:p>
              </w:tc>
              <w:tc>
                <w:tcPr>
                  <w:tcW w:w="0" w:type="auto"/>
                  <w:shd w:val="clear" w:color="auto" w:fill="auto"/>
                  <w:vAlign w:val="center"/>
                </w:tcPr>
                <w:p w14:paraId="7767BEDB">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73</w:t>
                  </w:r>
                  <w:r>
                    <w:rPr>
                      <w:rFonts w:hint="default" w:ascii="Times New Roman" w:hAnsi="Times New Roman" w:cs="Times New Roman"/>
                      <w:color w:val="auto"/>
                      <w:sz w:val="21"/>
                      <w:szCs w:val="21"/>
                      <w:highlight w:val="none"/>
                    </w:rPr>
                    <w:t>#居民点</w:t>
                  </w:r>
                </w:p>
              </w:tc>
              <w:tc>
                <w:tcPr>
                  <w:tcW w:w="900" w:type="dxa"/>
                  <w:shd w:val="clear" w:color="auto" w:fill="auto"/>
                  <w:vAlign w:val="center"/>
                </w:tcPr>
                <w:p w14:paraId="41B18DA3">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SE</w:t>
                  </w:r>
                </w:p>
              </w:tc>
              <w:tc>
                <w:tcPr>
                  <w:tcW w:w="2331" w:type="dxa"/>
                  <w:shd w:val="clear" w:color="auto" w:fill="auto"/>
                  <w:vAlign w:val="center"/>
                </w:tcPr>
                <w:p w14:paraId="2308C93D">
                  <w:pPr>
                    <w:pStyle w:val="23"/>
                    <w:keepNext w:val="0"/>
                    <w:keepLines w:val="0"/>
                    <w:pageBreakBefore w:val="0"/>
                    <w:widowControl w:val="0"/>
                    <w:wordWrap/>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w w:val="100"/>
                      <w:sz w:val="21"/>
                      <w:szCs w:val="21"/>
                      <w:highlight w:val="none"/>
                      <w:lang w:val="en-US" w:eastAsia="zh-CN" w:bidi="ar-SA"/>
                    </w:rPr>
                  </w:pPr>
                  <w:r>
                    <w:rPr>
                      <w:rFonts w:hint="eastAsia" w:cs="Times New Roman"/>
                      <w:snapToGrid w:val="0"/>
                      <w:color w:val="auto"/>
                      <w:w w:val="100"/>
                      <w:sz w:val="21"/>
                      <w:szCs w:val="21"/>
                      <w:highlight w:val="none"/>
                      <w:lang w:val="en-US" w:eastAsia="zh-CN" w:bidi="ar-SA"/>
                    </w:rPr>
                    <w:t>160~198</w:t>
                  </w:r>
                </w:p>
              </w:tc>
              <w:tc>
                <w:tcPr>
                  <w:tcW w:w="1708" w:type="dxa"/>
                  <w:shd w:val="clear" w:color="auto" w:fill="auto"/>
                  <w:vAlign w:val="center"/>
                </w:tcPr>
                <w:p w14:paraId="2FCF14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2户，约6人</w:t>
                  </w:r>
                </w:p>
              </w:tc>
              <w:tc>
                <w:tcPr>
                  <w:tcW w:w="1066" w:type="dxa"/>
                  <w:vMerge w:val="continue"/>
                </w:tcPr>
                <w:p w14:paraId="107C971C">
                  <w:pPr>
                    <w:pStyle w:val="23"/>
                    <w:spacing w:line="240" w:lineRule="auto"/>
                    <w:ind w:left="0" w:leftChars="0" w:firstLine="0" w:firstLineChars="0"/>
                    <w:rPr>
                      <w:rFonts w:hint="default" w:ascii="Times New Roman" w:hAnsi="Times New Roman" w:cs="Times New Roman"/>
                      <w:b/>
                      <w:bCs/>
                      <w:color w:val="auto"/>
                      <w:szCs w:val="21"/>
                      <w:highlight w:val="none"/>
                    </w:rPr>
                  </w:pPr>
                </w:p>
              </w:tc>
            </w:tr>
          </w:tbl>
          <w:p w14:paraId="309D77D0">
            <w:pPr>
              <w:pStyle w:val="38"/>
              <w:adjustRightInd w:val="0"/>
              <w:snapToGrid w:val="0"/>
              <w:ind w:firstLine="480" w:firstLineChars="200"/>
              <w:rPr>
                <w:rFonts w:hint="eastAsia" w:cs="Times New Roman"/>
                <w:color w:val="auto"/>
                <w:szCs w:val="24"/>
                <w:highlight w:val="none"/>
                <w:lang w:val="en-US" w:eastAsia="zh-CN"/>
              </w:rPr>
            </w:pPr>
            <w:r>
              <w:rPr>
                <w:rFonts w:hint="eastAsia" w:cs="Times New Roman"/>
                <w:color w:val="auto"/>
                <w:szCs w:val="24"/>
                <w:highlight w:val="none"/>
                <w:lang w:val="en-US" w:eastAsia="zh-CN"/>
              </w:rPr>
              <w:t>·清河镇段及杨家镇段</w:t>
            </w:r>
          </w:p>
          <w:p w14:paraId="7357EF29">
            <w:pPr>
              <w:pStyle w:val="20"/>
              <w:keepNext w:val="0"/>
              <w:keepLines w:val="0"/>
              <w:pageBreakBefore w:val="0"/>
              <w:widowControl w:val="0"/>
              <w:kinsoku/>
              <w:wordWrap w:val="0"/>
              <w:overflowPunct/>
              <w:topLinePunct w:val="0"/>
              <w:autoSpaceDE/>
              <w:autoSpaceDN/>
              <w:bidi w:val="0"/>
              <w:adjustRightInd w:val="0"/>
              <w:snapToGrid w:val="0"/>
              <w:spacing w:before="169" w:beforeLines="50" w:line="240" w:lineRule="exact"/>
              <w:textAlignment w:val="auto"/>
              <w:rPr>
                <w:rFonts w:hint="eastAsia"/>
                <w:color w:val="auto"/>
                <w:sz w:val="24"/>
                <w:szCs w:val="24"/>
                <w:highlight w:val="none"/>
              </w:rPr>
            </w:pPr>
            <w:r>
              <w:rPr>
                <w:rFonts w:hint="eastAsia"/>
                <w:color w:val="auto"/>
                <w:sz w:val="24"/>
                <w:szCs w:val="24"/>
                <w:highlight w:val="none"/>
              </w:rPr>
              <w:t>表3</w:t>
            </w:r>
            <w:r>
              <w:rPr>
                <w:color w:val="auto"/>
                <w:sz w:val="24"/>
                <w:szCs w:val="24"/>
                <w:highlight w:val="none"/>
              </w:rPr>
              <w:t>.5-</w:t>
            </w:r>
            <w:r>
              <w:rPr>
                <w:rFonts w:hint="eastAsia"/>
                <w:color w:val="auto"/>
                <w:sz w:val="24"/>
                <w:szCs w:val="24"/>
                <w:highlight w:val="none"/>
                <w:lang w:val="en-US" w:eastAsia="zh-CN"/>
              </w:rPr>
              <w:t>4</w:t>
            </w:r>
            <w:r>
              <w:rPr>
                <w:color w:val="auto"/>
                <w:sz w:val="24"/>
                <w:szCs w:val="24"/>
                <w:highlight w:val="none"/>
              </w:rPr>
              <w:t xml:space="preserve">  </w:t>
            </w:r>
            <w:r>
              <w:rPr>
                <w:rFonts w:hint="eastAsia"/>
                <w:color w:val="auto"/>
                <w:sz w:val="24"/>
                <w:szCs w:val="24"/>
                <w:highlight w:val="none"/>
              </w:rPr>
              <w:t>项目清河镇治理河段声环境、大气环境保护目标统计表</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275"/>
              <w:gridCol w:w="801"/>
              <w:gridCol w:w="639"/>
              <w:gridCol w:w="1275"/>
              <w:gridCol w:w="1275"/>
              <w:gridCol w:w="795"/>
              <w:gridCol w:w="795"/>
              <w:gridCol w:w="1327"/>
            </w:tblGrid>
            <w:tr w14:paraId="5FFE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restart"/>
                  <w:noWrap w:val="0"/>
                  <w:vAlign w:val="center"/>
                </w:tcPr>
                <w:p w14:paraId="45D0FAA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环境要素</w:t>
                  </w:r>
                </w:p>
              </w:tc>
              <w:tc>
                <w:tcPr>
                  <w:tcW w:w="709" w:type="pct"/>
                  <w:vMerge w:val="restart"/>
                  <w:noWrap w:val="0"/>
                  <w:vAlign w:val="center"/>
                </w:tcPr>
                <w:p w14:paraId="52315A6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名称</w:t>
                  </w:r>
                </w:p>
              </w:tc>
              <w:tc>
                <w:tcPr>
                  <w:tcW w:w="800" w:type="pct"/>
                  <w:gridSpan w:val="2"/>
                  <w:noWrap w:val="0"/>
                  <w:vAlign w:val="center"/>
                </w:tcPr>
                <w:p w14:paraId="7E0188E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坐标/m</w:t>
                  </w:r>
                </w:p>
              </w:tc>
              <w:tc>
                <w:tcPr>
                  <w:tcW w:w="709" w:type="pct"/>
                  <w:vMerge w:val="restart"/>
                  <w:noWrap w:val="0"/>
                  <w:vAlign w:val="center"/>
                </w:tcPr>
                <w:p w14:paraId="6608A3A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保护对象</w:t>
                  </w:r>
                </w:p>
              </w:tc>
              <w:tc>
                <w:tcPr>
                  <w:tcW w:w="709" w:type="pct"/>
                  <w:vMerge w:val="restart"/>
                  <w:noWrap w:val="0"/>
                  <w:vAlign w:val="center"/>
                </w:tcPr>
                <w:p w14:paraId="0E816A6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保护内容</w:t>
                  </w:r>
                </w:p>
              </w:tc>
              <w:tc>
                <w:tcPr>
                  <w:tcW w:w="442" w:type="pct"/>
                  <w:vMerge w:val="restart"/>
                  <w:noWrap w:val="0"/>
                  <w:vAlign w:val="center"/>
                </w:tcPr>
                <w:p w14:paraId="33C849C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环境功能</w:t>
                  </w:r>
                </w:p>
              </w:tc>
              <w:tc>
                <w:tcPr>
                  <w:tcW w:w="442" w:type="pct"/>
                  <w:vMerge w:val="restart"/>
                  <w:noWrap w:val="0"/>
                  <w:vAlign w:val="center"/>
                </w:tcPr>
                <w:p w14:paraId="44DBF5B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相对方位</w:t>
                  </w:r>
                </w:p>
              </w:tc>
              <w:tc>
                <w:tcPr>
                  <w:tcW w:w="738" w:type="pct"/>
                  <w:vMerge w:val="restart"/>
                  <w:noWrap w:val="0"/>
                  <w:vAlign w:val="center"/>
                </w:tcPr>
                <w:p w14:paraId="4AC07D5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与场界最近距离/m</w:t>
                  </w:r>
                </w:p>
              </w:tc>
            </w:tr>
            <w:tr w14:paraId="2F9D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03CEE35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p>
              </w:tc>
              <w:tc>
                <w:tcPr>
                  <w:tcW w:w="709" w:type="pct"/>
                  <w:vMerge w:val="continue"/>
                  <w:noWrap w:val="0"/>
                  <w:vAlign w:val="center"/>
                </w:tcPr>
                <w:p w14:paraId="28AF39E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p>
              </w:tc>
              <w:tc>
                <w:tcPr>
                  <w:tcW w:w="445" w:type="pct"/>
                  <w:noWrap w:val="0"/>
                  <w:vAlign w:val="center"/>
                </w:tcPr>
                <w:p w14:paraId="0B31A6D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X</w:t>
                  </w:r>
                </w:p>
              </w:tc>
              <w:tc>
                <w:tcPr>
                  <w:tcW w:w="355" w:type="pct"/>
                  <w:noWrap w:val="0"/>
                  <w:vAlign w:val="center"/>
                </w:tcPr>
                <w:p w14:paraId="1541F2A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ascii="Times New Roman" w:hAnsi="Times New Roman" w:eastAsia="宋体"/>
                      <w:b/>
                      <w:color w:val="auto"/>
                      <w:kern w:val="0"/>
                      <w:sz w:val="21"/>
                      <w:szCs w:val="21"/>
                      <w:highlight w:val="none"/>
                    </w:rPr>
                    <w:t>Y</w:t>
                  </w:r>
                </w:p>
              </w:tc>
              <w:tc>
                <w:tcPr>
                  <w:tcW w:w="709" w:type="pct"/>
                  <w:vMerge w:val="continue"/>
                  <w:noWrap w:val="0"/>
                  <w:vAlign w:val="center"/>
                </w:tcPr>
                <w:p w14:paraId="422B0C3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p>
              </w:tc>
              <w:tc>
                <w:tcPr>
                  <w:tcW w:w="709" w:type="pct"/>
                  <w:vMerge w:val="continue"/>
                  <w:noWrap w:val="0"/>
                  <w:vAlign w:val="center"/>
                </w:tcPr>
                <w:p w14:paraId="0D57068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p>
              </w:tc>
              <w:tc>
                <w:tcPr>
                  <w:tcW w:w="442" w:type="pct"/>
                  <w:vMerge w:val="continue"/>
                  <w:noWrap w:val="0"/>
                  <w:vAlign w:val="center"/>
                </w:tcPr>
                <w:p w14:paraId="783AF4C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p>
              </w:tc>
              <w:tc>
                <w:tcPr>
                  <w:tcW w:w="442" w:type="pct"/>
                  <w:vMerge w:val="continue"/>
                  <w:noWrap w:val="0"/>
                  <w:vAlign w:val="center"/>
                </w:tcPr>
                <w:p w14:paraId="5A4F8BD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p>
              </w:tc>
              <w:tc>
                <w:tcPr>
                  <w:tcW w:w="738" w:type="pct"/>
                  <w:vMerge w:val="continue"/>
                  <w:noWrap w:val="0"/>
                  <w:vAlign w:val="center"/>
                </w:tcPr>
                <w:p w14:paraId="5202A52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p>
              </w:tc>
            </w:tr>
            <w:tr w14:paraId="0B7C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restart"/>
                  <w:noWrap w:val="0"/>
                  <w:vAlign w:val="center"/>
                </w:tcPr>
                <w:p w14:paraId="6E04DFC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大气环境</w:t>
                  </w:r>
                </w:p>
              </w:tc>
              <w:tc>
                <w:tcPr>
                  <w:tcW w:w="709" w:type="pct"/>
                  <w:noWrap w:val="0"/>
                  <w:vAlign w:val="center"/>
                </w:tcPr>
                <w:p w14:paraId="68964AB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磨子坝</w:t>
                  </w:r>
                </w:p>
              </w:tc>
              <w:tc>
                <w:tcPr>
                  <w:tcW w:w="445" w:type="pct"/>
                  <w:noWrap w:val="0"/>
                  <w:vAlign w:val="center"/>
                </w:tcPr>
                <w:p w14:paraId="4DE424F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4</w:t>
                  </w:r>
                  <w:r>
                    <w:rPr>
                      <w:rFonts w:ascii="Times New Roman" w:hAnsi="Times New Roman" w:eastAsia="宋体"/>
                      <w:color w:val="auto"/>
                      <w:spacing w:val="-10"/>
                      <w:kern w:val="0"/>
                      <w:sz w:val="21"/>
                      <w:szCs w:val="21"/>
                      <w:highlight w:val="none"/>
                    </w:rPr>
                    <w:t>2</w:t>
                  </w:r>
                </w:p>
              </w:tc>
              <w:tc>
                <w:tcPr>
                  <w:tcW w:w="355" w:type="pct"/>
                  <w:noWrap w:val="0"/>
                  <w:vAlign w:val="center"/>
                </w:tcPr>
                <w:p w14:paraId="4949272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w:t>
                  </w:r>
                  <w:r>
                    <w:rPr>
                      <w:rFonts w:ascii="Times New Roman" w:hAnsi="Times New Roman" w:eastAsia="宋体"/>
                      <w:color w:val="auto"/>
                      <w:spacing w:val="-10"/>
                      <w:kern w:val="0"/>
                      <w:sz w:val="21"/>
                      <w:szCs w:val="21"/>
                      <w:highlight w:val="none"/>
                    </w:rPr>
                    <w:t>5</w:t>
                  </w:r>
                </w:p>
              </w:tc>
              <w:tc>
                <w:tcPr>
                  <w:tcW w:w="709" w:type="pct"/>
                  <w:noWrap w:val="0"/>
                  <w:vAlign w:val="center"/>
                </w:tcPr>
                <w:p w14:paraId="73F982B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163CE02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户，约7</w:t>
                  </w:r>
                  <w:r>
                    <w:rPr>
                      <w:rFonts w:ascii="Times New Roman" w:hAnsi="Times New Roman" w:eastAsia="宋体"/>
                      <w:color w:val="auto"/>
                      <w:kern w:val="0"/>
                      <w:sz w:val="21"/>
                      <w:szCs w:val="21"/>
                      <w:highlight w:val="none"/>
                    </w:rPr>
                    <w:t>5</w:t>
                  </w:r>
                  <w:r>
                    <w:rPr>
                      <w:rFonts w:hint="eastAsia" w:ascii="Times New Roman" w:hAnsi="Times New Roman" w:eastAsia="宋体"/>
                      <w:color w:val="auto"/>
                      <w:kern w:val="0"/>
                      <w:sz w:val="21"/>
                      <w:szCs w:val="21"/>
                      <w:highlight w:val="none"/>
                    </w:rPr>
                    <w:t>人</w:t>
                  </w:r>
                </w:p>
              </w:tc>
              <w:tc>
                <w:tcPr>
                  <w:tcW w:w="442" w:type="pct"/>
                  <w:vMerge w:val="restart"/>
                  <w:noWrap w:val="0"/>
                  <w:vAlign w:val="center"/>
                </w:tcPr>
                <w:p w14:paraId="7EF8AA9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双龙寨村</w:t>
                  </w:r>
                </w:p>
              </w:tc>
              <w:tc>
                <w:tcPr>
                  <w:tcW w:w="442" w:type="pct"/>
                  <w:noWrap w:val="0"/>
                  <w:vAlign w:val="center"/>
                </w:tcPr>
                <w:p w14:paraId="128647B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S</w:t>
                  </w:r>
                  <w:r>
                    <w:rPr>
                      <w:rFonts w:hint="eastAsia" w:ascii="Times New Roman" w:hAnsi="Times New Roman" w:eastAsia="宋体"/>
                      <w:color w:val="auto"/>
                      <w:kern w:val="0"/>
                      <w:sz w:val="21"/>
                      <w:szCs w:val="21"/>
                      <w:highlight w:val="none"/>
                    </w:rPr>
                    <w:t>E</w:t>
                  </w:r>
                </w:p>
              </w:tc>
              <w:tc>
                <w:tcPr>
                  <w:tcW w:w="738" w:type="pct"/>
                  <w:noWrap w:val="0"/>
                  <w:vAlign w:val="center"/>
                </w:tcPr>
                <w:p w14:paraId="7B6993C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35~423</w:t>
                  </w:r>
                </w:p>
              </w:tc>
            </w:tr>
            <w:tr w14:paraId="1840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675B3BB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1BE0A0F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范家院子</w:t>
                  </w:r>
                </w:p>
              </w:tc>
              <w:tc>
                <w:tcPr>
                  <w:tcW w:w="445" w:type="pct"/>
                  <w:noWrap w:val="0"/>
                  <w:vAlign w:val="center"/>
                </w:tcPr>
                <w:p w14:paraId="53145AB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2</w:t>
                  </w:r>
                  <w:r>
                    <w:rPr>
                      <w:rFonts w:ascii="Times New Roman" w:hAnsi="Times New Roman" w:eastAsia="宋体"/>
                      <w:color w:val="auto"/>
                      <w:spacing w:val="-10"/>
                      <w:kern w:val="0"/>
                      <w:sz w:val="21"/>
                      <w:szCs w:val="21"/>
                      <w:highlight w:val="none"/>
                    </w:rPr>
                    <w:t>57</w:t>
                  </w:r>
                </w:p>
              </w:tc>
              <w:tc>
                <w:tcPr>
                  <w:tcW w:w="355" w:type="pct"/>
                  <w:noWrap w:val="0"/>
                  <w:vAlign w:val="center"/>
                </w:tcPr>
                <w:p w14:paraId="28D59CF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0</w:t>
                  </w:r>
                </w:p>
              </w:tc>
              <w:tc>
                <w:tcPr>
                  <w:tcW w:w="709" w:type="pct"/>
                  <w:noWrap w:val="0"/>
                  <w:vAlign w:val="center"/>
                </w:tcPr>
                <w:p w14:paraId="773DD94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58EDEB0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7户，约2</w:t>
                  </w:r>
                  <w:r>
                    <w:rPr>
                      <w:rFonts w:ascii="Times New Roman" w:hAnsi="Times New Roman" w:eastAsia="宋体"/>
                      <w:color w:val="auto"/>
                      <w:kern w:val="0"/>
                      <w:sz w:val="21"/>
                      <w:szCs w:val="21"/>
                      <w:highlight w:val="none"/>
                    </w:rPr>
                    <w:t>5</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632A41D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03CF762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E</w:t>
                  </w:r>
                </w:p>
              </w:tc>
              <w:tc>
                <w:tcPr>
                  <w:tcW w:w="738" w:type="pct"/>
                  <w:noWrap w:val="0"/>
                  <w:vAlign w:val="center"/>
                </w:tcPr>
                <w:p w14:paraId="64CE3C6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w:t>
                  </w:r>
                  <w:r>
                    <w:rPr>
                      <w:rFonts w:ascii="Times New Roman" w:hAnsi="Times New Roman" w:eastAsia="宋体"/>
                      <w:color w:val="auto"/>
                      <w:kern w:val="0"/>
                      <w:sz w:val="21"/>
                      <w:szCs w:val="21"/>
                      <w:highlight w:val="none"/>
                    </w:rPr>
                    <w:t>12~500</w:t>
                  </w:r>
                </w:p>
              </w:tc>
            </w:tr>
            <w:tr w14:paraId="0032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50B2AFD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63FB8A1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磨河滩</w:t>
                  </w:r>
                </w:p>
              </w:tc>
              <w:tc>
                <w:tcPr>
                  <w:tcW w:w="445" w:type="pct"/>
                  <w:noWrap w:val="0"/>
                  <w:vAlign w:val="center"/>
                </w:tcPr>
                <w:p w14:paraId="6CEFE6C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w:t>
                  </w:r>
                  <w:r>
                    <w:rPr>
                      <w:rFonts w:ascii="Times New Roman" w:hAnsi="Times New Roman" w:eastAsia="宋体"/>
                      <w:color w:val="auto"/>
                      <w:spacing w:val="-10"/>
                      <w:kern w:val="0"/>
                      <w:sz w:val="21"/>
                      <w:szCs w:val="21"/>
                      <w:highlight w:val="none"/>
                    </w:rPr>
                    <w:t>65</w:t>
                  </w:r>
                </w:p>
              </w:tc>
              <w:tc>
                <w:tcPr>
                  <w:tcW w:w="355" w:type="pct"/>
                  <w:noWrap w:val="0"/>
                  <w:vAlign w:val="center"/>
                </w:tcPr>
                <w:p w14:paraId="0A1E783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w:t>
                  </w:r>
                  <w:r>
                    <w:rPr>
                      <w:rFonts w:ascii="Times New Roman" w:hAnsi="Times New Roman" w:eastAsia="宋体"/>
                      <w:color w:val="auto"/>
                      <w:spacing w:val="-10"/>
                      <w:kern w:val="0"/>
                      <w:sz w:val="21"/>
                      <w:szCs w:val="21"/>
                      <w:highlight w:val="none"/>
                    </w:rPr>
                    <w:t>102</w:t>
                  </w:r>
                </w:p>
              </w:tc>
              <w:tc>
                <w:tcPr>
                  <w:tcW w:w="709" w:type="pct"/>
                  <w:noWrap w:val="0"/>
                  <w:vAlign w:val="center"/>
                </w:tcPr>
                <w:p w14:paraId="24CF8CA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3CD9B19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1</w:t>
                  </w:r>
                  <w:r>
                    <w:rPr>
                      <w:rFonts w:hint="eastAsia" w:ascii="Times New Roman" w:hAnsi="Times New Roman" w:eastAsia="宋体"/>
                      <w:color w:val="auto"/>
                      <w:kern w:val="0"/>
                      <w:sz w:val="21"/>
                      <w:szCs w:val="21"/>
                      <w:highlight w:val="none"/>
                    </w:rPr>
                    <w:t>户，约</w:t>
                  </w:r>
                  <w:r>
                    <w:rPr>
                      <w:rFonts w:ascii="Times New Roman" w:hAnsi="Times New Roman" w:eastAsia="宋体"/>
                      <w:color w:val="auto"/>
                      <w:kern w:val="0"/>
                      <w:sz w:val="21"/>
                      <w:szCs w:val="21"/>
                      <w:highlight w:val="none"/>
                    </w:rPr>
                    <w:t>3</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7D4E3FF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419D81F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S</w:t>
                  </w:r>
                  <w:r>
                    <w:rPr>
                      <w:rFonts w:ascii="Times New Roman" w:hAnsi="Times New Roman" w:eastAsia="宋体"/>
                      <w:color w:val="auto"/>
                      <w:kern w:val="0"/>
                      <w:sz w:val="21"/>
                      <w:szCs w:val="21"/>
                      <w:highlight w:val="none"/>
                    </w:rPr>
                    <w:t>W</w:t>
                  </w:r>
                </w:p>
              </w:tc>
              <w:tc>
                <w:tcPr>
                  <w:tcW w:w="738" w:type="pct"/>
                  <w:noWrap w:val="0"/>
                  <w:vAlign w:val="center"/>
                </w:tcPr>
                <w:p w14:paraId="2034069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32</w:t>
                  </w:r>
                </w:p>
              </w:tc>
            </w:tr>
            <w:tr w14:paraId="1C68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5416EC2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7F54BA5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后坝</w:t>
                  </w:r>
                </w:p>
              </w:tc>
              <w:tc>
                <w:tcPr>
                  <w:tcW w:w="445" w:type="pct"/>
                  <w:noWrap w:val="0"/>
                  <w:vAlign w:val="center"/>
                </w:tcPr>
                <w:p w14:paraId="437D358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w:t>
                  </w:r>
                  <w:r>
                    <w:rPr>
                      <w:rFonts w:ascii="Times New Roman" w:hAnsi="Times New Roman" w:eastAsia="宋体"/>
                      <w:color w:val="auto"/>
                      <w:spacing w:val="-10"/>
                      <w:kern w:val="0"/>
                      <w:sz w:val="21"/>
                      <w:szCs w:val="21"/>
                      <w:highlight w:val="none"/>
                    </w:rPr>
                    <w:t>239</w:t>
                  </w:r>
                </w:p>
              </w:tc>
              <w:tc>
                <w:tcPr>
                  <w:tcW w:w="355" w:type="pct"/>
                  <w:noWrap w:val="0"/>
                  <w:vAlign w:val="center"/>
                </w:tcPr>
                <w:p w14:paraId="2C8C90A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w:t>
                  </w:r>
                  <w:r>
                    <w:rPr>
                      <w:rFonts w:ascii="Times New Roman" w:hAnsi="Times New Roman" w:eastAsia="宋体"/>
                      <w:color w:val="auto"/>
                      <w:spacing w:val="-10"/>
                      <w:kern w:val="0"/>
                      <w:sz w:val="21"/>
                      <w:szCs w:val="21"/>
                      <w:highlight w:val="none"/>
                    </w:rPr>
                    <w:t>197</w:t>
                  </w:r>
                </w:p>
              </w:tc>
              <w:tc>
                <w:tcPr>
                  <w:tcW w:w="709" w:type="pct"/>
                  <w:noWrap w:val="0"/>
                  <w:vAlign w:val="center"/>
                </w:tcPr>
                <w:p w14:paraId="75EA5D1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4E0F05E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2</w:t>
                  </w:r>
                  <w:r>
                    <w:rPr>
                      <w:rFonts w:hint="eastAsia" w:ascii="Times New Roman" w:hAnsi="Times New Roman" w:eastAsia="宋体"/>
                      <w:color w:val="auto"/>
                      <w:kern w:val="0"/>
                      <w:sz w:val="21"/>
                      <w:szCs w:val="21"/>
                      <w:highlight w:val="none"/>
                    </w:rPr>
                    <w:t>户，约</w:t>
                  </w:r>
                  <w:r>
                    <w:rPr>
                      <w:rFonts w:ascii="Times New Roman" w:hAnsi="Times New Roman" w:eastAsia="宋体"/>
                      <w:color w:val="auto"/>
                      <w:kern w:val="0"/>
                      <w:sz w:val="21"/>
                      <w:szCs w:val="21"/>
                      <w:highlight w:val="none"/>
                    </w:rPr>
                    <w:t>7</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3B30801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434EBB7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S</w:t>
                  </w:r>
                  <w:r>
                    <w:rPr>
                      <w:rFonts w:ascii="Times New Roman" w:hAnsi="Times New Roman" w:eastAsia="宋体"/>
                      <w:color w:val="auto"/>
                      <w:kern w:val="0"/>
                      <w:sz w:val="21"/>
                      <w:szCs w:val="21"/>
                      <w:highlight w:val="none"/>
                    </w:rPr>
                    <w:t>W</w:t>
                  </w:r>
                </w:p>
              </w:tc>
              <w:tc>
                <w:tcPr>
                  <w:tcW w:w="738" w:type="pct"/>
                  <w:noWrap w:val="0"/>
                  <w:vAlign w:val="center"/>
                </w:tcPr>
                <w:p w14:paraId="243E575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w:t>
                  </w:r>
                  <w:r>
                    <w:rPr>
                      <w:rFonts w:ascii="Times New Roman" w:hAnsi="Times New Roman" w:eastAsia="宋体"/>
                      <w:color w:val="auto"/>
                      <w:kern w:val="0"/>
                      <w:sz w:val="21"/>
                      <w:szCs w:val="21"/>
                      <w:highlight w:val="none"/>
                    </w:rPr>
                    <w:t>97~341</w:t>
                  </w:r>
                </w:p>
              </w:tc>
            </w:tr>
            <w:tr w14:paraId="69E5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5C50151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7FA4691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廖家河边</w:t>
                  </w:r>
                </w:p>
              </w:tc>
              <w:tc>
                <w:tcPr>
                  <w:tcW w:w="445" w:type="pct"/>
                  <w:noWrap w:val="0"/>
                  <w:vAlign w:val="center"/>
                </w:tcPr>
                <w:p w14:paraId="56813F9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33</w:t>
                  </w:r>
                </w:p>
              </w:tc>
              <w:tc>
                <w:tcPr>
                  <w:tcW w:w="355" w:type="pct"/>
                  <w:noWrap w:val="0"/>
                  <w:vAlign w:val="center"/>
                </w:tcPr>
                <w:p w14:paraId="091A832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75</w:t>
                  </w:r>
                </w:p>
              </w:tc>
              <w:tc>
                <w:tcPr>
                  <w:tcW w:w="709" w:type="pct"/>
                  <w:noWrap w:val="0"/>
                  <w:vAlign w:val="center"/>
                </w:tcPr>
                <w:p w14:paraId="0420506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5DE5FD1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3户，约1</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09DC559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1A2858B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N</w:t>
                  </w:r>
                  <w:r>
                    <w:rPr>
                      <w:rFonts w:hint="eastAsia" w:ascii="Times New Roman" w:hAnsi="Times New Roman" w:eastAsia="宋体"/>
                      <w:color w:val="auto"/>
                      <w:kern w:val="0"/>
                      <w:sz w:val="21"/>
                      <w:szCs w:val="21"/>
                      <w:highlight w:val="none"/>
                    </w:rPr>
                    <w:t>E</w:t>
                  </w:r>
                </w:p>
              </w:tc>
              <w:tc>
                <w:tcPr>
                  <w:tcW w:w="738" w:type="pct"/>
                  <w:noWrap w:val="0"/>
                  <w:vAlign w:val="center"/>
                </w:tcPr>
                <w:p w14:paraId="74A7C1F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9</w:t>
                  </w:r>
                  <w:r>
                    <w:rPr>
                      <w:rFonts w:ascii="Times New Roman" w:hAnsi="Times New Roman" w:eastAsia="宋体"/>
                      <w:color w:val="auto"/>
                      <w:kern w:val="0"/>
                      <w:sz w:val="21"/>
                      <w:szCs w:val="21"/>
                      <w:highlight w:val="none"/>
                    </w:rPr>
                    <w:t>7~170</w:t>
                  </w:r>
                </w:p>
              </w:tc>
            </w:tr>
            <w:tr w14:paraId="4DFB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352F03E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02D4613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骑龙穴</w:t>
                  </w:r>
                </w:p>
              </w:tc>
              <w:tc>
                <w:tcPr>
                  <w:tcW w:w="445" w:type="pct"/>
                  <w:noWrap w:val="0"/>
                  <w:vAlign w:val="center"/>
                </w:tcPr>
                <w:p w14:paraId="7E566C5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w:t>
                  </w:r>
                  <w:r>
                    <w:rPr>
                      <w:rFonts w:ascii="Times New Roman" w:hAnsi="Times New Roman" w:eastAsia="宋体"/>
                      <w:color w:val="auto"/>
                      <w:spacing w:val="-10"/>
                      <w:kern w:val="0"/>
                      <w:sz w:val="21"/>
                      <w:szCs w:val="21"/>
                      <w:highlight w:val="none"/>
                    </w:rPr>
                    <w:t>158</w:t>
                  </w:r>
                </w:p>
              </w:tc>
              <w:tc>
                <w:tcPr>
                  <w:tcW w:w="355" w:type="pct"/>
                  <w:noWrap w:val="0"/>
                  <w:vAlign w:val="center"/>
                </w:tcPr>
                <w:p w14:paraId="1AB68D7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2</w:t>
                  </w:r>
                  <w:r>
                    <w:rPr>
                      <w:rFonts w:ascii="Times New Roman" w:hAnsi="Times New Roman" w:eastAsia="宋体"/>
                      <w:color w:val="auto"/>
                      <w:spacing w:val="-10"/>
                      <w:kern w:val="0"/>
                      <w:sz w:val="21"/>
                      <w:szCs w:val="21"/>
                      <w:highlight w:val="none"/>
                    </w:rPr>
                    <w:t>53</w:t>
                  </w:r>
                </w:p>
              </w:tc>
              <w:tc>
                <w:tcPr>
                  <w:tcW w:w="709" w:type="pct"/>
                  <w:noWrap w:val="0"/>
                  <w:vAlign w:val="center"/>
                </w:tcPr>
                <w:p w14:paraId="5866813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0514452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6户，约2</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406C30D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54D939C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W</w:t>
                  </w:r>
                </w:p>
              </w:tc>
              <w:tc>
                <w:tcPr>
                  <w:tcW w:w="738" w:type="pct"/>
                  <w:noWrap w:val="0"/>
                  <w:vAlign w:val="center"/>
                </w:tcPr>
                <w:p w14:paraId="01117B4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55~286</w:t>
                  </w:r>
                </w:p>
              </w:tc>
            </w:tr>
            <w:tr w14:paraId="48AB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0FDDE4B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5984B9D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杜家坝</w:t>
                  </w:r>
                </w:p>
              </w:tc>
              <w:tc>
                <w:tcPr>
                  <w:tcW w:w="445" w:type="pct"/>
                  <w:noWrap w:val="0"/>
                  <w:vAlign w:val="center"/>
                </w:tcPr>
                <w:p w14:paraId="2394DC8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0</w:t>
                  </w:r>
                </w:p>
              </w:tc>
              <w:tc>
                <w:tcPr>
                  <w:tcW w:w="355" w:type="pct"/>
                  <w:noWrap w:val="0"/>
                  <w:vAlign w:val="center"/>
                </w:tcPr>
                <w:p w14:paraId="417B4FE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6</w:t>
                  </w:r>
                  <w:r>
                    <w:rPr>
                      <w:rFonts w:ascii="Times New Roman" w:hAnsi="Times New Roman" w:eastAsia="宋体"/>
                      <w:color w:val="auto"/>
                      <w:spacing w:val="-10"/>
                      <w:kern w:val="0"/>
                      <w:sz w:val="21"/>
                      <w:szCs w:val="21"/>
                      <w:highlight w:val="none"/>
                    </w:rPr>
                    <w:t>09</w:t>
                  </w:r>
                </w:p>
              </w:tc>
              <w:tc>
                <w:tcPr>
                  <w:tcW w:w="709" w:type="pct"/>
                  <w:noWrap w:val="0"/>
                  <w:vAlign w:val="center"/>
                </w:tcPr>
                <w:p w14:paraId="139033E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6E3E8B1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户，约1</w:t>
                  </w:r>
                  <w:r>
                    <w:rPr>
                      <w:rFonts w:ascii="Times New Roman" w:hAnsi="Times New Roman" w:eastAsia="宋体"/>
                      <w:color w:val="auto"/>
                      <w:kern w:val="0"/>
                      <w:sz w:val="21"/>
                      <w:szCs w:val="21"/>
                      <w:highlight w:val="none"/>
                    </w:rPr>
                    <w:t>00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6086CC2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169E8FB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W</w:t>
                  </w:r>
                </w:p>
              </w:tc>
              <w:tc>
                <w:tcPr>
                  <w:tcW w:w="738" w:type="pct"/>
                  <w:noWrap w:val="0"/>
                  <w:vAlign w:val="center"/>
                </w:tcPr>
                <w:p w14:paraId="42429DA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w:t>
                  </w:r>
                  <w:r>
                    <w:rPr>
                      <w:rFonts w:ascii="Times New Roman" w:hAnsi="Times New Roman" w:eastAsia="宋体"/>
                      <w:color w:val="auto"/>
                      <w:kern w:val="0"/>
                      <w:sz w:val="21"/>
                      <w:szCs w:val="21"/>
                      <w:highlight w:val="none"/>
                    </w:rPr>
                    <w:t>2~430</w:t>
                  </w:r>
                </w:p>
              </w:tc>
            </w:tr>
            <w:tr w14:paraId="7235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601D4A4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736C096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伍家大院子</w:t>
                  </w:r>
                </w:p>
              </w:tc>
              <w:tc>
                <w:tcPr>
                  <w:tcW w:w="445" w:type="pct"/>
                  <w:noWrap w:val="0"/>
                  <w:vAlign w:val="center"/>
                </w:tcPr>
                <w:p w14:paraId="0D03A4E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3</w:t>
                  </w:r>
                  <w:r>
                    <w:rPr>
                      <w:rFonts w:ascii="Times New Roman" w:hAnsi="Times New Roman" w:eastAsia="宋体"/>
                      <w:color w:val="auto"/>
                      <w:spacing w:val="-10"/>
                      <w:kern w:val="0"/>
                      <w:sz w:val="21"/>
                      <w:szCs w:val="21"/>
                      <w:highlight w:val="none"/>
                    </w:rPr>
                    <w:t>76</w:t>
                  </w:r>
                </w:p>
              </w:tc>
              <w:tc>
                <w:tcPr>
                  <w:tcW w:w="355" w:type="pct"/>
                  <w:noWrap w:val="0"/>
                  <w:vAlign w:val="center"/>
                </w:tcPr>
                <w:p w14:paraId="7765CAB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8</w:t>
                  </w:r>
                  <w:r>
                    <w:rPr>
                      <w:rFonts w:ascii="Times New Roman" w:hAnsi="Times New Roman" w:eastAsia="宋体"/>
                      <w:color w:val="auto"/>
                      <w:spacing w:val="-10"/>
                      <w:kern w:val="0"/>
                      <w:sz w:val="21"/>
                      <w:szCs w:val="21"/>
                      <w:highlight w:val="none"/>
                    </w:rPr>
                    <w:t>19</w:t>
                  </w:r>
                </w:p>
              </w:tc>
              <w:tc>
                <w:tcPr>
                  <w:tcW w:w="709" w:type="pct"/>
                  <w:noWrap w:val="0"/>
                  <w:vAlign w:val="center"/>
                </w:tcPr>
                <w:p w14:paraId="376D6FE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1F88180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3</w:t>
                  </w:r>
                  <w:r>
                    <w:rPr>
                      <w:rFonts w:hint="eastAsia" w:ascii="Times New Roman" w:hAnsi="Times New Roman" w:eastAsia="宋体"/>
                      <w:color w:val="auto"/>
                      <w:kern w:val="0"/>
                      <w:sz w:val="21"/>
                      <w:szCs w:val="21"/>
                      <w:highlight w:val="none"/>
                    </w:rPr>
                    <w:t>户，约4</w:t>
                  </w:r>
                  <w:r>
                    <w:rPr>
                      <w:rFonts w:ascii="Times New Roman" w:hAnsi="Times New Roman" w:eastAsia="宋体"/>
                      <w:color w:val="auto"/>
                      <w:kern w:val="0"/>
                      <w:sz w:val="21"/>
                      <w:szCs w:val="21"/>
                      <w:highlight w:val="none"/>
                    </w:rPr>
                    <w:t>5</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4447DB8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084D65B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N</w:t>
                  </w:r>
                  <w:r>
                    <w:rPr>
                      <w:rFonts w:hint="eastAsia" w:ascii="Times New Roman" w:hAnsi="Times New Roman" w:eastAsia="宋体"/>
                      <w:color w:val="auto"/>
                      <w:kern w:val="0"/>
                      <w:sz w:val="21"/>
                      <w:szCs w:val="21"/>
                      <w:highlight w:val="none"/>
                    </w:rPr>
                    <w:t>W</w:t>
                  </w:r>
                </w:p>
              </w:tc>
              <w:tc>
                <w:tcPr>
                  <w:tcW w:w="738" w:type="pct"/>
                  <w:noWrap w:val="0"/>
                  <w:vAlign w:val="center"/>
                </w:tcPr>
                <w:p w14:paraId="2806E56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47~430</w:t>
                  </w:r>
                </w:p>
              </w:tc>
            </w:tr>
            <w:tr w14:paraId="3F49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418D6BC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3FF1F6D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bookmarkStart w:id="3" w:name="OLE_LINK1"/>
                  <w:r>
                    <w:rPr>
                      <w:rFonts w:hint="eastAsia" w:ascii="Times New Roman" w:hAnsi="Times New Roman" w:eastAsia="宋体"/>
                      <w:color w:val="auto"/>
                      <w:kern w:val="0"/>
                      <w:sz w:val="21"/>
                      <w:szCs w:val="21"/>
                      <w:highlight w:val="none"/>
                    </w:rPr>
                    <w:t>大竹县中峰中学</w:t>
                  </w:r>
                  <w:bookmarkEnd w:id="3"/>
                </w:p>
              </w:tc>
              <w:tc>
                <w:tcPr>
                  <w:tcW w:w="445" w:type="pct"/>
                  <w:noWrap w:val="0"/>
                  <w:vAlign w:val="center"/>
                </w:tcPr>
                <w:p w14:paraId="52EB3F5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w:t>
                  </w:r>
                  <w:r>
                    <w:rPr>
                      <w:rFonts w:ascii="Times New Roman" w:hAnsi="Times New Roman" w:eastAsia="宋体"/>
                      <w:color w:val="auto"/>
                      <w:spacing w:val="-10"/>
                      <w:kern w:val="0"/>
                      <w:sz w:val="21"/>
                      <w:szCs w:val="21"/>
                      <w:highlight w:val="none"/>
                    </w:rPr>
                    <w:t>716</w:t>
                  </w:r>
                </w:p>
              </w:tc>
              <w:tc>
                <w:tcPr>
                  <w:tcW w:w="355" w:type="pct"/>
                  <w:noWrap w:val="0"/>
                  <w:vAlign w:val="center"/>
                </w:tcPr>
                <w:p w14:paraId="4AA251D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7</w:t>
                  </w:r>
                  <w:r>
                    <w:rPr>
                      <w:rFonts w:ascii="Times New Roman" w:hAnsi="Times New Roman" w:eastAsia="宋体"/>
                      <w:color w:val="auto"/>
                      <w:spacing w:val="-10"/>
                      <w:kern w:val="0"/>
                      <w:sz w:val="21"/>
                      <w:szCs w:val="21"/>
                      <w:highlight w:val="none"/>
                    </w:rPr>
                    <w:t>63</w:t>
                  </w:r>
                </w:p>
              </w:tc>
              <w:tc>
                <w:tcPr>
                  <w:tcW w:w="709" w:type="pct"/>
                  <w:noWrap w:val="0"/>
                  <w:vAlign w:val="center"/>
                </w:tcPr>
                <w:p w14:paraId="65A6B08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学校</w:t>
                  </w:r>
                </w:p>
              </w:tc>
              <w:tc>
                <w:tcPr>
                  <w:tcW w:w="709" w:type="pct"/>
                  <w:noWrap w:val="0"/>
                  <w:vAlign w:val="center"/>
                </w:tcPr>
                <w:p w14:paraId="4934BA1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师生约5</w:t>
                  </w:r>
                  <w:r>
                    <w:rPr>
                      <w:rFonts w:ascii="Times New Roman" w:hAnsi="Times New Roman" w:eastAsia="宋体"/>
                      <w:color w:val="auto"/>
                      <w:kern w:val="0"/>
                      <w:sz w:val="21"/>
                      <w:szCs w:val="21"/>
                      <w:highlight w:val="none"/>
                    </w:rPr>
                    <w:t>60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0ADEDD4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362627C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W</w:t>
                  </w:r>
                </w:p>
              </w:tc>
              <w:tc>
                <w:tcPr>
                  <w:tcW w:w="738" w:type="pct"/>
                  <w:noWrap w:val="0"/>
                  <w:vAlign w:val="center"/>
                </w:tcPr>
                <w:p w14:paraId="53DE83E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w:t>
                  </w:r>
                  <w:r>
                    <w:rPr>
                      <w:rFonts w:ascii="Times New Roman" w:hAnsi="Times New Roman" w:eastAsia="宋体"/>
                      <w:color w:val="auto"/>
                      <w:kern w:val="0"/>
                      <w:sz w:val="21"/>
                      <w:szCs w:val="21"/>
                      <w:highlight w:val="none"/>
                    </w:rPr>
                    <w:t>30~500</w:t>
                  </w:r>
                </w:p>
              </w:tc>
            </w:tr>
            <w:tr w14:paraId="5AB7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51" w:type="pct"/>
                  <w:vMerge w:val="continue"/>
                  <w:noWrap w:val="0"/>
                  <w:vAlign w:val="center"/>
                </w:tcPr>
                <w:p w14:paraId="4935AA7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650D12F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清河场镇</w:t>
                  </w:r>
                </w:p>
              </w:tc>
              <w:tc>
                <w:tcPr>
                  <w:tcW w:w="445" w:type="pct"/>
                  <w:noWrap w:val="0"/>
                  <w:vAlign w:val="center"/>
                </w:tcPr>
                <w:p w14:paraId="663023D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0</w:t>
                  </w:r>
                </w:p>
              </w:tc>
              <w:tc>
                <w:tcPr>
                  <w:tcW w:w="355" w:type="pct"/>
                  <w:noWrap w:val="0"/>
                  <w:vAlign w:val="center"/>
                </w:tcPr>
                <w:p w14:paraId="1339DD2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429</w:t>
                  </w:r>
                </w:p>
              </w:tc>
              <w:tc>
                <w:tcPr>
                  <w:tcW w:w="709" w:type="pct"/>
                  <w:noWrap w:val="0"/>
                  <w:vAlign w:val="center"/>
                </w:tcPr>
                <w:p w14:paraId="44584D0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居民区</w:t>
                  </w:r>
                </w:p>
              </w:tc>
              <w:tc>
                <w:tcPr>
                  <w:tcW w:w="709" w:type="pct"/>
                  <w:noWrap w:val="0"/>
                  <w:vAlign w:val="center"/>
                </w:tcPr>
                <w:p w14:paraId="1E3A461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约5</w:t>
                  </w:r>
                  <w:r>
                    <w:rPr>
                      <w:rFonts w:ascii="Times New Roman" w:hAnsi="Times New Roman" w:eastAsia="宋体"/>
                      <w:color w:val="auto"/>
                      <w:kern w:val="0"/>
                      <w:sz w:val="21"/>
                      <w:szCs w:val="21"/>
                      <w:highlight w:val="none"/>
                    </w:rPr>
                    <w:t>000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685290E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7A86CD8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p>
              </w:tc>
              <w:tc>
                <w:tcPr>
                  <w:tcW w:w="738" w:type="pct"/>
                  <w:noWrap w:val="0"/>
                  <w:vAlign w:val="center"/>
                </w:tcPr>
                <w:p w14:paraId="1F6BF49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w:t>
                  </w:r>
                  <w:r>
                    <w:rPr>
                      <w:rFonts w:ascii="Times New Roman" w:hAnsi="Times New Roman" w:eastAsia="宋体"/>
                      <w:color w:val="auto"/>
                      <w:kern w:val="0"/>
                      <w:sz w:val="21"/>
                      <w:szCs w:val="21"/>
                      <w:highlight w:val="none"/>
                    </w:rPr>
                    <w:t>0~340</w:t>
                  </w:r>
                </w:p>
              </w:tc>
            </w:tr>
            <w:tr w14:paraId="769C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20633A5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1156D32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杨家河边</w:t>
                  </w:r>
                </w:p>
              </w:tc>
              <w:tc>
                <w:tcPr>
                  <w:tcW w:w="445" w:type="pct"/>
                  <w:noWrap w:val="0"/>
                  <w:vAlign w:val="center"/>
                </w:tcPr>
                <w:p w14:paraId="3E5F3B8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w:t>
                  </w:r>
                  <w:r>
                    <w:rPr>
                      <w:rFonts w:ascii="Times New Roman" w:hAnsi="Times New Roman" w:eastAsia="宋体"/>
                      <w:color w:val="auto"/>
                      <w:spacing w:val="-10"/>
                      <w:kern w:val="0"/>
                      <w:sz w:val="21"/>
                      <w:szCs w:val="21"/>
                      <w:highlight w:val="none"/>
                    </w:rPr>
                    <w:t>70</w:t>
                  </w:r>
                </w:p>
              </w:tc>
              <w:tc>
                <w:tcPr>
                  <w:tcW w:w="355" w:type="pct"/>
                  <w:noWrap w:val="0"/>
                  <w:vAlign w:val="center"/>
                </w:tcPr>
                <w:p w14:paraId="00109A9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057</w:t>
                  </w:r>
                </w:p>
              </w:tc>
              <w:tc>
                <w:tcPr>
                  <w:tcW w:w="709" w:type="pct"/>
                  <w:noWrap w:val="0"/>
                  <w:vAlign w:val="center"/>
                </w:tcPr>
                <w:p w14:paraId="2B4B5A2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64B49D1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5</w:t>
                  </w:r>
                  <w:r>
                    <w:rPr>
                      <w:rFonts w:hint="eastAsia" w:ascii="Times New Roman" w:hAnsi="Times New Roman" w:eastAsia="宋体"/>
                      <w:color w:val="auto"/>
                      <w:kern w:val="0"/>
                      <w:sz w:val="21"/>
                      <w:szCs w:val="21"/>
                      <w:highlight w:val="none"/>
                    </w:rPr>
                    <w:t>户，约5</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6481A79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0EB8341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W</w:t>
                  </w:r>
                </w:p>
              </w:tc>
              <w:tc>
                <w:tcPr>
                  <w:tcW w:w="738" w:type="pct"/>
                  <w:noWrap w:val="0"/>
                  <w:vAlign w:val="center"/>
                </w:tcPr>
                <w:p w14:paraId="044451B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7</w:t>
                  </w:r>
                  <w:r>
                    <w:rPr>
                      <w:rFonts w:ascii="Times New Roman" w:hAnsi="Times New Roman" w:eastAsia="宋体"/>
                      <w:color w:val="auto"/>
                      <w:kern w:val="0"/>
                      <w:sz w:val="21"/>
                      <w:szCs w:val="21"/>
                      <w:highlight w:val="none"/>
                    </w:rPr>
                    <w:t>9~210</w:t>
                  </w:r>
                </w:p>
              </w:tc>
            </w:tr>
            <w:tr w14:paraId="4800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7C238CF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281595B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甘家湾</w:t>
                  </w:r>
                </w:p>
              </w:tc>
              <w:tc>
                <w:tcPr>
                  <w:tcW w:w="445" w:type="pct"/>
                  <w:noWrap w:val="0"/>
                  <w:vAlign w:val="center"/>
                </w:tcPr>
                <w:p w14:paraId="3ADAE37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2</w:t>
                  </w:r>
                  <w:r>
                    <w:rPr>
                      <w:rFonts w:ascii="Times New Roman" w:hAnsi="Times New Roman" w:eastAsia="宋体"/>
                      <w:color w:val="auto"/>
                      <w:spacing w:val="-10"/>
                      <w:kern w:val="0"/>
                      <w:sz w:val="21"/>
                      <w:szCs w:val="21"/>
                      <w:highlight w:val="none"/>
                    </w:rPr>
                    <w:t>13</w:t>
                  </w:r>
                </w:p>
              </w:tc>
              <w:tc>
                <w:tcPr>
                  <w:tcW w:w="355" w:type="pct"/>
                  <w:noWrap w:val="0"/>
                  <w:vAlign w:val="center"/>
                </w:tcPr>
                <w:p w14:paraId="66B0C9A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335</w:t>
                  </w:r>
                </w:p>
              </w:tc>
              <w:tc>
                <w:tcPr>
                  <w:tcW w:w="709" w:type="pct"/>
                  <w:noWrap w:val="0"/>
                  <w:vAlign w:val="center"/>
                </w:tcPr>
                <w:p w14:paraId="4C19453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1D0C1ED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4户，约1</w:t>
                  </w:r>
                  <w:r>
                    <w:rPr>
                      <w:rFonts w:ascii="Times New Roman" w:hAnsi="Times New Roman" w:eastAsia="宋体"/>
                      <w:color w:val="auto"/>
                      <w:kern w:val="0"/>
                      <w:sz w:val="21"/>
                      <w:szCs w:val="21"/>
                      <w:highlight w:val="none"/>
                    </w:rPr>
                    <w:t>5</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4DD42B7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20ECBD3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E</w:t>
                  </w:r>
                </w:p>
              </w:tc>
              <w:tc>
                <w:tcPr>
                  <w:tcW w:w="738" w:type="pct"/>
                  <w:noWrap w:val="0"/>
                  <w:vAlign w:val="center"/>
                </w:tcPr>
                <w:p w14:paraId="718B235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23~203</w:t>
                  </w:r>
                </w:p>
              </w:tc>
            </w:tr>
            <w:tr w14:paraId="7D5A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0E1BA05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7F73704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付家院子</w:t>
                  </w:r>
                </w:p>
              </w:tc>
              <w:tc>
                <w:tcPr>
                  <w:tcW w:w="445" w:type="pct"/>
                  <w:noWrap w:val="0"/>
                  <w:vAlign w:val="center"/>
                </w:tcPr>
                <w:p w14:paraId="4542BA7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6</w:t>
                  </w:r>
                  <w:r>
                    <w:rPr>
                      <w:rFonts w:ascii="Times New Roman" w:hAnsi="Times New Roman" w:eastAsia="宋体"/>
                      <w:color w:val="auto"/>
                      <w:spacing w:val="-10"/>
                      <w:kern w:val="0"/>
                      <w:sz w:val="21"/>
                      <w:szCs w:val="21"/>
                      <w:highlight w:val="none"/>
                    </w:rPr>
                    <w:t>15</w:t>
                  </w:r>
                </w:p>
              </w:tc>
              <w:tc>
                <w:tcPr>
                  <w:tcW w:w="355" w:type="pct"/>
                  <w:noWrap w:val="0"/>
                  <w:vAlign w:val="center"/>
                </w:tcPr>
                <w:p w14:paraId="51FDB84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261</w:t>
                  </w:r>
                </w:p>
              </w:tc>
              <w:tc>
                <w:tcPr>
                  <w:tcW w:w="709" w:type="pct"/>
                  <w:noWrap w:val="0"/>
                  <w:vAlign w:val="center"/>
                </w:tcPr>
                <w:p w14:paraId="7898F2B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3019920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9</w:t>
                  </w:r>
                  <w:r>
                    <w:rPr>
                      <w:rFonts w:hint="eastAsia" w:ascii="Times New Roman" w:hAnsi="Times New Roman" w:eastAsia="宋体"/>
                      <w:color w:val="auto"/>
                      <w:kern w:val="0"/>
                      <w:sz w:val="21"/>
                      <w:szCs w:val="21"/>
                      <w:highlight w:val="none"/>
                    </w:rPr>
                    <w:t>户，约3</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3D7545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78CDFC2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E</w:t>
                  </w:r>
                </w:p>
              </w:tc>
              <w:tc>
                <w:tcPr>
                  <w:tcW w:w="738" w:type="pct"/>
                  <w:noWrap w:val="0"/>
                  <w:vAlign w:val="center"/>
                </w:tcPr>
                <w:p w14:paraId="6A411D4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w:t>
                  </w:r>
                  <w:r>
                    <w:rPr>
                      <w:rFonts w:ascii="Times New Roman" w:hAnsi="Times New Roman" w:eastAsia="宋体"/>
                      <w:color w:val="auto"/>
                      <w:kern w:val="0"/>
                      <w:sz w:val="21"/>
                      <w:szCs w:val="21"/>
                      <w:highlight w:val="none"/>
                    </w:rPr>
                    <w:t>86~500</w:t>
                  </w:r>
                </w:p>
              </w:tc>
            </w:tr>
            <w:tr w14:paraId="450CA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4FC9D9F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134CB1E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华家咀</w:t>
                  </w:r>
                </w:p>
              </w:tc>
              <w:tc>
                <w:tcPr>
                  <w:tcW w:w="445" w:type="pct"/>
                  <w:noWrap w:val="0"/>
                  <w:vAlign w:val="center"/>
                </w:tcPr>
                <w:p w14:paraId="23A76F2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6</w:t>
                  </w:r>
                  <w:r>
                    <w:rPr>
                      <w:rFonts w:ascii="Times New Roman" w:hAnsi="Times New Roman" w:eastAsia="宋体"/>
                      <w:color w:val="auto"/>
                      <w:spacing w:val="-10"/>
                      <w:kern w:val="0"/>
                      <w:sz w:val="21"/>
                      <w:szCs w:val="21"/>
                      <w:highlight w:val="none"/>
                    </w:rPr>
                    <w:t>15</w:t>
                  </w:r>
                </w:p>
              </w:tc>
              <w:tc>
                <w:tcPr>
                  <w:tcW w:w="355" w:type="pct"/>
                  <w:noWrap w:val="0"/>
                  <w:vAlign w:val="center"/>
                </w:tcPr>
                <w:p w14:paraId="5D07F79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755</w:t>
                  </w:r>
                </w:p>
              </w:tc>
              <w:tc>
                <w:tcPr>
                  <w:tcW w:w="709" w:type="pct"/>
                  <w:noWrap w:val="0"/>
                  <w:vAlign w:val="center"/>
                </w:tcPr>
                <w:p w14:paraId="39DAB42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28A876A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户，约6</w:t>
                  </w:r>
                  <w:r>
                    <w:rPr>
                      <w:rFonts w:ascii="Times New Roman" w:hAnsi="Times New Roman" w:eastAsia="宋体"/>
                      <w:color w:val="auto"/>
                      <w:kern w:val="0"/>
                      <w:sz w:val="21"/>
                      <w:szCs w:val="21"/>
                      <w:highlight w:val="none"/>
                    </w:rPr>
                    <w:t>5</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7052AA5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60BB981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E</w:t>
                  </w:r>
                </w:p>
              </w:tc>
              <w:tc>
                <w:tcPr>
                  <w:tcW w:w="738" w:type="pct"/>
                  <w:noWrap w:val="0"/>
                  <w:vAlign w:val="center"/>
                </w:tcPr>
                <w:p w14:paraId="287C57B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28~402</w:t>
                  </w:r>
                </w:p>
              </w:tc>
            </w:tr>
            <w:tr w14:paraId="4BA5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23A559D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152836F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陈家染房</w:t>
                  </w:r>
                </w:p>
              </w:tc>
              <w:tc>
                <w:tcPr>
                  <w:tcW w:w="445" w:type="pct"/>
                  <w:noWrap w:val="0"/>
                  <w:vAlign w:val="center"/>
                </w:tcPr>
                <w:p w14:paraId="368CA02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2</w:t>
                  </w:r>
                  <w:r>
                    <w:rPr>
                      <w:rFonts w:ascii="Times New Roman" w:hAnsi="Times New Roman" w:eastAsia="宋体"/>
                      <w:color w:val="auto"/>
                      <w:spacing w:val="-10"/>
                      <w:kern w:val="0"/>
                      <w:sz w:val="21"/>
                      <w:szCs w:val="21"/>
                      <w:highlight w:val="none"/>
                    </w:rPr>
                    <w:t>34</w:t>
                  </w:r>
                </w:p>
              </w:tc>
              <w:tc>
                <w:tcPr>
                  <w:tcW w:w="355" w:type="pct"/>
                  <w:noWrap w:val="0"/>
                  <w:vAlign w:val="center"/>
                </w:tcPr>
                <w:p w14:paraId="76023A1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2</w:t>
                  </w:r>
                  <w:r>
                    <w:rPr>
                      <w:rFonts w:ascii="Times New Roman" w:hAnsi="Times New Roman" w:eastAsia="宋体"/>
                      <w:color w:val="auto"/>
                      <w:spacing w:val="-10"/>
                      <w:kern w:val="0"/>
                      <w:sz w:val="21"/>
                      <w:szCs w:val="21"/>
                      <w:highlight w:val="none"/>
                    </w:rPr>
                    <w:t>388</w:t>
                  </w:r>
                </w:p>
              </w:tc>
              <w:tc>
                <w:tcPr>
                  <w:tcW w:w="709" w:type="pct"/>
                  <w:noWrap w:val="0"/>
                  <w:vAlign w:val="center"/>
                </w:tcPr>
                <w:p w14:paraId="6388A43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21738F0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5</w:t>
                  </w:r>
                  <w:r>
                    <w:rPr>
                      <w:rFonts w:hint="eastAsia" w:ascii="Times New Roman" w:hAnsi="Times New Roman" w:eastAsia="宋体"/>
                      <w:color w:val="auto"/>
                      <w:kern w:val="0"/>
                      <w:sz w:val="21"/>
                      <w:szCs w:val="21"/>
                      <w:highlight w:val="none"/>
                    </w:rPr>
                    <w:t>户，约</w:t>
                  </w:r>
                  <w:r>
                    <w:rPr>
                      <w:rFonts w:ascii="Times New Roman" w:hAnsi="Times New Roman" w:eastAsia="宋体"/>
                      <w:color w:val="auto"/>
                      <w:kern w:val="0"/>
                      <w:sz w:val="21"/>
                      <w:szCs w:val="21"/>
                      <w:highlight w:val="none"/>
                    </w:rPr>
                    <w:t>50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227B81F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5482B2F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E</w:t>
                  </w:r>
                </w:p>
              </w:tc>
              <w:tc>
                <w:tcPr>
                  <w:tcW w:w="738" w:type="pct"/>
                  <w:noWrap w:val="0"/>
                  <w:vAlign w:val="center"/>
                </w:tcPr>
                <w:p w14:paraId="5B943C7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9</w:t>
                  </w:r>
                  <w:r>
                    <w:rPr>
                      <w:rFonts w:ascii="Times New Roman" w:hAnsi="Times New Roman" w:eastAsia="宋体"/>
                      <w:color w:val="auto"/>
                      <w:kern w:val="0"/>
                      <w:sz w:val="21"/>
                      <w:szCs w:val="21"/>
                      <w:highlight w:val="none"/>
                    </w:rPr>
                    <w:t>3~500</w:t>
                  </w:r>
                </w:p>
              </w:tc>
            </w:tr>
            <w:tr w14:paraId="4437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526CE7B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6BE4158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双龙寨村</w:t>
                  </w:r>
                </w:p>
              </w:tc>
              <w:tc>
                <w:tcPr>
                  <w:tcW w:w="445" w:type="pct"/>
                  <w:noWrap w:val="0"/>
                  <w:vAlign w:val="center"/>
                </w:tcPr>
                <w:p w14:paraId="69A4AA2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31</w:t>
                  </w:r>
                </w:p>
              </w:tc>
              <w:tc>
                <w:tcPr>
                  <w:tcW w:w="355" w:type="pct"/>
                  <w:noWrap w:val="0"/>
                  <w:vAlign w:val="center"/>
                </w:tcPr>
                <w:p w14:paraId="2283744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2</w:t>
                  </w:r>
                  <w:r>
                    <w:rPr>
                      <w:rFonts w:ascii="Times New Roman" w:hAnsi="Times New Roman" w:eastAsia="宋体"/>
                      <w:color w:val="auto"/>
                      <w:spacing w:val="-10"/>
                      <w:kern w:val="0"/>
                      <w:sz w:val="21"/>
                      <w:szCs w:val="21"/>
                      <w:highlight w:val="none"/>
                    </w:rPr>
                    <w:t>031</w:t>
                  </w:r>
                </w:p>
              </w:tc>
              <w:tc>
                <w:tcPr>
                  <w:tcW w:w="709" w:type="pct"/>
                  <w:noWrap w:val="0"/>
                  <w:vAlign w:val="center"/>
                </w:tcPr>
                <w:p w14:paraId="585092E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6B65747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8户，约2</w:t>
                  </w:r>
                  <w:r>
                    <w:rPr>
                      <w:rFonts w:ascii="Times New Roman" w:hAnsi="Times New Roman" w:eastAsia="宋体"/>
                      <w:color w:val="auto"/>
                      <w:kern w:val="0"/>
                      <w:sz w:val="21"/>
                      <w:szCs w:val="21"/>
                      <w:highlight w:val="none"/>
                    </w:rPr>
                    <w:t>8</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4130BE0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1F40581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E</w:t>
                  </w:r>
                </w:p>
              </w:tc>
              <w:tc>
                <w:tcPr>
                  <w:tcW w:w="738" w:type="pct"/>
                  <w:noWrap w:val="0"/>
                  <w:vAlign w:val="center"/>
                </w:tcPr>
                <w:p w14:paraId="611B5D0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w:t>
                  </w:r>
                  <w:r>
                    <w:rPr>
                      <w:rFonts w:ascii="Times New Roman" w:hAnsi="Times New Roman" w:eastAsia="宋体"/>
                      <w:color w:val="auto"/>
                      <w:kern w:val="0"/>
                      <w:sz w:val="21"/>
                      <w:szCs w:val="21"/>
                      <w:highlight w:val="none"/>
                    </w:rPr>
                    <w:t>2~286</w:t>
                  </w:r>
                </w:p>
              </w:tc>
            </w:tr>
            <w:tr w14:paraId="797B3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35DCCE4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097CB6D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刘家坝</w:t>
                  </w:r>
                </w:p>
              </w:tc>
              <w:tc>
                <w:tcPr>
                  <w:tcW w:w="445" w:type="pct"/>
                  <w:noWrap w:val="0"/>
                  <w:vAlign w:val="center"/>
                </w:tcPr>
                <w:p w14:paraId="5FF0449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4</w:t>
                  </w:r>
                  <w:r>
                    <w:rPr>
                      <w:rFonts w:ascii="Times New Roman" w:hAnsi="Times New Roman" w:eastAsia="宋体"/>
                      <w:color w:val="auto"/>
                      <w:spacing w:val="-10"/>
                      <w:kern w:val="0"/>
                      <w:sz w:val="21"/>
                      <w:szCs w:val="21"/>
                      <w:highlight w:val="none"/>
                    </w:rPr>
                    <w:t>5</w:t>
                  </w:r>
                </w:p>
              </w:tc>
              <w:tc>
                <w:tcPr>
                  <w:tcW w:w="355" w:type="pct"/>
                  <w:noWrap w:val="0"/>
                  <w:vAlign w:val="center"/>
                </w:tcPr>
                <w:p w14:paraId="3DE9ECA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2</w:t>
                  </w:r>
                  <w:r>
                    <w:rPr>
                      <w:rFonts w:ascii="Times New Roman" w:hAnsi="Times New Roman" w:eastAsia="宋体"/>
                      <w:color w:val="auto"/>
                      <w:spacing w:val="-10"/>
                      <w:kern w:val="0"/>
                      <w:sz w:val="21"/>
                      <w:szCs w:val="21"/>
                      <w:highlight w:val="none"/>
                    </w:rPr>
                    <w:t>902</w:t>
                  </w:r>
                </w:p>
              </w:tc>
              <w:tc>
                <w:tcPr>
                  <w:tcW w:w="709" w:type="pct"/>
                  <w:noWrap w:val="0"/>
                  <w:vAlign w:val="center"/>
                </w:tcPr>
                <w:p w14:paraId="6292D07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4F389BF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户，约3</w:t>
                  </w:r>
                  <w:r>
                    <w:rPr>
                      <w:rFonts w:ascii="Times New Roman" w:hAnsi="Times New Roman" w:eastAsia="宋体"/>
                      <w:color w:val="auto"/>
                      <w:kern w:val="0"/>
                      <w:sz w:val="21"/>
                      <w:szCs w:val="21"/>
                      <w:highlight w:val="none"/>
                    </w:rPr>
                    <w:t>5</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4E42903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593CCE2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E</w:t>
                  </w:r>
                </w:p>
              </w:tc>
              <w:tc>
                <w:tcPr>
                  <w:tcW w:w="738" w:type="pct"/>
                  <w:noWrap w:val="0"/>
                  <w:vAlign w:val="center"/>
                </w:tcPr>
                <w:p w14:paraId="214218A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69~435</w:t>
                  </w:r>
                </w:p>
              </w:tc>
            </w:tr>
            <w:tr w14:paraId="3791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11549F3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3793F8C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马家湾</w:t>
                  </w:r>
                </w:p>
              </w:tc>
              <w:tc>
                <w:tcPr>
                  <w:tcW w:w="445" w:type="pct"/>
                  <w:noWrap w:val="0"/>
                  <w:vAlign w:val="center"/>
                </w:tcPr>
                <w:p w14:paraId="5905C80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7</w:t>
                  </w:r>
                  <w:r>
                    <w:rPr>
                      <w:rFonts w:ascii="Times New Roman" w:hAnsi="Times New Roman" w:eastAsia="宋体"/>
                      <w:color w:val="auto"/>
                      <w:spacing w:val="-10"/>
                      <w:kern w:val="0"/>
                      <w:sz w:val="21"/>
                      <w:szCs w:val="21"/>
                      <w:highlight w:val="none"/>
                    </w:rPr>
                    <w:t>0</w:t>
                  </w:r>
                </w:p>
              </w:tc>
              <w:tc>
                <w:tcPr>
                  <w:tcW w:w="355" w:type="pct"/>
                  <w:noWrap w:val="0"/>
                  <w:vAlign w:val="center"/>
                </w:tcPr>
                <w:p w14:paraId="2223B81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2</w:t>
                  </w:r>
                  <w:r>
                    <w:rPr>
                      <w:rFonts w:ascii="Times New Roman" w:hAnsi="Times New Roman" w:eastAsia="宋体"/>
                      <w:color w:val="auto"/>
                      <w:spacing w:val="-10"/>
                      <w:kern w:val="0"/>
                      <w:sz w:val="21"/>
                      <w:szCs w:val="21"/>
                      <w:highlight w:val="none"/>
                    </w:rPr>
                    <w:t>802</w:t>
                  </w:r>
                </w:p>
              </w:tc>
              <w:tc>
                <w:tcPr>
                  <w:tcW w:w="709" w:type="pct"/>
                  <w:noWrap w:val="0"/>
                  <w:vAlign w:val="center"/>
                </w:tcPr>
                <w:p w14:paraId="743E0B4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44F58D6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8户，约2</w:t>
                  </w:r>
                  <w:r>
                    <w:rPr>
                      <w:rFonts w:ascii="Times New Roman" w:hAnsi="Times New Roman" w:eastAsia="宋体"/>
                      <w:color w:val="auto"/>
                      <w:kern w:val="0"/>
                      <w:sz w:val="21"/>
                      <w:szCs w:val="21"/>
                      <w:highlight w:val="none"/>
                    </w:rPr>
                    <w:t>8</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5B7DE10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4532317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E</w:t>
                  </w:r>
                </w:p>
              </w:tc>
              <w:tc>
                <w:tcPr>
                  <w:tcW w:w="738" w:type="pct"/>
                  <w:noWrap w:val="0"/>
                  <w:vAlign w:val="center"/>
                </w:tcPr>
                <w:p w14:paraId="54C1150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w:t>
                  </w:r>
                  <w:r>
                    <w:rPr>
                      <w:rFonts w:ascii="Times New Roman" w:hAnsi="Times New Roman" w:eastAsia="宋体"/>
                      <w:color w:val="auto"/>
                      <w:kern w:val="0"/>
                      <w:sz w:val="21"/>
                      <w:szCs w:val="21"/>
                      <w:highlight w:val="none"/>
                    </w:rPr>
                    <w:t>25~392</w:t>
                  </w:r>
                </w:p>
              </w:tc>
            </w:tr>
            <w:tr w14:paraId="0799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537502C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6A7BB7E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彭家滩</w:t>
                  </w:r>
                </w:p>
              </w:tc>
              <w:tc>
                <w:tcPr>
                  <w:tcW w:w="445" w:type="pct"/>
                  <w:noWrap w:val="0"/>
                  <w:vAlign w:val="center"/>
                </w:tcPr>
                <w:p w14:paraId="6AC9C17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0</w:t>
                  </w:r>
                </w:p>
              </w:tc>
              <w:tc>
                <w:tcPr>
                  <w:tcW w:w="355" w:type="pct"/>
                  <w:noWrap w:val="0"/>
                  <w:vAlign w:val="center"/>
                </w:tcPr>
                <w:p w14:paraId="3A82850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2</w:t>
                  </w:r>
                  <w:r>
                    <w:rPr>
                      <w:rFonts w:ascii="Times New Roman" w:hAnsi="Times New Roman" w:eastAsia="宋体"/>
                      <w:color w:val="auto"/>
                      <w:spacing w:val="-10"/>
                      <w:kern w:val="0"/>
                      <w:sz w:val="21"/>
                      <w:szCs w:val="21"/>
                      <w:highlight w:val="none"/>
                    </w:rPr>
                    <w:t>565</w:t>
                  </w:r>
                </w:p>
              </w:tc>
              <w:tc>
                <w:tcPr>
                  <w:tcW w:w="709" w:type="pct"/>
                  <w:noWrap w:val="0"/>
                  <w:vAlign w:val="center"/>
                </w:tcPr>
                <w:p w14:paraId="1B3AEF8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66C3EA2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户，约3</w:t>
                  </w:r>
                  <w:r>
                    <w:rPr>
                      <w:rFonts w:ascii="Times New Roman" w:hAnsi="Times New Roman" w:eastAsia="宋体"/>
                      <w:color w:val="auto"/>
                      <w:kern w:val="0"/>
                      <w:sz w:val="21"/>
                      <w:szCs w:val="21"/>
                      <w:highlight w:val="none"/>
                    </w:rPr>
                    <w:t>5</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28E5846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386FDAB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p>
              </w:tc>
              <w:tc>
                <w:tcPr>
                  <w:tcW w:w="738" w:type="pct"/>
                  <w:noWrap w:val="0"/>
                  <w:vAlign w:val="center"/>
                </w:tcPr>
                <w:p w14:paraId="03BA074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57~289</w:t>
                  </w:r>
                </w:p>
              </w:tc>
            </w:tr>
            <w:tr w14:paraId="6642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6016D22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65EA2CD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书房塝</w:t>
                  </w:r>
                </w:p>
              </w:tc>
              <w:tc>
                <w:tcPr>
                  <w:tcW w:w="445" w:type="pct"/>
                  <w:noWrap w:val="0"/>
                  <w:vAlign w:val="center"/>
                </w:tcPr>
                <w:p w14:paraId="1AEAA42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0</w:t>
                  </w:r>
                </w:p>
              </w:tc>
              <w:tc>
                <w:tcPr>
                  <w:tcW w:w="355" w:type="pct"/>
                  <w:noWrap w:val="0"/>
                  <w:vAlign w:val="center"/>
                </w:tcPr>
                <w:p w14:paraId="1E74ACC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2</w:t>
                  </w:r>
                  <w:r>
                    <w:rPr>
                      <w:rFonts w:ascii="Times New Roman" w:hAnsi="Times New Roman" w:eastAsia="宋体"/>
                      <w:color w:val="auto"/>
                      <w:spacing w:val="-10"/>
                      <w:kern w:val="0"/>
                      <w:sz w:val="21"/>
                      <w:szCs w:val="21"/>
                      <w:highlight w:val="none"/>
                    </w:rPr>
                    <w:t>279</w:t>
                  </w:r>
                </w:p>
              </w:tc>
              <w:tc>
                <w:tcPr>
                  <w:tcW w:w="709" w:type="pct"/>
                  <w:noWrap w:val="0"/>
                  <w:vAlign w:val="center"/>
                </w:tcPr>
                <w:p w14:paraId="5B82887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6B5A0A7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7户，约2</w:t>
                  </w:r>
                  <w:r>
                    <w:rPr>
                      <w:rFonts w:ascii="Times New Roman" w:hAnsi="Times New Roman" w:eastAsia="宋体"/>
                      <w:color w:val="auto"/>
                      <w:kern w:val="0"/>
                      <w:sz w:val="21"/>
                      <w:szCs w:val="21"/>
                      <w:highlight w:val="none"/>
                    </w:rPr>
                    <w:t>4</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7F816FB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3A684E0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p>
              </w:tc>
              <w:tc>
                <w:tcPr>
                  <w:tcW w:w="738" w:type="pct"/>
                  <w:noWrap w:val="0"/>
                  <w:vAlign w:val="center"/>
                </w:tcPr>
                <w:p w14:paraId="79411F3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4</w:t>
                  </w:r>
                  <w:r>
                    <w:rPr>
                      <w:rFonts w:ascii="Times New Roman" w:hAnsi="Times New Roman" w:eastAsia="宋体"/>
                      <w:color w:val="auto"/>
                      <w:kern w:val="0"/>
                      <w:sz w:val="21"/>
                      <w:szCs w:val="21"/>
                      <w:highlight w:val="none"/>
                    </w:rPr>
                    <w:t>7~195</w:t>
                  </w:r>
                </w:p>
              </w:tc>
            </w:tr>
            <w:tr w14:paraId="5715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3A82FF6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4388CA6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田家沟</w:t>
                  </w:r>
                </w:p>
              </w:tc>
              <w:tc>
                <w:tcPr>
                  <w:tcW w:w="445" w:type="pct"/>
                  <w:noWrap w:val="0"/>
                  <w:vAlign w:val="center"/>
                </w:tcPr>
                <w:p w14:paraId="60CE74A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35</w:t>
                  </w:r>
                </w:p>
              </w:tc>
              <w:tc>
                <w:tcPr>
                  <w:tcW w:w="355" w:type="pct"/>
                  <w:noWrap w:val="0"/>
                  <w:vAlign w:val="center"/>
                </w:tcPr>
                <w:p w14:paraId="461F9D2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2</w:t>
                  </w:r>
                  <w:r>
                    <w:rPr>
                      <w:rFonts w:ascii="Times New Roman" w:hAnsi="Times New Roman" w:eastAsia="宋体"/>
                      <w:color w:val="auto"/>
                      <w:spacing w:val="-10"/>
                      <w:kern w:val="0"/>
                      <w:sz w:val="21"/>
                      <w:szCs w:val="21"/>
                      <w:highlight w:val="none"/>
                    </w:rPr>
                    <w:t>070</w:t>
                  </w:r>
                </w:p>
              </w:tc>
              <w:tc>
                <w:tcPr>
                  <w:tcW w:w="709" w:type="pct"/>
                  <w:noWrap w:val="0"/>
                  <w:vAlign w:val="center"/>
                </w:tcPr>
                <w:p w14:paraId="6A68FEF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5BC631D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9户，约3</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272C94F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7333366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W</w:t>
                  </w:r>
                </w:p>
              </w:tc>
              <w:tc>
                <w:tcPr>
                  <w:tcW w:w="738" w:type="pct"/>
                  <w:noWrap w:val="0"/>
                  <w:vAlign w:val="center"/>
                </w:tcPr>
                <w:p w14:paraId="687E0E2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w:t>
                  </w:r>
                  <w:r>
                    <w:rPr>
                      <w:rFonts w:ascii="Times New Roman" w:hAnsi="Times New Roman" w:eastAsia="宋体"/>
                      <w:color w:val="auto"/>
                      <w:kern w:val="0"/>
                      <w:sz w:val="21"/>
                      <w:szCs w:val="21"/>
                      <w:highlight w:val="none"/>
                    </w:rPr>
                    <w:t>42~342</w:t>
                  </w:r>
                </w:p>
              </w:tc>
            </w:tr>
            <w:tr w14:paraId="6E7B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restart"/>
                  <w:noWrap w:val="0"/>
                  <w:vAlign w:val="center"/>
                </w:tcPr>
                <w:p w14:paraId="77B9A5F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声环境</w:t>
                  </w:r>
                </w:p>
              </w:tc>
              <w:tc>
                <w:tcPr>
                  <w:tcW w:w="709" w:type="pct"/>
                  <w:noWrap w:val="0"/>
                  <w:vAlign w:val="center"/>
                </w:tcPr>
                <w:p w14:paraId="47F5FB4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磨子坝</w:t>
                  </w:r>
                </w:p>
              </w:tc>
              <w:tc>
                <w:tcPr>
                  <w:tcW w:w="445" w:type="pct"/>
                  <w:noWrap w:val="0"/>
                  <w:vAlign w:val="center"/>
                </w:tcPr>
                <w:p w14:paraId="7D7B172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4</w:t>
                  </w:r>
                  <w:r>
                    <w:rPr>
                      <w:rFonts w:ascii="Times New Roman" w:hAnsi="Times New Roman" w:eastAsia="宋体"/>
                      <w:color w:val="auto"/>
                      <w:spacing w:val="-10"/>
                      <w:kern w:val="0"/>
                      <w:sz w:val="21"/>
                      <w:szCs w:val="21"/>
                      <w:highlight w:val="none"/>
                    </w:rPr>
                    <w:t>2</w:t>
                  </w:r>
                </w:p>
              </w:tc>
              <w:tc>
                <w:tcPr>
                  <w:tcW w:w="355" w:type="pct"/>
                  <w:noWrap w:val="0"/>
                  <w:vAlign w:val="center"/>
                </w:tcPr>
                <w:p w14:paraId="04529EF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w:t>
                  </w:r>
                  <w:r>
                    <w:rPr>
                      <w:rFonts w:ascii="Times New Roman" w:hAnsi="Times New Roman" w:eastAsia="宋体"/>
                      <w:color w:val="auto"/>
                      <w:spacing w:val="-10"/>
                      <w:kern w:val="0"/>
                      <w:sz w:val="21"/>
                      <w:szCs w:val="21"/>
                      <w:highlight w:val="none"/>
                    </w:rPr>
                    <w:t>5</w:t>
                  </w:r>
                </w:p>
              </w:tc>
              <w:tc>
                <w:tcPr>
                  <w:tcW w:w="709" w:type="pct"/>
                  <w:noWrap w:val="0"/>
                  <w:vAlign w:val="center"/>
                </w:tcPr>
                <w:p w14:paraId="7A0EBC7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0F84601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2户，约7人</w:t>
                  </w:r>
                </w:p>
              </w:tc>
              <w:tc>
                <w:tcPr>
                  <w:tcW w:w="442" w:type="pct"/>
                  <w:vMerge w:val="restart"/>
                  <w:noWrap w:val="0"/>
                  <w:vAlign w:val="center"/>
                </w:tcPr>
                <w:p w14:paraId="1D59749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2类声功能区</w:t>
                  </w:r>
                </w:p>
              </w:tc>
              <w:tc>
                <w:tcPr>
                  <w:tcW w:w="442" w:type="pct"/>
                  <w:noWrap w:val="0"/>
                  <w:vAlign w:val="center"/>
                </w:tcPr>
                <w:p w14:paraId="09BC7CD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S</w:t>
                  </w:r>
                  <w:r>
                    <w:rPr>
                      <w:rFonts w:ascii="Times New Roman" w:hAnsi="Times New Roman" w:eastAsia="宋体"/>
                      <w:color w:val="auto"/>
                      <w:kern w:val="0"/>
                      <w:sz w:val="21"/>
                      <w:szCs w:val="21"/>
                      <w:highlight w:val="none"/>
                    </w:rPr>
                    <w:t>E</w:t>
                  </w:r>
                </w:p>
              </w:tc>
              <w:tc>
                <w:tcPr>
                  <w:tcW w:w="738" w:type="pct"/>
                  <w:noWrap w:val="0"/>
                  <w:vAlign w:val="center"/>
                </w:tcPr>
                <w:p w14:paraId="3C0BD38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w:t>
                  </w:r>
                  <w:r>
                    <w:rPr>
                      <w:rFonts w:ascii="Times New Roman" w:hAnsi="Times New Roman" w:eastAsia="宋体"/>
                      <w:color w:val="auto"/>
                      <w:kern w:val="0"/>
                      <w:sz w:val="21"/>
                      <w:szCs w:val="21"/>
                      <w:highlight w:val="none"/>
                    </w:rPr>
                    <w:t>5~50</w:t>
                  </w:r>
                </w:p>
              </w:tc>
            </w:tr>
            <w:tr w14:paraId="3F422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1806F31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71B6D97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杜家坝</w:t>
                  </w:r>
                </w:p>
              </w:tc>
              <w:tc>
                <w:tcPr>
                  <w:tcW w:w="445" w:type="pct"/>
                  <w:noWrap w:val="0"/>
                  <w:vAlign w:val="center"/>
                </w:tcPr>
                <w:p w14:paraId="3BC3DD7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0</w:t>
                  </w:r>
                </w:p>
              </w:tc>
              <w:tc>
                <w:tcPr>
                  <w:tcW w:w="355" w:type="pct"/>
                  <w:noWrap w:val="0"/>
                  <w:vAlign w:val="center"/>
                </w:tcPr>
                <w:p w14:paraId="7108834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6</w:t>
                  </w:r>
                  <w:r>
                    <w:rPr>
                      <w:rFonts w:ascii="Times New Roman" w:hAnsi="Times New Roman" w:eastAsia="宋体"/>
                      <w:color w:val="auto"/>
                      <w:spacing w:val="-10"/>
                      <w:kern w:val="0"/>
                      <w:sz w:val="21"/>
                      <w:szCs w:val="21"/>
                      <w:highlight w:val="none"/>
                    </w:rPr>
                    <w:t>09</w:t>
                  </w:r>
                </w:p>
              </w:tc>
              <w:tc>
                <w:tcPr>
                  <w:tcW w:w="709" w:type="pct"/>
                  <w:noWrap w:val="0"/>
                  <w:vAlign w:val="center"/>
                </w:tcPr>
                <w:p w14:paraId="3FBCF17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47136AC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6户，约2</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3516CFB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50AA59A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W</w:t>
                  </w:r>
                </w:p>
              </w:tc>
              <w:tc>
                <w:tcPr>
                  <w:tcW w:w="738" w:type="pct"/>
                  <w:noWrap w:val="0"/>
                  <w:vAlign w:val="center"/>
                </w:tcPr>
                <w:p w14:paraId="3AAFDD4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w:t>
                  </w:r>
                  <w:r>
                    <w:rPr>
                      <w:rFonts w:ascii="Times New Roman" w:hAnsi="Times New Roman" w:eastAsia="宋体"/>
                      <w:color w:val="auto"/>
                      <w:kern w:val="0"/>
                      <w:sz w:val="21"/>
                      <w:szCs w:val="21"/>
                      <w:highlight w:val="none"/>
                    </w:rPr>
                    <w:t>2~50</w:t>
                  </w:r>
                </w:p>
              </w:tc>
            </w:tr>
            <w:tr w14:paraId="6DB8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601361C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63D3074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双龙寨村</w:t>
                  </w:r>
                </w:p>
              </w:tc>
              <w:tc>
                <w:tcPr>
                  <w:tcW w:w="445" w:type="pct"/>
                  <w:noWrap w:val="0"/>
                  <w:vAlign w:val="center"/>
                </w:tcPr>
                <w:p w14:paraId="076AFC3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31</w:t>
                  </w:r>
                </w:p>
              </w:tc>
              <w:tc>
                <w:tcPr>
                  <w:tcW w:w="355" w:type="pct"/>
                  <w:noWrap w:val="0"/>
                  <w:vAlign w:val="center"/>
                </w:tcPr>
                <w:p w14:paraId="2E26C17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2</w:t>
                  </w:r>
                  <w:r>
                    <w:rPr>
                      <w:rFonts w:ascii="Times New Roman" w:hAnsi="Times New Roman" w:eastAsia="宋体"/>
                      <w:color w:val="auto"/>
                      <w:spacing w:val="-10"/>
                      <w:kern w:val="0"/>
                      <w:sz w:val="21"/>
                      <w:szCs w:val="21"/>
                      <w:highlight w:val="none"/>
                    </w:rPr>
                    <w:t>031</w:t>
                  </w:r>
                </w:p>
              </w:tc>
              <w:tc>
                <w:tcPr>
                  <w:tcW w:w="709" w:type="pct"/>
                  <w:noWrap w:val="0"/>
                  <w:vAlign w:val="center"/>
                </w:tcPr>
                <w:p w14:paraId="021A1BF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00B7B69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4户，约1</w:t>
                  </w:r>
                  <w:r>
                    <w:rPr>
                      <w:rFonts w:ascii="Times New Roman" w:hAnsi="Times New Roman" w:eastAsia="宋体"/>
                      <w:color w:val="auto"/>
                      <w:kern w:val="0"/>
                      <w:sz w:val="21"/>
                      <w:szCs w:val="21"/>
                      <w:highlight w:val="none"/>
                    </w:rPr>
                    <w:t>4</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6F8D09A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68E184A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E</w:t>
                  </w:r>
                </w:p>
              </w:tc>
              <w:tc>
                <w:tcPr>
                  <w:tcW w:w="738" w:type="pct"/>
                  <w:noWrap w:val="0"/>
                  <w:vAlign w:val="center"/>
                </w:tcPr>
                <w:p w14:paraId="27C74B5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w:t>
                  </w:r>
                  <w:r>
                    <w:rPr>
                      <w:rFonts w:ascii="Times New Roman" w:hAnsi="Times New Roman" w:eastAsia="宋体"/>
                      <w:color w:val="auto"/>
                      <w:kern w:val="0"/>
                      <w:sz w:val="21"/>
                      <w:szCs w:val="21"/>
                      <w:highlight w:val="none"/>
                    </w:rPr>
                    <w:t>2~50</w:t>
                  </w:r>
                </w:p>
              </w:tc>
            </w:tr>
            <w:tr w14:paraId="4F09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5462ED6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4BE65E3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书房塝</w:t>
                  </w:r>
                </w:p>
              </w:tc>
              <w:tc>
                <w:tcPr>
                  <w:tcW w:w="445" w:type="pct"/>
                  <w:noWrap w:val="0"/>
                  <w:vAlign w:val="center"/>
                </w:tcPr>
                <w:p w14:paraId="7DBD100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0</w:t>
                  </w:r>
                </w:p>
              </w:tc>
              <w:tc>
                <w:tcPr>
                  <w:tcW w:w="355" w:type="pct"/>
                  <w:noWrap w:val="0"/>
                  <w:vAlign w:val="center"/>
                </w:tcPr>
                <w:p w14:paraId="267D9D4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2</w:t>
                  </w:r>
                  <w:r>
                    <w:rPr>
                      <w:rFonts w:ascii="Times New Roman" w:hAnsi="Times New Roman" w:eastAsia="宋体"/>
                      <w:color w:val="auto"/>
                      <w:spacing w:val="-10"/>
                      <w:kern w:val="0"/>
                      <w:sz w:val="21"/>
                      <w:szCs w:val="21"/>
                      <w:highlight w:val="none"/>
                    </w:rPr>
                    <w:t>279</w:t>
                  </w:r>
                </w:p>
              </w:tc>
              <w:tc>
                <w:tcPr>
                  <w:tcW w:w="709" w:type="pct"/>
                  <w:noWrap w:val="0"/>
                  <w:vAlign w:val="center"/>
                </w:tcPr>
                <w:p w14:paraId="730EA22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64B9DB9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1户，约3人</w:t>
                  </w:r>
                </w:p>
              </w:tc>
              <w:tc>
                <w:tcPr>
                  <w:tcW w:w="442" w:type="pct"/>
                  <w:vMerge w:val="continue"/>
                  <w:noWrap w:val="0"/>
                  <w:vAlign w:val="center"/>
                </w:tcPr>
                <w:p w14:paraId="6E23CCD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5903A24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p>
              </w:tc>
              <w:tc>
                <w:tcPr>
                  <w:tcW w:w="738" w:type="pct"/>
                  <w:noWrap w:val="0"/>
                  <w:vAlign w:val="center"/>
                </w:tcPr>
                <w:p w14:paraId="7B6A069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4</w:t>
                  </w:r>
                  <w:r>
                    <w:rPr>
                      <w:rFonts w:ascii="Times New Roman" w:hAnsi="Times New Roman" w:eastAsia="宋体"/>
                      <w:color w:val="auto"/>
                      <w:kern w:val="0"/>
                      <w:sz w:val="21"/>
                      <w:szCs w:val="21"/>
                      <w:highlight w:val="none"/>
                    </w:rPr>
                    <w:t>7~50</w:t>
                  </w:r>
                </w:p>
              </w:tc>
            </w:tr>
            <w:tr w14:paraId="2D00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243920B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3D08004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清河场镇</w:t>
                  </w:r>
                </w:p>
              </w:tc>
              <w:tc>
                <w:tcPr>
                  <w:tcW w:w="445" w:type="pct"/>
                  <w:noWrap w:val="0"/>
                  <w:vAlign w:val="center"/>
                </w:tcPr>
                <w:p w14:paraId="7A0EFB3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0</w:t>
                  </w:r>
                </w:p>
              </w:tc>
              <w:tc>
                <w:tcPr>
                  <w:tcW w:w="355" w:type="pct"/>
                  <w:noWrap w:val="0"/>
                  <w:vAlign w:val="center"/>
                </w:tcPr>
                <w:p w14:paraId="621AF65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429</w:t>
                  </w:r>
                </w:p>
              </w:tc>
              <w:tc>
                <w:tcPr>
                  <w:tcW w:w="709" w:type="pct"/>
                  <w:noWrap w:val="0"/>
                  <w:vAlign w:val="top"/>
                </w:tcPr>
                <w:p w14:paraId="640CF85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11D3816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约5</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3FF5ECB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782107E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p>
              </w:tc>
              <w:tc>
                <w:tcPr>
                  <w:tcW w:w="738" w:type="pct"/>
                  <w:noWrap w:val="0"/>
                  <w:vAlign w:val="center"/>
                </w:tcPr>
                <w:p w14:paraId="45962EA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w:t>
                  </w:r>
                  <w:r>
                    <w:rPr>
                      <w:rFonts w:ascii="Times New Roman" w:hAnsi="Times New Roman" w:eastAsia="宋体"/>
                      <w:color w:val="auto"/>
                      <w:kern w:val="0"/>
                      <w:sz w:val="21"/>
                      <w:szCs w:val="21"/>
                      <w:highlight w:val="none"/>
                    </w:rPr>
                    <w:t>0~50</w:t>
                  </w:r>
                </w:p>
              </w:tc>
            </w:tr>
            <w:tr w14:paraId="322E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9"/>
                  <w:noWrap w:val="0"/>
                  <w:vAlign w:val="center"/>
                </w:tcPr>
                <w:p w14:paraId="31CACC49">
                  <w:pPr>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注：以清河镇治理河段起点为坐标原点（0,0）。</w:t>
                  </w:r>
                </w:p>
              </w:tc>
            </w:tr>
          </w:tbl>
          <w:p w14:paraId="7879F963">
            <w:pPr>
              <w:pStyle w:val="20"/>
              <w:keepNext w:val="0"/>
              <w:keepLines w:val="0"/>
              <w:pageBreakBefore w:val="0"/>
              <w:widowControl w:val="0"/>
              <w:kinsoku/>
              <w:wordWrap w:val="0"/>
              <w:overflowPunct/>
              <w:topLinePunct w:val="0"/>
              <w:autoSpaceDE/>
              <w:autoSpaceDN/>
              <w:bidi w:val="0"/>
              <w:adjustRightInd w:val="0"/>
              <w:snapToGrid w:val="0"/>
              <w:spacing w:before="169" w:beforeLines="50" w:line="240" w:lineRule="exact"/>
              <w:ind w:firstLine="0" w:firstLineChars="0"/>
              <w:textAlignment w:val="auto"/>
              <w:rPr>
                <w:rFonts w:hint="eastAsia"/>
                <w:color w:val="auto"/>
                <w:sz w:val="24"/>
                <w:szCs w:val="24"/>
                <w:highlight w:val="none"/>
              </w:rPr>
            </w:pPr>
            <w:r>
              <w:rPr>
                <w:rFonts w:hint="eastAsia"/>
                <w:color w:val="auto"/>
                <w:sz w:val="24"/>
                <w:szCs w:val="24"/>
                <w:highlight w:val="none"/>
              </w:rPr>
              <w:t>表3</w:t>
            </w:r>
            <w:r>
              <w:rPr>
                <w:color w:val="auto"/>
                <w:sz w:val="24"/>
                <w:szCs w:val="24"/>
                <w:highlight w:val="none"/>
              </w:rPr>
              <w:t>.5-</w:t>
            </w:r>
            <w:r>
              <w:rPr>
                <w:rFonts w:hint="eastAsia"/>
                <w:color w:val="auto"/>
                <w:sz w:val="24"/>
                <w:szCs w:val="24"/>
                <w:highlight w:val="none"/>
                <w:lang w:val="en-US" w:eastAsia="zh-CN"/>
              </w:rPr>
              <w:t>5</w:t>
            </w:r>
            <w:r>
              <w:rPr>
                <w:color w:val="auto"/>
                <w:sz w:val="24"/>
                <w:szCs w:val="24"/>
                <w:highlight w:val="none"/>
              </w:rPr>
              <w:t xml:space="preserve">  </w:t>
            </w:r>
            <w:r>
              <w:rPr>
                <w:rFonts w:hint="eastAsia"/>
                <w:color w:val="auto"/>
                <w:sz w:val="24"/>
                <w:szCs w:val="24"/>
                <w:highlight w:val="none"/>
              </w:rPr>
              <w:t>项目杨家镇治理河段声环境、大气环境保护目标统计表</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275"/>
              <w:gridCol w:w="801"/>
              <w:gridCol w:w="639"/>
              <w:gridCol w:w="1275"/>
              <w:gridCol w:w="1275"/>
              <w:gridCol w:w="795"/>
              <w:gridCol w:w="795"/>
              <w:gridCol w:w="1327"/>
            </w:tblGrid>
            <w:tr w14:paraId="4A55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restart"/>
                  <w:noWrap w:val="0"/>
                  <w:vAlign w:val="center"/>
                </w:tcPr>
                <w:p w14:paraId="2ADC432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环境要素</w:t>
                  </w:r>
                </w:p>
              </w:tc>
              <w:tc>
                <w:tcPr>
                  <w:tcW w:w="709" w:type="pct"/>
                  <w:vMerge w:val="restart"/>
                  <w:noWrap w:val="0"/>
                  <w:vAlign w:val="center"/>
                </w:tcPr>
                <w:p w14:paraId="22608D7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名称</w:t>
                  </w:r>
                </w:p>
              </w:tc>
              <w:tc>
                <w:tcPr>
                  <w:tcW w:w="800" w:type="pct"/>
                  <w:gridSpan w:val="2"/>
                  <w:noWrap w:val="0"/>
                  <w:vAlign w:val="center"/>
                </w:tcPr>
                <w:p w14:paraId="722CB19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坐标/m</w:t>
                  </w:r>
                </w:p>
              </w:tc>
              <w:tc>
                <w:tcPr>
                  <w:tcW w:w="709" w:type="pct"/>
                  <w:vMerge w:val="restart"/>
                  <w:noWrap w:val="0"/>
                  <w:vAlign w:val="center"/>
                </w:tcPr>
                <w:p w14:paraId="1A6CE77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保护对象</w:t>
                  </w:r>
                </w:p>
              </w:tc>
              <w:tc>
                <w:tcPr>
                  <w:tcW w:w="709" w:type="pct"/>
                  <w:vMerge w:val="restart"/>
                  <w:noWrap w:val="0"/>
                  <w:vAlign w:val="center"/>
                </w:tcPr>
                <w:p w14:paraId="20462C6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保护内容</w:t>
                  </w:r>
                </w:p>
              </w:tc>
              <w:tc>
                <w:tcPr>
                  <w:tcW w:w="442" w:type="pct"/>
                  <w:vMerge w:val="restart"/>
                  <w:noWrap w:val="0"/>
                  <w:vAlign w:val="center"/>
                </w:tcPr>
                <w:p w14:paraId="6CC75A3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环境功能</w:t>
                  </w:r>
                </w:p>
              </w:tc>
              <w:tc>
                <w:tcPr>
                  <w:tcW w:w="442" w:type="pct"/>
                  <w:vMerge w:val="restart"/>
                  <w:noWrap w:val="0"/>
                  <w:vAlign w:val="center"/>
                </w:tcPr>
                <w:p w14:paraId="514AEBF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相对方位</w:t>
                  </w:r>
                </w:p>
              </w:tc>
              <w:tc>
                <w:tcPr>
                  <w:tcW w:w="737" w:type="pct"/>
                  <w:vMerge w:val="restart"/>
                  <w:noWrap w:val="0"/>
                  <w:vAlign w:val="center"/>
                </w:tcPr>
                <w:p w14:paraId="3289768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与场界最近距离/m</w:t>
                  </w:r>
                </w:p>
              </w:tc>
            </w:tr>
            <w:tr w14:paraId="018D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0566A69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p>
              </w:tc>
              <w:tc>
                <w:tcPr>
                  <w:tcW w:w="709" w:type="pct"/>
                  <w:vMerge w:val="continue"/>
                  <w:noWrap w:val="0"/>
                  <w:vAlign w:val="center"/>
                </w:tcPr>
                <w:p w14:paraId="22D66B1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p>
              </w:tc>
              <w:tc>
                <w:tcPr>
                  <w:tcW w:w="445" w:type="pct"/>
                  <w:noWrap w:val="0"/>
                  <w:vAlign w:val="center"/>
                </w:tcPr>
                <w:p w14:paraId="52F85B6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hint="eastAsia" w:ascii="Times New Roman" w:hAnsi="Times New Roman" w:eastAsia="宋体"/>
                      <w:b/>
                      <w:color w:val="auto"/>
                      <w:kern w:val="0"/>
                      <w:sz w:val="21"/>
                      <w:szCs w:val="21"/>
                      <w:highlight w:val="none"/>
                    </w:rPr>
                    <w:t>X</w:t>
                  </w:r>
                </w:p>
              </w:tc>
              <w:tc>
                <w:tcPr>
                  <w:tcW w:w="355" w:type="pct"/>
                  <w:noWrap w:val="0"/>
                  <w:vAlign w:val="center"/>
                </w:tcPr>
                <w:p w14:paraId="33BE1E4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r>
                    <w:rPr>
                      <w:rFonts w:ascii="Times New Roman" w:hAnsi="Times New Roman" w:eastAsia="宋体"/>
                      <w:b/>
                      <w:color w:val="auto"/>
                      <w:kern w:val="0"/>
                      <w:sz w:val="21"/>
                      <w:szCs w:val="21"/>
                      <w:highlight w:val="none"/>
                    </w:rPr>
                    <w:t>Y</w:t>
                  </w:r>
                </w:p>
              </w:tc>
              <w:tc>
                <w:tcPr>
                  <w:tcW w:w="709" w:type="pct"/>
                  <w:vMerge w:val="continue"/>
                  <w:noWrap w:val="0"/>
                  <w:vAlign w:val="center"/>
                </w:tcPr>
                <w:p w14:paraId="119D530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p>
              </w:tc>
              <w:tc>
                <w:tcPr>
                  <w:tcW w:w="709" w:type="pct"/>
                  <w:vMerge w:val="continue"/>
                  <w:noWrap w:val="0"/>
                  <w:vAlign w:val="center"/>
                </w:tcPr>
                <w:p w14:paraId="12060DD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p>
              </w:tc>
              <w:tc>
                <w:tcPr>
                  <w:tcW w:w="442" w:type="pct"/>
                  <w:vMerge w:val="continue"/>
                  <w:noWrap w:val="0"/>
                  <w:vAlign w:val="center"/>
                </w:tcPr>
                <w:p w14:paraId="08926D6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p>
              </w:tc>
              <w:tc>
                <w:tcPr>
                  <w:tcW w:w="442" w:type="pct"/>
                  <w:vMerge w:val="continue"/>
                  <w:noWrap w:val="0"/>
                  <w:vAlign w:val="center"/>
                </w:tcPr>
                <w:p w14:paraId="0B17A47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p>
              </w:tc>
              <w:tc>
                <w:tcPr>
                  <w:tcW w:w="737" w:type="pct"/>
                  <w:vMerge w:val="continue"/>
                  <w:noWrap w:val="0"/>
                  <w:vAlign w:val="center"/>
                </w:tcPr>
                <w:p w14:paraId="01E042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b/>
                      <w:color w:val="auto"/>
                      <w:kern w:val="0"/>
                      <w:sz w:val="21"/>
                      <w:szCs w:val="21"/>
                      <w:highlight w:val="none"/>
                    </w:rPr>
                  </w:pPr>
                </w:p>
              </w:tc>
            </w:tr>
            <w:tr w14:paraId="7FBD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restart"/>
                  <w:noWrap w:val="0"/>
                  <w:vAlign w:val="center"/>
                </w:tcPr>
                <w:p w14:paraId="4AA3FDD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大气环境</w:t>
                  </w:r>
                </w:p>
              </w:tc>
              <w:tc>
                <w:tcPr>
                  <w:tcW w:w="709" w:type="pct"/>
                  <w:noWrap w:val="0"/>
                  <w:vAlign w:val="center"/>
                </w:tcPr>
                <w:p w14:paraId="78F4598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狮子谭</w:t>
                  </w:r>
                </w:p>
              </w:tc>
              <w:tc>
                <w:tcPr>
                  <w:tcW w:w="445" w:type="pct"/>
                  <w:noWrap w:val="0"/>
                  <w:vAlign w:val="center"/>
                </w:tcPr>
                <w:p w14:paraId="45EB218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3</w:t>
                  </w:r>
                  <w:r>
                    <w:rPr>
                      <w:rFonts w:ascii="Times New Roman" w:hAnsi="Times New Roman" w:eastAsia="宋体"/>
                      <w:color w:val="auto"/>
                      <w:spacing w:val="-10"/>
                      <w:kern w:val="0"/>
                      <w:sz w:val="21"/>
                      <w:szCs w:val="21"/>
                      <w:highlight w:val="none"/>
                    </w:rPr>
                    <w:t>2</w:t>
                  </w:r>
                </w:p>
              </w:tc>
              <w:tc>
                <w:tcPr>
                  <w:tcW w:w="355" w:type="pct"/>
                  <w:noWrap w:val="0"/>
                  <w:vAlign w:val="center"/>
                </w:tcPr>
                <w:p w14:paraId="08BB602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w:t>
                  </w:r>
                  <w:r>
                    <w:rPr>
                      <w:rFonts w:ascii="Times New Roman" w:hAnsi="Times New Roman" w:eastAsia="宋体"/>
                      <w:color w:val="auto"/>
                      <w:spacing w:val="-10"/>
                      <w:kern w:val="0"/>
                      <w:sz w:val="21"/>
                      <w:szCs w:val="21"/>
                      <w:highlight w:val="none"/>
                    </w:rPr>
                    <w:t>116</w:t>
                  </w:r>
                </w:p>
              </w:tc>
              <w:tc>
                <w:tcPr>
                  <w:tcW w:w="709" w:type="pct"/>
                  <w:noWrap w:val="0"/>
                  <w:vAlign w:val="center"/>
                </w:tcPr>
                <w:p w14:paraId="50CFE0E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17FF6CD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3户，约1</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人</w:t>
                  </w:r>
                </w:p>
              </w:tc>
              <w:tc>
                <w:tcPr>
                  <w:tcW w:w="442" w:type="pct"/>
                  <w:vMerge w:val="restart"/>
                  <w:noWrap w:val="0"/>
                  <w:vAlign w:val="center"/>
                </w:tcPr>
                <w:p w14:paraId="60232AD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二类环境空气功能区</w:t>
                  </w:r>
                </w:p>
              </w:tc>
              <w:tc>
                <w:tcPr>
                  <w:tcW w:w="442" w:type="pct"/>
                  <w:noWrap w:val="0"/>
                  <w:vAlign w:val="center"/>
                </w:tcPr>
                <w:p w14:paraId="40A8A59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S</w:t>
                  </w:r>
                  <w:r>
                    <w:rPr>
                      <w:rFonts w:ascii="Times New Roman" w:hAnsi="Times New Roman" w:eastAsia="宋体"/>
                      <w:color w:val="auto"/>
                      <w:kern w:val="0"/>
                      <w:sz w:val="21"/>
                      <w:szCs w:val="21"/>
                      <w:highlight w:val="none"/>
                    </w:rPr>
                    <w:t>E</w:t>
                  </w:r>
                </w:p>
              </w:tc>
              <w:tc>
                <w:tcPr>
                  <w:tcW w:w="737" w:type="pct"/>
                  <w:noWrap w:val="0"/>
                  <w:vAlign w:val="center"/>
                </w:tcPr>
                <w:p w14:paraId="480F34D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7</w:t>
                  </w:r>
                  <w:r>
                    <w:rPr>
                      <w:rFonts w:ascii="Times New Roman" w:hAnsi="Times New Roman" w:eastAsia="宋体"/>
                      <w:color w:val="auto"/>
                      <w:kern w:val="0"/>
                      <w:sz w:val="21"/>
                      <w:szCs w:val="21"/>
                      <w:highlight w:val="none"/>
                    </w:rPr>
                    <w:t>5~185</w:t>
                  </w:r>
                </w:p>
              </w:tc>
            </w:tr>
            <w:tr w14:paraId="4AB2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5CF3C2B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13338A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学堂湾</w:t>
                  </w:r>
                </w:p>
              </w:tc>
              <w:tc>
                <w:tcPr>
                  <w:tcW w:w="445" w:type="pct"/>
                  <w:noWrap w:val="0"/>
                  <w:vAlign w:val="center"/>
                </w:tcPr>
                <w:p w14:paraId="64816DC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29</w:t>
                  </w:r>
                </w:p>
              </w:tc>
              <w:tc>
                <w:tcPr>
                  <w:tcW w:w="355" w:type="pct"/>
                  <w:noWrap w:val="0"/>
                  <w:vAlign w:val="center"/>
                </w:tcPr>
                <w:p w14:paraId="75BD8C8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w:t>
                  </w:r>
                  <w:r>
                    <w:rPr>
                      <w:rFonts w:ascii="Times New Roman" w:hAnsi="Times New Roman" w:eastAsia="宋体"/>
                      <w:color w:val="auto"/>
                      <w:spacing w:val="-10"/>
                      <w:kern w:val="0"/>
                      <w:sz w:val="21"/>
                      <w:szCs w:val="21"/>
                      <w:highlight w:val="none"/>
                    </w:rPr>
                    <w:t>295</w:t>
                  </w:r>
                </w:p>
              </w:tc>
              <w:tc>
                <w:tcPr>
                  <w:tcW w:w="709" w:type="pct"/>
                  <w:noWrap w:val="0"/>
                  <w:vAlign w:val="center"/>
                </w:tcPr>
                <w:p w14:paraId="6D88485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0E2C1EB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1户，约</w:t>
                  </w:r>
                  <w:r>
                    <w:rPr>
                      <w:rFonts w:ascii="Times New Roman" w:hAnsi="Times New Roman" w:eastAsia="宋体"/>
                      <w:color w:val="auto"/>
                      <w:kern w:val="0"/>
                      <w:sz w:val="21"/>
                      <w:szCs w:val="21"/>
                      <w:highlight w:val="none"/>
                    </w:rPr>
                    <w:t>3</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4D72696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795BF1C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S</w:t>
                  </w:r>
                  <w:r>
                    <w:rPr>
                      <w:rFonts w:ascii="Times New Roman" w:hAnsi="Times New Roman" w:eastAsia="宋体"/>
                      <w:color w:val="auto"/>
                      <w:kern w:val="0"/>
                      <w:sz w:val="21"/>
                      <w:szCs w:val="21"/>
                      <w:highlight w:val="none"/>
                    </w:rPr>
                    <w:t>E</w:t>
                  </w:r>
                </w:p>
              </w:tc>
              <w:tc>
                <w:tcPr>
                  <w:tcW w:w="737" w:type="pct"/>
                  <w:noWrap w:val="0"/>
                  <w:vAlign w:val="center"/>
                </w:tcPr>
                <w:p w14:paraId="50870D0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w:t>
                  </w:r>
                  <w:r>
                    <w:rPr>
                      <w:rFonts w:ascii="Times New Roman" w:hAnsi="Times New Roman" w:eastAsia="宋体"/>
                      <w:color w:val="auto"/>
                      <w:kern w:val="0"/>
                      <w:sz w:val="21"/>
                      <w:szCs w:val="21"/>
                      <w:highlight w:val="none"/>
                    </w:rPr>
                    <w:t>12~346</w:t>
                  </w:r>
                </w:p>
              </w:tc>
            </w:tr>
            <w:tr w14:paraId="4263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57D358E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53196D9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黄家坝</w:t>
                  </w:r>
                </w:p>
              </w:tc>
              <w:tc>
                <w:tcPr>
                  <w:tcW w:w="445" w:type="pct"/>
                  <w:noWrap w:val="0"/>
                  <w:vAlign w:val="center"/>
                </w:tcPr>
                <w:p w14:paraId="59323BF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0</w:t>
                  </w:r>
                </w:p>
              </w:tc>
              <w:tc>
                <w:tcPr>
                  <w:tcW w:w="355" w:type="pct"/>
                  <w:noWrap w:val="0"/>
                  <w:vAlign w:val="center"/>
                </w:tcPr>
                <w:p w14:paraId="57B6840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ascii="Times New Roman" w:hAnsi="Times New Roman" w:eastAsia="宋体"/>
                      <w:color w:val="auto"/>
                      <w:spacing w:val="-10"/>
                      <w:kern w:val="0"/>
                      <w:sz w:val="21"/>
                      <w:szCs w:val="21"/>
                      <w:highlight w:val="none"/>
                    </w:rPr>
                    <w:t>-</w:t>
                  </w: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85</w:t>
                  </w:r>
                </w:p>
              </w:tc>
              <w:tc>
                <w:tcPr>
                  <w:tcW w:w="709" w:type="pct"/>
                  <w:noWrap w:val="0"/>
                  <w:vAlign w:val="center"/>
                </w:tcPr>
                <w:p w14:paraId="4EBA3BB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5908173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户，约6</w:t>
                  </w:r>
                  <w:r>
                    <w:rPr>
                      <w:rFonts w:ascii="Times New Roman" w:hAnsi="Times New Roman" w:eastAsia="宋体"/>
                      <w:color w:val="auto"/>
                      <w:kern w:val="0"/>
                      <w:sz w:val="21"/>
                      <w:szCs w:val="21"/>
                      <w:highlight w:val="none"/>
                    </w:rPr>
                    <w:t>5</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345F0A6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750AC85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S</w:t>
                  </w:r>
                </w:p>
              </w:tc>
              <w:tc>
                <w:tcPr>
                  <w:tcW w:w="737" w:type="pct"/>
                  <w:noWrap w:val="0"/>
                  <w:vAlign w:val="center"/>
                </w:tcPr>
                <w:p w14:paraId="02E3679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49~383</w:t>
                  </w:r>
                </w:p>
              </w:tc>
            </w:tr>
            <w:tr w14:paraId="4A9D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78474DC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53336C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狮潭村</w:t>
                  </w:r>
                </w:p>
              </w:tc>
              <w:tc>
                <w:tcPr>
                  <w:tcW w:w="445" w:type="pct"/>
                  <w:noWrap w:val="0"/>
                  <w:vAlign w:val="center"/>
                </w:tcPr>
                <w:p w14:paraId="15B2F54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0</w:t>
                  </w:r>
                </w:p>
              </w:tc>
              <w:tc>
                <w:tcPr>
                  <w:tcW w:w="355" w:type="pct"/>
                  <w:noWrap w:val="0"/>
                  <w:vAlign w:val="center"/>
                </w:tcPr>
                <w:p w14:paraId="46CDF02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97</w:t>
                  </w:r>
                </w:p>
              </w:tc>
              <w:tc>
                <w:tcPr>
                  <w:tcW w:w="709" w:type="pct"/>
                  <w:noWrap w:val="0"/>
                  <w:vAlign w:val="center"/>
                </w:tcPr>
                <w:p w14:paraId="5331A55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01E6571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户，约1</w:t>
                  </w:r>
                  <w:r>
                    <w:rPr>
                      <w:rFonts w:ascii="Times New Roman" w:hAnsi="Times New Roman" w:eastAsia="宋体"/>
                      <w:color w:val="auto"/>
                      <w:kern w:val="0"/>
                      <w:sz w:val="21"/>
                      <w:szCs w:val="21"/>
                      <w:highlight w:val="none"/>
                    </w:rPr>
                    <w:t>00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0953FDD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587FD46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S</w:t>
                  </w:r>
                </w:p>
              </w:tc>
              <w:tc>
                <w:tcPr>
                  <w:tcW w:w="737" w:type="pct"/>
                  <w:noWrap w:val="0"/>
                  <w:vAlign w:val="center"/>
                </w:tcPr>
                <w:p w14:paraId="6EF1695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w:t>
                  </w:r>
                  <w:r>
                    <w:rPr>
                      <w:rFonts w:ascii="Times New Roman" w:hAnsi="Times New Roman" w:eastAsia="宋体"/>
                      <w:color w:val="auto"/>
                      <w:kern w:val="0"/>
                      <w:sz w:val="21"/>
                      <w:szCs w:val="21"/>
                      <w:highlight w:val="none"/>
                    </w:rPr>
                    <w:t>6~372</w:t>
                  </w:r>
                </w:p>
              </w:tc>
            </w:tr>
            <w:tr w14:paraId="7A0E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55383FE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5514595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双江村</w:t>
                  </w:r>
                </w:p>
              </w:tc>
              <w:tc>
                <w:tcPr>
                  <w:tcW w:w="445" w:type="pct"/>
                  <w:noWrap w:val="0"/>
                  <w:vAlign w:val="center"/>
                </w:tcPr>
                <w:p w14:paraId="633B895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w:t>
                  </w:r>
                  <w:r>
                    <w:rPr>
                      <w:rFonts w:ascii="Times New Roman" w:hAnsi="Times New Roman" w:eastAsia="宋体"/>
                      <w:color w:val="auto"/>
                      <w:spacing w:val="-10"/>
                      <w:kern w:val="0"/>
                      <w:sz w:val="21"/>
                      <w:szCs w:val="21"/>
                      <w:highlight w:val="none"/>
                    </w:rPr>
                    <w:t>197</w:t>
                  </w:r>
                </w:p>
              </w:tc>
              <w:tc>
                <w:tcPr>
                  <w:tcW w:w="355" w:type="pct"/>
                  <w:noWrap w:val="0"/>
                  <w:vAlign w:val="center"/>
                </w:tcPr>
                <w:p w14:paraId="197DBFF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23</w:t>
                  </w:r>
                </w:p>
              </w:tc>
              <w:tc>
                <w:tcPr>
                  <w:tcW w:w="709" w:type="pct"/>
                  <w:noWrap w:val="0"/>
                  <w:vAlign w:val="center"/>
                </w:tcPr>
                <w:p w14:paraId="665458F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4358F01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户，约6</w:t>
                  </w:r>
                  <w:r>
                    <w:rPr>
                      <w:rFonts w:ascii="Times New Roman" w:hAnsi="Times New Roman" w:eastAsia="宋体"/>
                      <w:color w:val="auto"/>
                      <w:kern w:val="0"/>
                      <w:sz w:val="21"/>
                      <w:szCs w:val="21"/>
                      <w:highlight w:val="none"/>
                    </w:rPr>
                    <w:t>5</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3D3EB4F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72929C5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W</w:t>
                  </w:r>
                </w:p>
              </w:tc>
              <w:tc>
                <w:tcPr>
                  <w:tcW w:w="737" w:type="pct"/>
                  <w:noWrap w:val="0"/>
                  <w:vAlign w:val="center"/>
                </w:tcPr>
                <w:p w14:paraId="6A0C3C7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18~468</w:t>
                  </w:r>
                </w:p>
              </w:tc>
            </w:tr>
            <w:tr w14:paraId="5438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214744F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4FC6DE9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糖坊院子</w:t>
                  </w:r>
                </w:p>
              </w:tc>
              <w:tc>
                <w:tcPr>
                  <w:tcW w:w="445" w:type="pct"/>
                  <w:noWrap w:val="0"/>
                  <w:vAlign w:val="center"/>
                </w:tcPr>
                <w:p w14:paraId="23EAE60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4</w:t>
                  </w:r>
                  <w:r>
                    <w:rPr>
                      <w:rFonts w:ascii="Times New Roman" w:hAnsi="Times New Roman" w:eastAsia="宋体"/>
                      <w:color w:val="auto"/>
                      <w:spacing w:val="-10"/>
                      <w:kern w:val="0"/>
                      <w:sz w:val="21"/>
                      <w:szCs w:val="21"/>
                      <w:highlight w:val="none"/>
                    </w:rPr>
                    <w:t>82</w:t>
                  </w:r>
                </w:p>
              </w:tc>
              <w:tc>
                <w:tcPr>
                  <w:tcW w:w="355" w:type="pct"/>
                  <w:noWrap w:val="0"/>
                  <w:vAlign w:val="center"/>
                </w:tcPr>
                <w:p w14:paraId="1602665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2</w:t>
                  </w:r>
                  <w:r>
                    <w:rPr>
                      <w:rFonts w:ascii="Times New Roman" w:hAnsi="Times New Roman" w:eastAsia="宋体"/>
                      <w:color w:val="auto"/>
                      <w:spacing w:val="-10"/>
                      <w:kern w:val="0"/>
                      <w:sz w:val="21"/>
                      <w:szCs w:val="21"/>
                      <w:highlight w:val="none"/>
                    </w:rPr>
                    <w:t>83</w:t>
                  </w:r>
                </w:p>
              </w:tc>
              <w:tc>
                <w:tcPr>
                  <w:tcW w:w="709" w:type="pct"/>
                  <w:noWrap w:val="0"/>
                  <w:vAlign w:val="center"/>
                </w:tcPr>
                <w:p w14:paraId="527EBDB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74A60E1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2</w:t>
                  </w:r>
                  <w:r>
                    <w:rPr>
                      <w:rFonts w:hint="eastAsia" w:ascii="Times New Roman" w:hAnsi="Times New Roman" w:eastAsia="宋体"/>
                      <w:color w:val="auto"/>
                      <w:kern w:val="0"/>
                      <w:sz w:val="21"/>
                      <w:szCs w:val="21"/>
                      <w:highlight w:val="none"/>
                    </w:rPr>
                    <w:t>户，约4</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73341E7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65DF685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E</w:t>
                  </w:r>
                </w:p>
              </w:tc>
              <w:tc>
                <w:tcPr>
                  <w:tcW w:w="737" w:type="pct"/>
                  <w:noWrap w:val="0"/>
                  <w:vAlign w:val="center"/>
                </w:tcPr>
                <w:p w14:paraId="1970DA6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w:t>
                  </w:r>
                  <w:r>
                    <w:rPr>
                      <w:rFonts w:ascii="Times New Roman" w:hAnsi="Times New Roman" w:eastAsia="宋体"/>
                      <w:color w:val="auto"/>
                      <w:kern w:val="0"/>
                      <w:sz w:val="21"/>
                      <w:szCs w:val="21"/>
                      <w:highlight w:val="none"/>
                    </w:rPr>
                    <w:t>7~320</w:t>
                  </w:r>
                </w:p>
              </w:tc>
            </w:tr>
            <w:tr w14:paraId="4476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36A3F14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72AE197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杨家场镇</w:t>
                  </w:r>
                </w:p>
              </w:tc>
              <w:tc>
                <w:tcPr>
                  <w:tcW w:w="445" w:type="pct"/>
                  <w:noWrap w:val="0"/>
                  <w:vAlign w:val="center"/>
                </w:tcPr>
                <w:p w14:paraId="62DF858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0</w:t>
                  </w:r>
                </w:p>
              </w:tc>
              <w:tc>
                <w:tcPr>
                  <w:tcW w:w="355" w:type="pct"/>
                  <w:noWrap w:val="0"/>
                  <w:vAlign w:val="center"/>
                </w:tcPr>
                <w:p w14:paraId="5803853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5</w:t>
                  </w:r>
                  <w:r>
                    <w:rPr>
                      <w:rFonts w:ascii="Times New Roman" w:hAnsi="Times New Roman" w:eastAsia="宋体"/>
                      <w:color w:val="auto"/>
                      <w:spacing w:val="-10"/>
                      <w:kern w:val="0"/>
                      <w:sz w:val="21"/>
                      <w:szCs w:val="21"/>
                      <w:highlight w:val="none"/>
                    </w:rPr>
                    <w:t>21</w:t>
                  </w:r>
                </w:p>
              </w:tc>
              <w:tc>
                <w:tcPr>
                  <w:tcW w:w="709" w:type="pct"/>
                  <w:noWrap w:val="0"/>
                  <w:vAlign w:val="center"/>
                </w:tcPr>
                <w:p w14:paraId="14D20C2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居民区</w:t>
                  </w:r>
                </w:p>
              </w:tc>
              <w:tc>
                <w:tcPr>
                  <w:tcW w:w="709" w:type="pct"/>
                  <w:noWrap w:val="0"/>
                  <w:vAlign w:val="center"/>
                </w:tcPr>
                <w:p w14:paraId="780BE43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约4</w:t>
                  </w:r>
                  <w:r>
                    <w:rPr>
                      <w:rFonts w:ascii="Times New Roman" w:hAnsi="Times New Roman" w:eastAsia="宋体"/>
                      <w:color w:val="auto"/>
                      <w:kern w:val="0"/>
                      <w:sz w:val="21"/>
                      <w:szCs w:val="21"/>
                      <w:highlight w:val="none"/>
                    </w:rPr>
                    <w:t>000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0886314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2AF0513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N</w:t>
                  </w:r>
                </w:p>
              </w:tc>
              <w:tc>
                <w:tcPr>
                  <w:tcW w:w="737" w:type="pct"/>
                  <w:noWrap w:val="0"/>
                  <w:vAlign w:val="center"/>
                </w:tcPr>
                <w:p w14:paraId="7175AA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7~500</w:t>
                  </w:r>
                </w:p>
              </w:tc>
            </w:tr>
            <w:tr w14:paraId="4C69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1620BB8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36FB86C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陶家咀</w:t>
                  </w:r>
                </w:p>
              </w:tc>
              <w:tc>
                <w:tcPr>
                  <w:tcW w:w="445" w:type="pct"/>
                  <w:noWrap w:val="0"/>
                  <w:vAlign w:val="center"/>
                </w:tcPr>
                <w:p w14:paraId="6FBA824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4</w:t>
                  </w:r>
                  <w:r>
                    <w:rPr>
                      <w:rFonts w:ascii="Times New Roman" w:hAnsi="Times New Roman" w:eastAsia="宋体"/>
                      <w:color w:val="auto"/>
                      <w:spacing w:val="-10"/>
                      <w:kern w:val="0"/>
                      <w:sz w:val="21"/>
                      <w:szCs w:val="21"/>
                      <w:highlight w:val="none"/>
                    </w:rPr>
                    <w:t>47</w:t>
                  </w:r>
                </w:p>
              </w:tc>
              <w:tc>
                <w:tcPr>
                  <w:tcW w:w="355" w:type="pct"/>
                  <w:noWrap w:val="0"/>
                  <w:vAlign w:val="center"/>
                </w:tcPr>
                <w:p w14:paraId="43B9F2D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7</w:t>
                  </w:r>
                  <w:r>
                    <w:rPr>
                      <w:rFonts w:ascii="Times New Roman" w:hAnsi="Times New Roman" w:eastAsia="宋体"/>
                      <w:color w:val="auto"/>
                      <w:spacing w:val="-10"/>
                      <w:kern w:val="0"/>
                      <w:sz w:val="21"/>
                      <w:szCs w:val="21"/>
                      <w:highlight w:val="none"/>
                    </w:rPr>
                    <w:t>85</w:t>
                  </w:r>
                </w:p>
              </w:tc>
              <w:tc>
                <w:tcPr>
                  <w:tcW w:w="709" w:type="pct"/>
                  <w:noWrap w:val="0"/>
                  <w:vAlign w:val="center"/>
                </w:tcPr>
                <w:p w14:paraId="3C8A5AD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6E0AA6B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5</w:t>
                  </w:r>
                  <w:r>
                    <w:rPr>
                      <w:rFonts w:hint="eastAsia" w:ascii="Times New Roman" w:hAnsi="Times New Roman" w:eastAsia="宋体"/>
                      <w:color w:val="auto"/>
                      <w:kern w:val="0"/>
                      <w:sz w:val="21"/>
                      <w:szCs w:val="21"/>
                      <w:highlight w:val="none"/>
                    </w:rPr>
                    <w:t>户，约5</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7CA6186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386A4DD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E</w:t>
                  </w:r>
                </w:p>
              </w:tc>
              <w:tc>
                <w:tcPr>
                  <w:tcW w:w="737" w:type="pct"/>
                  <w:noWrap w:val="0"/>
                  <w:vAlign w:val="center"/>
                </w:tcPr>
                <w:p w14:paraId="1DF30FC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w:t>
                  </w:r>
                  <w:r>
                    <w:rPr>
                      <w:rFonts w:ascii="Times New Roman" w:hAnsi="Times New Roman" w:eastAsia="宋体"/>
                      <w:color w:val="auto"/>
                      <w:kern w:val="0"/>
                      <w:sz w:val="21"/>
                      <w:szCs w:val="21"/>
                      <w:highlight w:val="none"/>
                    </w:rPr>
                    <w:t>0~299</w:t>
                  </w:r>
                </w:p>
              </w:tc>
            </w:tr>
            <w:tr w14:paraId="0327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2FF8B43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5C3A5E8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白虎沟</w:t>
                  </w:r>
                </w:p>
              </w:tc>
              <w:tc>
                <w:tcPr>
                  <w:tcW w:w="445" w:type="pct"/>
                  <w:noWrap w:val="0"/>
                  <w:vAlign w:val="center"/>
                </w:tcPr>
                <w:p w14:paraId="5BB212B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7</w:t>
                  </w:r>
                  <w:r>
                    <w:rPr>
                      <w:rFonts w:ascii="Times New Roman" w:hAnsi="Times New Roman" w:eastAsia="宋体"/>
                      <w:color w:val="auto"/>
                      <w:spacing w:val="-10"/>
                      <w:kern w:val="0"/>
                      <w:sz w:val="21"/>
                      <w:szCs w:val="21"/>
                      <w:highlight w:val="none"/>
                    </w:rPr>
                    <w:t>66</w:t>
                  </w:r>
                </w:p>
              </w:tc>
              <w:tc>
                <w:tcPr>
                  <w:tcW w:w="355" w:type="pct"/>
                  <w:noWrap w:val="0"/>
                  <w:vAlign w:val="center"/>
                </w:tcPr>
                <w:p w14:paraId="7D90F2A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9</w:t>
                  </w:r>
                  <w:r>
                    <w:rPr>
                      <w:rFonts w:ascii="Times New Roman" w:hAnsi="Times New Roman" w:eastAsia="宋体"/>
                      <w:color w:val="auto"/>
                      <w:spacing w:val="-10"/>
                      <w:kern w:val="0"/>
                      <w:sz w:val="21"/>
                      <w:szCs w:val="21"/>
                      <w:highlight w:val="none"/>
                    </w:rPr>
                    <w:t>04</w:t>
                  </w:r>
                </w:p>
              </w:tc>
              <w:tc>
                <w:tcPr>
                  <w:tcW w:w="709" w:type="pct"/>
                  <w:noWrap w:val="0"/>
                  <w:vAlign w:val="center"/>
                </w:tcPr>
                <w:p w14:paraId="55BE8DF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7F6411B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3户，约1</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62C222B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516C783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E</w:t>
                  </w:r>
                </w:p>
              </w:tc>
              <w:tc>
                <w:tcPr>
                  <w:tcW w:w="737" w:type="pct"/>
                  <w:noWrap w:val="0"/>
                  <w:vAlign w:val="center"/>
                </w:tcPr>
                <w:p w14:paraId="0B0E7DE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w:t>
                  </w:r>
                  <w:r>
                    <w:rPr>
                      <w:rFonts w:ascii="Times New Roman" w:hAnsi="Times New Roman" w:eastAsia="宋体"/>
                      <w:color w:val="auto"/>
                      <w:kern w:val="0"/>
                      <w:sz w:val="21"/>
                      <w:szCs w:val="21"/>
                      <w:highlight w:val="none"/>
                    </w:rPr>
                    <w:t>75~386</w:t>
                  </w:r>
                </w:p>
              </w:tc>
            </w:tr>
            <w:tr w14:paraId="1E9C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4B418F9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54A442E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杨柏岩</w:t>
                  </w:r>
                </w:p>
              </w:tc>
              <w:tc>
                <w:tcPr>
                  <w:tcW w:w="445" w:type="pct"/>
                  <w:noWrap w:val="0"/>
                  <w:vAlign w:val="center"/>
                </w:tcPr>
                <w:p w14:paraId="4978CDF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3</w:t>
                  </w:r>
                  <w:r>
                    <w:rPr>
                      <w:rFonts w:ascii="Times New Roman" w:hAnsi="Times New Roman" w:eastAsia="宋体"/>
                      <w:color w:val="auto"/>
                      <w:spacing w:val="-10"/>
                      <w:kern w:val="0"/>
                      <w:sz w:val="21"/>
                      <w:szCs w:val="21"/>
                      <w:highlight w:val="none"/>
                    </w:rPr>
                    <w:t>86</w:t>
                  </w:r>
                </w:p>
              </w:tc>
              <w:tc>
                <w:tcPr>
                  <w:tcW w:w="355" w:type="pct"/>
                  <w:noWrap w:val="0"/>
                  <w:vAlign w:val="center"/>
                </w:tcPr>
                <w:p w14:paraId="7D5BEEB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165</w:t>
                  </w:r>
                </w:p>
              </w:tc>
              <w:tc>
                <w:tcPr>
                  <w:tcW w:w="709" w:type="pct"/>
                  <w:noWrap w:val="0"/>
                  <w:vAlign w:val="center"/>
                </w:tcPr>
                <w:p w14:paraId="5AEE3C5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5414FC7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户，约3</w:t>
                  </w:r>
                  <w:r>
                    <w:rPr>
                      <w:rFonts w:ascii="Times New Roman" w:hAnsi="Times New Roman" w:eastAsia="宋体"/>
                      <w:color w:val="auto"/>
                      <w:kern w:val="0"/>
                      <w:sz w:val="21"/>
                      <w:szCs w:val="21"/>
                      <w:highlight w:val="none"/>
                    </w:rPr>
                    <w:t>5</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6323711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6E8880F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E</w:t>
                  </w:r>
                </w:p>
              </w:tc>
              <w:tc>
                <w:tcPr>
                  <w:tcW w:w="737" w:type="pct"/>
                  <w:noWrap w:val="0"/>
                  <w:vAlign w:val="center"/>
                </w:tcPr>
                <w:p w14:paraId="2DEC53E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77~474</w:t>
                  </w:r>
                </w:p>
              </w:tc>
            </w:tr>
            <w:tr w14:paraId="6728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60E6D73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10E2672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六堰社区</w:t>
                  </w:r>
                </w:p>
              </w:tc>
              <w:tc>
                <w:tcPr>
                  <w:tcW w:w="445" w:type="pct"/>
                  <w:noWrap w:val="0"/>
                  <w:vAlign w:val="center"/>
                </w:tcPr>
                <w:p w14:paraId="7BE3AC8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w:t>
                  </w:r>
                  <w:r>
                    <w:rPr>
                      <w:rFonts w:ascii="Times New Roman" w:hAnsi="Times New Roman" w:eastAsia="宋体"/>
                      <w:color w:val="auto"/>
                      <w:spacing w:val="-10"/>
                      <w:kern w:val="0"/>
                      <w:sz w:val="21"/>
                      <w:szCs w:val="21"/>
                      <w:highlight w:val="none"/>
                    </w:rPr>
                    <w:t>309</w:t>
                  </w:r>
                </w:p>
              </w:tc>
              <w:tc>
                <w:tcPr>
                  <w:tcW w:w="355" w:type="pct"/>
                  <w:noWrap w:val="0"/>
                  <w:vAlign w:val="center"/>
                </w:tcPr>
                <w:p w14:paraId="4092485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352</w:t>
                  </w:r>
                </w:p>
              </w:tc>
              <w:tc>
                <w:tcPr>
                  <w:tcW w:w="709" w:type="pct"/>
                  <w:noWrap w:val="0"/>
                  <w:vAlign w:val="center"/>
                </w:tcPr>
                <w:p w14:paraId="6DA96E8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09C0FDA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3</w:t>
                  </w:r>
                  <w:r>
                    <w:rPr>
                      <w:rFonts w:hint="eastAsia" w:ascii="Times New Roman" w:hAnsi="Times New Roman" w:eastAsia="宋体"/>
                      <w:color w:val="auto"/>
                      <w:kern w:val="0"/>
                      <w:sz w:val="21"/>
                      <w:szCs w:val="21"/>
                      <w:highlight w:val="none"/>
                    </w:rPr>
                    <w:t>户，约4</w:t>
                  </w:r>
                  <w:r>
                    <w:rPr>
                      <w:rFonts w:ascii="Times New Roman" w:hAnsi="Times New Roman" w:eastAsia="宋体"/>
                      <w:color w:val="auto"/>
                      <w:kern w:val="0"/>
                      <w:sz w:val="21"/>
                      <w:szCs w:val="21"/>
                      <w:highlight w:val="none"/>
                    </w:rPr>
                    <w:t>3</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7F807B0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23EBADC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W</w:t>
                  </w:r>
                </w:p>
              </w:tc>
              <w:tc>
                <w:tcPr>
                  <w:tcW w:w="737" w:type="pct"/>
                  <w:noWrap w:val="0"/>
                  <w:vAlign w:val="center"/>
                </w:tcPr>
                <w:p w14:paraId="7F7D3F9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w:t>
                  </w:r>
                  <w:r>
                    <w:rPr>
                      <w:rFonts w:ascii="Times New Roman" w:hAnsi="Times New Roman" w:eastAsia="宋体"/>
                      <w:color w:val="auto"/>
                      <w:kern w:val="0"/>
                      <w:sz w:val="21"/>
                      <w:szCs w:val="21"/>
                      <w:highlight w:val="none"/>
                    </w:rPr>
                    <w:t>15~500</w:t>
                  </w:r>
                </w:p>
              </w:tc>
            </w:tr>
            <w:tr w14:paraId="0BD2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restart"/>
                  <w:noWrap w:val="0"/>
                  <w:vAlign w:val="center"/>
                </w:tcPr>
                <w:p w14:paraId="7A64DC9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声环境</w:t>
                  </w:r>
                </w:p>
              </w:tc>
              <w:tc>
                <w:tcPr>
                  <w:tcW w:w="709" w:type="pct"/>
                  <w:noWrap w:val="0"/>
                  <w:vAlign w:val="center"/>
                </w:tcPr>
                <w:p w14:paraId="5387A03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狮潭村</w:t>
                  </w:r>
                </w:p>
              </w:tc>
              <w:tc>
                <w:tcPr>
                  <w:tcW w:w="445" w:type="pct"/>
                  <w:noWrap w:val="0"/>
                  <w:vAlign w:val="center"/>
                </w:tcPr>
                <w:p w14:paraId="62BCF8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0</w:t>
                  </w:r>
                </w:p>
              </w:tc>
              <w:tc>
                <w:tcPr>
                  <w:tcW w:w="355" w:type="pct"/>
                  <w:noWrap w:val="0"/>
                  <w:vAlign w:val="center"/>
                </w:tcPr>
                <w:p w14:paraId="0B3FB1A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1</w:t>
                  </w:r>
                  <w:r>
                    <w:rPr>
                      <w:rFonts w:ascii="Times New Roman" w:hAnsi="Times New Roman" w:eastAsia="宋体"/>
                      <w:color w:val="auto"/>
                      <w:spacing w:val="-10"/>
                      <w:kern w:val="0"/>
                      <w:sz w:val="21"/>
                      <w:szCs w:val="21"/>
                      <w:highlight w:val="none"/>
                    </w:rPr>
                    <w:t>97</w:t>
                  </w:r>
                </w:p>
              </w:tc>
              <w:tc>
                <w:tcPr>
                  <w:tcW w:w="709" w:type="pct"/>
                  <w:noWrap w:val="0"/>
                  <w:vAlign w:val="center"/>
                </w:tcPr>
                <w:p w14:paraId="61D6103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78C5EDE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ascii="Times New Roman" w:hAnsi="Times New Roman" w:eastAsia="宋体"/>
                      <w:color w:val="auto"/>
                      <w:kern w:val="0"/>
                      <w:sz w:val="21"/>
                      <w:szCs w:val="21"/>
                      <w:highlight w:val="none"/>
                    </w:rPr>
                    <w:t>6</w:t>
                  </w:r>
                  <w:r>
                    <w:rPr>
                      <w:rFonts w:hint="eastAsia" w:ascii="Times New Roman" w:hAnsi="Times New Roman" w:eastAsia="宋体"/>
                      <w:color w:val="auto"/>
                      <w:kern w:val="0"/>
                      <w:sz w:val="21"/>
                      <w:szCs w:val="21"/>
                      <w:highlight w:val="none"/>
                    </w:rPr>
                    <w:t>户，约2</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人</w:t>
                  </w:r>
                </w:p>
              </w:tc>
              <w:tc>
                <w:tcPr>
                  <w:tcW w:w="442" w:type="pct"/>
                  <w:vMerge w:val="restart"/>
                  <w:noWrap w:val="0"/>
                  <w:vAlign w:val="center"/>
                </w:tcPr>
                <w:p w14:paraId="0A5FA23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2类声功能区</w:t>
                  </w:r>
                </w:p>
              </w:tc>
              <w:tc>
                <w:tcPr>
                  <w:tcW w:w="442" w:type="pct"/>
                  <w:noWrap w:val="0"/>
                  <w:vAlign w:val="center"/>
                </w:tcPr>
                <w:p w14:paraId="19E8DCC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p>
              </w:tc>
              <w:tc>
                <w:tcPr>
                  <w:tcW w:w="737" w:type="pct"/>
                  <w:noWrap w:val="0"/>
                  <w:vAlign w:val="center"/>
                </w:tcPr>
                <w:p w14:paraId="0D5FB80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w:t>
                  </w:r>
                  <w:r>
                    <w:rPr>
                      <w:rFonts w:ascii="Times New Roman" w:hAnsi="Times New Roman" w:eastAsia="宋体"/>
                      <w:color w:val="auto"/>
                      <w:kern w:val="0"/>
                      <w:sz w:val="21"/>
                      <w:szCs w:val="21"/>
                      <w:highlight w:val="none"/>
                    </w:rPr>
                    <w:t>6~50</w:t>
                  </w:r>
                </w:p>
              </w:tc>
            </w:tr>
            <w:tr w14:paraId="1CB7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511479E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09AA398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杨家场镇</w:t>
                  </w:r>
                </w:p>
              </w:tc>
              <w:tc>
                <w:tcPr>
                  <w:tcW w:w="445" w:type="pct"/>
                  <w:noWrap w:val="0"/>
                  <w:vAlign w:val="center"/>
                </w:tcPr>
                <w:p w14:paraId="6988D21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0</w:t>
                  </w:r>
                </w:p>
              </w:tc>
              <w:tc>
                <w:tcPr>
                  <w:tcW w:w="355" w:type="pct"/>
                  <w:noWrap w:val="0"/>
                  <w:vAlign w:val="center"/>
                </w:tcPr>
                <w:p w14:paraId="062E492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5</w:t>
                  </w:r>
                  <w:r>
                    <w:rPr>
                      <w:rFonts w:ascii="Times New Roman" w:hAnsi="Times New Roman" w:eastAsia="宋体"/>
                      <w:color w:val="auto"/>
                      <w:spacing w:val="-10"/>
                      <w:kern w:val="0"/>
                      <w:sz w:val="21"/>
                      <w:szCs w:val="21"/>
                      <w:highlight w:val="none"/>
                    </w:rPr>
                    <w:t>21</w:t>
                  </w:r>
                </w:p>
              </w:tc>
              <w:tc>
                <w:tcPr>
                  <w:tcW w:w="709" w:type="pct"/>
                  <w:noWrap w:val="0"/>
                  <w:vAlign w:val="center"/>
                </w:tcPr>
                <w:p w14:paraId="6CAE54E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7556FC7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约</w:t>
                  </w:r>
                  <w:r>
                    <w:rPr>
                      <w:rFonts w:ascii="Times New Roman" w:hAnsi="Times New Roman" w:eastAsia="宋体"/>
                      <w:color w:val="auto"/>
                      <w:kern w:val="0"/>
                      <w:sz w:val="21"/>
                      <w:szCs w:val="21"/>
                      <w:highlight w:val="none"/>
                    </w:rPr>
                    <w:t>40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76B2B26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4B86FF0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p>
              </w:tc>
              <w:tc>
                <w:tcPr>
                  <w:tcW w:w="737" w:type="pct"/>
                  <w:noWrap w:val="0"/>
                  <w:vAlign w:val="center"/>
                </w:tcPr>
                <w:p w14:paraId="6D2B643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7~50</w:t>
                  </w:r>
                </w:p>
              </w:tc>
            </w:tr>
            <w:tr w14:paraId="7DF0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0F5AFE4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1CEA788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糖坊院子</w:t>
                  </w:r>
                </w:p>
              </w:tc>
              <w:tc>
                <w:tcPr>
                  <w:tcW w:w="445" w:type="pct"/>
                  <w:noWrap w:val="0"/>
                  <w:vAlign w:val="center"/>
                </w:tcPr>
                <w:p w14:paraId="6645E4B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4</w:t>
                  </w:r>
                  <w:r>
                    <w:rPr>
                      <w:rFonts w:ascii="Times New Roman" w:hAnsi="Times New Roman" w:eastAsia="宋体"/>
                      <w:color w:val="auto"/>
                      <w:spacing w:val="-10"/>
                      <w:kern w:val="0"/>
                      <w:sz w:val="21"/>
                      <w:szCs w:val="21"/>
                      <w:highlight w:val="none"/>
                    </w:rPr>
                    <w:t>82</w:t>
                  </w:r>
                </w:p>
              </w:tc>
              <w:tc>
                <w:tcPr>
                  <w:tcW w:w="355" w:type="pct"/>
                  <w:noWrap w:val="0"/>
                  <w:vAlign w:val="center"/>
                </w:tcPr>
                <w:p w14:paraId="0B10897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2</w:t>
                  </w:r>
                  <w:r>
                    <w:rPr>
                      <w:rFonts w:ascii="Times New Roman" w:hAnsi="Times New Roman" w:eastAsia="宋体"/>
                      <w:color w:val="auto"/>
                      <w:spacing w:val="-10"/>
                      <w:kern w:val="0"/>
                      <w:sz w:val="21"/>
                      <w:szCs w:val="21"/>
                      <w:highlight w:val="none"/>
                    </w:rPr>
                    <w:t>83</w:t>
                  </w:r>
                </w:p>
              </w:tc>
              <w:tc>
                <w:tcPr>
                  <w:tcW w:w="709" w:type="pct"/>
                  <w:noWrap w:val="0"/>
                  <w:vAlign w:val="center"/>
                </w:tcPr>
                <w:p w14:paraId="6A8D102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1579F4C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1</w:t>
                  </w:r>
                  <w:r>
                    <w:rPr>
                      <w:rFonts w:ascii="Times New Roman" w:hAnsi="Times New Roman" w:eastAsia="宋体"/>
                      <w:color w:val="auto"/>
                      <w:kern w:val="0"/>
                      <w:sz w:val="21"/>
                      <w:szCs w:val="21"/>
                      <w:highlight w:val="none"/>
                    </w:rPr>
                    <w:t>2</w:t>
                  </w:r>
                  <w:r>
                    <w:rPr>
                      <w:rFonts w:hint="eastAsia" w:ascii="Times New Roman" w:hAnsi="Times New Roman" w:eastAsia="宋体"/>
                      <w:color w:val="auto"/>
                      <w:kern w:val="0"/>
                      <w:sz w:val="21"/>
                      <w:szCs w:val="21"/>
                      <w:highlight w:val="none"/>
                    </w:rPr>
                    <w:t>户，约4</w:t>
                  </w:r>
                  <w:r>
                    <w:rPr>
                      <w:rFonts w:ascii="Times New Roman" w:hAnsi="Times New Roman" w:eastAsia="宋体"/>
                      <w:color w:val="auto"/>
                      <w:kern w:val="0"/>
                      <w:sz w:val="21"/>
                      <w:szCs w:val="21"/>
                      <w:highlight w:val="none"/>
                    </w:rPr>
                    <w:t>0</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510B13A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65F191B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E</w:t>
                  </w:r>
                </w:p>
              </w:tc>
              <w:tc>
                <w:tcPr>
                  <w:tcW w:w="737" w:type="pct"/>
                  <w:noWrap w:val="0"/>
                  <w:vAlign w:val="center"/>
                </w:tcPr>
                <w:p w14:paraId="2DE18D3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2</w:t>
                  </w:r>
                  <w:r>
                    <w:rPr>
                      <w:rFonts w:ascii="Times New Roman" w:hAnsi="Times New Roman" w:eastAsia="宋体"/>
                      <w:color w:val="auto"/>
                      <w:kern w:val="0"/>
                      <w:sz w:val="21"/>
                      <w:szCs w:val="21"/>
                      <w:highlight w:val="none"/>
                    </w:rPr>
                    <w:t>7~50</w:t>
                  </w:r>
                </w:p>
              </w:tc>
            </w:tr>
            <w:tr w14:paraId="508E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noWrap w:val="0"/>
                  <w:vAlign w:val="center"/>
                </w:tcPr>
                <w:p w14:paraId="23A82CE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709" w:type="pct"/>
                  <w:noWrap w:val="0"/>
                  <w:vAlign w:val="center"/>
                </w:tcPr>
                <w:p w14:paraId="2837F24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陶家咀</w:t>
                  </w:r>
                </w:p>
              </w:tc>
              <w:tc>
                <w:tcPr>
                  <w:tcW w:w="445" w:type="pct"/>
                  <w:noWrap w:val="0"/>
                  <w:vAlign w:val="center"/>
                </w:tcPr>
                <w:p w14:paraId="3617974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4</w:t>
                  </w:r>
                  <w:r>
                    <w:rPr>
                      <w:rFonts w:ascii="Times New Roman" w:hAnsi="Times New Roman" w:eastAsia="宋体"/>
                      <w:color w:val="auto"/>
                      <w:spacing w:val="-10"/>
                      <w:kern w:val="0"/>
                      <w:sz w:val="21"/>
                      <w:szCs w:val="21"/>
                      <w:highlight w:val="none"/>
                    </w:rPr>
                    <w:t>47</w:t>
                  </w:r>
                </w:p>
              </w:tc>
              <w:tc>
                <w:tcPr>
                  <w:tcW w:w="355" w:type="pct"/>
                  <w:noWrap w:val="0"/>
                  <w:vAlign w:val="center"/>
                </w:tcPr>
                <w:p w14:paraId="64AA728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pacing w:val="-10"/>
                      <w:kern w:val="0"/>
                      <w:sz w:val="21"/>
                      <w:szCs w:val="21"/>
                      <w:highlight w:val="none"/>
                    </w:rPr>
                  </w:pPr>
                  <w:r>
                    <w:rPr>
                      <w:rFonts w:hint="eastAsia" w:ascii="Times New Roman" w:hAnsi="Times New Roman" w:eastAsia="宋体"/>
                      <w:color w:val="auto"/>
                      <w:spacing w:val="-10"/>
                      <w:kern w:val="0"/>
                      <w:sz w:val="21"/>
                      <w:szCs w:val="21"/>
                      <w:highlight w:val="none"/>
                    </w:rPr>
                    <w:t>7</w:t>
                  </w:r>
                  <w:r>
                    <w:rPr>
                      <w:rFonts w:ascii="Times New Roman" w:hAnsi="Times New Roman" w:eastAsia="宋体"/>
                      <w:color w:val="auto"/>
                      <w:spacing w:val="-10"/>
                      <w:kern w:val="0"/>
                      <w:sz w:val="21"/>
                      <w:szCs w:val="21"/>
                      <w:highlight w:val="none"/>
                    </w:rPr>
                    <w:t>85</w:t>
                  </w:r>
                </w:p>
              </w:tc>
              <w:tc>
                <w:tcPr>
                  <w:tcW w:w="709" w:type="pct"/>
                  <w:noWrap w:val="0"/>
                  <w:vAlign w:val="center"/>
                </w:tcPr>
                <w:p w14:paraId="2D01059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sz w:val="21"/>
                      <w:highlight w:val="none"/>
                    </w:rPr>
                  </w:pPr>
                  <w:r>
                    <w:rPr>
                      <w:rFonts w:hint="eastAsia" w:ascii="Times New Roman" w:hAnsi="Times New Roman" w:eastAsia="宋体"/>
                      <w:color w:val="auto"/>
                      <w:kern w:val="0"/>
                      <w:sz w:val="21"/>
                      <w:szCs w:val="21"/>
                      <w:highlight w:val="none"/>
                    </w:rPr>
                    <w:t>散户居民</w:t>
                  </w:r>
                </w:p>
              </w:tc>
              <w:tc>
                <w:tcPr>
                  <w:tcW w:w="709" w:type="pct"/>
                  <w:noWrap w:val="0"/>
                  <w:vAlign w:val="center"/>
                </w:tcPr>
                <w:p w14:paraId="3B738CF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5户，约1</w:t>
                  </w:r>
                  <w:r>
                    <w:rPr>
                      <w:rFonts w:ascii="Times New Roman" w:hAnsi="Times New Roman" w:eastAsia="宋体"/>
                      <w:color w:val="auto"/>
                      <w:kern w:val="0"/>
                      <w:sz w:val="21"/>
                      <w:szCs w:val="21"/>
                      <w:highlight w:val="none"/>
                    </w:rPr>
                    <w:t>8</w:t>
                  </w:r>
                  <w:r>
                    <w:rPr>
                      <w:rFonts w:hint="eastAsia" w:ascii="Times New Roman" w:hAnsi="Times New Roman" w:eastAsia="宋体"/>
                      <w:color w:val="auto"/>
                      <w:kern w:val="0"/>
                      <w:sz w:val="21"/>
                      <w:szCs w:val="21"/>
                      <w:highlight w:val="none"/>
                    </w:rPr>
                    <w:t>人</w:t>
                  </w:r>
                </w:p>
              </w:tc>
              <w:tc>
                <w:tcPr>
                  <w:tcW w:w="442" w:type="pct"/>
                  <w:vMerge w:val="continue"/>
                  <w:noWrap w:val="0"/>
                  <w:vAlign w:val="center"/>
                </w:tcPr>
                <w:p w14:paraId="15A9D0D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p>
              </w:tc>
              <w:tc>
                <w:tcPr>
                  <w:tcW w:w="442" w:type="pct"/>
                  <w:noWrap w:val="0"/>
                  <w:vAlign w:val="center"/>
                </w:tcPr>
                <w:p w14:paraId="1466A07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N</w:t>
                  </w:r>
                  <w:r>
                    <w:rPr>
                      <w:rFonts w:ascii="Times New Roman" w:hAnsi="Times New Roman" w:eastAsia="宋体"/>
                      <w:color w:val="auto"/>
                      <w:kern w:val="0"/>
                      <w:sz w:val="21"/>
                      <w:szCs w:val="21"/>
                      <w:highlight w:val="none"/>
                    </w:rPr>
                    <w:t>E</w:t>
                  </w:r>
                </w:p>
              </w:tc>
              <w:tc>
                <w:tcPr>
                  <w:tcW w:w="737" w:type="pct"/>
                  <w:noWrap w:val="0"/>
                  <w:vAlign w:val="center"/>
                </w:tcPr>
                <w:p w14:paraId="0CB37CC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3</w:t>
                  </w:r>
                  <w:r>
                    <w:rPr>
                      <w:rFonts w:ascii="Times New Roman" w:hAnsi="Times New Roman" w:eastAsia="宋体"/>
                      <w:color w:val="auto"/>
                      <w:kern w:val="0"/>
                      <w:sz w:val="21"/>
                      <w:szCs w:val="21"/>
                      <w:highlight w:val="none"/>
                    </w:rPr>
                    <w:t>0~50</w:t>
                  </w:r>
                </w:p>
              </w:tc>
            </w:tr>
            <w:tr w14:paraId="74DD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9"/>
                  <w:noWrap w:val="0"/>
                  <w:vAlign w:val="center"/>
                </w:tcPr>
                <w:p w14:paraId="47F73297">
                  <w:pPr>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ascii="Times New Roman" w:hAnsi="Times New Roman" w:eastAsia="宋体"/>
                      <w:color w:val="auto"/>
                      <w:kern w:val="0"/>
                      <w:sz w:val="21"/>
                      <w:szCs w:val="21"/>
                      <w:highlight w:val="none"/>
                    </w:rPr>
                  </w:pPr>
                  <w:r>
                    <w:rPr>
                      <w:rFonts w:hint="eastAsia" w:ascii="Times New Roman" w:hAnsi="Times New Roman" w:eastAsia="宋体"/>
                      <w:color w:val="auto"/>
                      <w:kern w:val="0"/>
                      <w:sz w:val="21"/>
                      <w:szCs w:val="21"/>
                      <w:highlight w:val="none"/>
                    </w:rPr>
                    <w:t>注：以杨家镇治理河段起点为坐标原点（0,0）。</w:t>
                  </w:r>
                </w:p>
              </w:tc>
            </w:tr>
          </w:tbl>
          <w:p w14:paraId="3B680E48">
            <w:pPr>
              <w:pStyle w:val="38"/>
              <w:adjustRightInd w:val="0"/>
              <w:snapToGrid w:val="0"/>
              <w:ind w:firstLine="0" w:firstLineChars="0"/>
              <w:rPr>
                <w:rFonts w:hint="default" w:cs="Times New Roman"/>
                <w:color w:val="auto"/>
                <w:szCs w:val="24"/>
                <w:highlight w:val="none"/>
                <w:lang w:val="en-US" w:eastAsia="zh-CN"/>
              </w:rPr>
            </w:pPr>
          </w:p>
        </w:tc>
      </w:tr>
      <w:tr w14:paraId="4D04F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8" w:type="pct"/>
            <w:tcBorders>
              <w:top w:val="single" w:color="auto" w:sz="4" w:space="0"/>
              <w:bottom w:val="single" w:color="auto" w:sz="4" w:space="0"/>
            </w:tcBorders>
            <w:noWrap w:val="0"/>
            <w:vAlign w:val="center"/>
          </w:tcPr>
          <w:p w14:paraId="00FA8B8B">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评价</w:t>
            </w:r>
          </w:p>
          <w:p w14:paraId="18BC8169">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标准</w:t>
            </w:r>
          </w:p>
        </w:tc>
        <w:tc>
          <w:tcPr>
            <w:tcW w:w="4631" w:type="pct"/>
            <w:tcBorders>
              <w:top w:val="single" w:color="auto" w:sz="4" w:space="0"/>
              <w:bottom w:val="single" w:color="auto" w:sz="4" w:space="0"/>
            </w:tcBorders>
            <w:noWrap w:val="0"/>
            <w:vAlign w:val="center"/>
          </w:tcPr>
          <w:p w14:paraId="328CD16D">
            <w:pPr>
              <w:pStyle w:val="39"/>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3.6 环境质量标准</w:t>
            </w:r>
          </w:p>
          <w:p w14:paraId="1B021948">
            <w:pPr>
              <w:pStyle w:val="39"/>
              <w:ind w:firstLine="0" w:firstLineChars="0"/>
              <w:rPr>
                <w:rFonts w:hint="default" w:ascii="Times New Roman" w:hAnsi="Times New Roman" w:cs="Times New Roman"/>
                <w:color w:val="auto"/>
                <w:highlight w:val="none"/>
              </w:rPr>
            </w:pPr>
            <w:r>
              <w:rPr>
                <w:rFonts w:hint="default" w:ascii="Times New Roman" w:hAnsi="Times New Roman" w:cs="Times New Roman"/>
                <w:b/>
                <w:bCs/>
                <w:color w:val="auto"/>
                <w:highlight w:val="none"/>
              </w:rPr>
              <w:t>3.6.1 环境空气质量标准</w:t>
            </w:r>
          </w:p>
          <w:p w14:paraId="50043839">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本项目所在地属二类区域，环境空气质量执行《环境空气质量标准》（GB3095-2012）的二级标准，详见表3.6-1。</w:t>
            </w:r>
          </w:p>
          <w:p w14:paraId="4788B79E">
            <w:pPr>
              <w:pStyle w:val="37"/>
              <w:spacing w:line="360" w:lineRule="auto"/>
              <w:rPr>
                <w:rFonts w:hint="default" w:ascii="Times New Roman" w:hAnsi="Times New Roman" w:cs="Times New Roman"/>
                <w:b/>
                <w:bCs/>
                <w:color w:val="auto"/>
                <w:sz w:val="24"/>
                <w:highlight w:val="none"/>
                <w:vertAlign w:val="superscript"/>
              </w:rPr>
            </w:pPr>
            <w:r>
              <w:rPr>
                <w:rFonts w:hint="default" w:ascii="Times New Roman" w:hAnsi="Times New Roman" w:cs="Times New Roman"/>
                <w:b/>
                <w:bCs/>
                <w:color w:val="auto"/>
                <w:sz w:val="24"/>
                <w:szCs w:val="22"/>
                <w:highlight w:val="none"/>
              </w:rPr>
              <w:t>表3.6-1《环境空气质量标准》（GB3095-2012）单位：</w:t>
            </w:r>
            <w:r>
              <w:rPr>
                <w:rFonts w:hint="default" w:ascii="Times New Roman" w:hAnsi="Times New Roman" w:cs="Times New Roman"/>
                <w:b/>
                <w:bCs/>
                <w:color w:val="auto"/>
                <w:sz w:val="24"/>
                <w:highlight w:val="none"/>
              </w:rPr>
              <w:t>μg/m</w:t>
            </w:r>
            <w:r>
              <w:rPr>
                <w:rFonts w:hint="default" w:ascii="Times New Roman" w:hAnsi="Times New Roman" w:cs="Times New Roman"/>
                <w:b/>
                <w:bCs/>
                <w:color w:val="auto"/>
                <w:sz w:val="24"/>
                <w:highlight w:val="none"/>
                <w:vertAlign w:val="superscript"/>
              </w:rPr>
              <w:t>3</w:t>
            </w:r>
          </w:p>
          <w:tbl>
            <w:tblPr>
              <w:tblStyle w:val="11"/>
              <w:tblW w:w="8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462"/>
              <w:gridCol w:w="2392"/>
              <w:gridCol w:w="2120"/>
              <w:gridCol w:w="1958"/>
            </w:tblGrid>
            <w:tr w14:paraId="3E20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66" w:type="dxa"/>
                  <w:noWrap w:val="0"/>
                  <w:vAlign w:val="center"/>
                </w:tcPr>
                <w:p w14:paraId="70A5C181">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462" w:type="dxa"/>
                  <w:noWrap w:val="0"/>
                  <w:vAlign w:val="center"/>
                </w:tcPr>
                <w:p w14:paraId="4D0155EB">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tc>
              <w:tc>
                <w:tcPr>
                  <w:tcW w:w="2392" w:type="dxa"/>
                  <w:noWrap w:val="0"/>
                  <w:vAlign w:val="center"/>
                </w:tcPr>
                <w:p w14:paraId="4107CEC6">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取值时间</w:t>
                  </w:r>
                </w:p>
              </w:tc>
              <w:tc>
                <w:tcPr>
                  <w:tcW w:w="2120" w:type="dxa"/>
                  <w:noWrap w:val="0"/>
                  <w:vAlign w:val="center"/>
                </w:tcPr>
                <w:p w14:paraId="4FD7B702">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浓度限值</w:t>
                  </w:r>
                </w:p>
              </w:tc>
              <w:tc>
                <w:tcPr>
                  <w:tcW w:w="1958" w:type="dxa"/>
                  <w:noWrap w:val="0"/>
                  <w:vAlign w:val="center"/>
                </w:tcPr>
                <w:p w14:paraId="00A07C46">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标准来源</w:t>
                  </w:r>
                </w:p>
              </w:tc>
            </w:tr>
            <w:tr w14:paraId="6FE87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66" w:type="dxa"/>
                  <w:vMerge w:val="restart"/>
                  <w:noWrap w:val="0"/>
                  <w:vAlign w:val="center"/>
                </w:tcPr>
                <w:p w14:paraId="052C7E1A">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462" w:type="dxa"/>
                  <w:vMerge w:val="restart"/>
                  <w:noWrap w:val="0"/>
                  <w:vAlign w:val="center"/>
                </w:tcPr>
                <w:p w14:paraId="6A5815B0">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SO</w:t>
                  </w:r>
                  <w:r>
                    <w:rPr>
                      <w:rFonts w:hint="default" w:ascii="Times New Roman" w:hAnsi="Times New Roman" w:cs="Times New Roman"/>
                      <w:color w:val="auto"/>
                      <w:szCs w:val="21"/>
                      <w:highlight w:val="none"/>
                      <w:vertAlign w:val="subscript"/>
                    </w:rPr>
                    <w:t>2</w:t>
                  </w:r>
                </w:p>
              </w:tc>
              <w:tc>
                <w:tcPr>
                  <w:tcW w:w="2392" w:type="dxa"/>
                  <w:noWrap w:val="0"/>
                  <w:vAlign w:val="center"/>
                </w:tcPr>
                <w:p w14:paraId="6F8DF4BC">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1小时平均</w:t>
                  </w:r>
                </w:p>
              </w:tc>
              <w:tc>
                <w:tcPr>
                  <w:tcW w:w="2120" w:type="dxa"/>
                  <w:noWrap w:val="0"/>
                  <w:vAlign w:val="center"/>
                </w:tcPr>
                <w:p w14:paraId="1AC1BB2F">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w:t>
                  </w:r>
                </w:p>
              </w:tc>
              <w:tc>
                <w:tcPr>
                  <w:tcW w:w="1958" w:type="dxa"/>
                  <w:vMerge w:val="restart"/>
                  <w:noWrap w:val="0"/>
                  <w:vAlign w:val="center"/>
                </w:tcPr>
                <w:p w14:paraId="01C202D0">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《环境空气质量标准》</w:t>
                  </w:r>
                </w:p>
                <w:p w14:paraId="7162CE18">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（GB3095-2012）</w:t>
                  </w:r>
                </w:p>
              </w:tc>
            </w:tr>
            <w:tr w14:paraId="3469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66" w:type="dxa"/>
                  <w:vMerge w:val="continue"/>
                  <w:noWrap w:val="0"/>
                  <w:vAlign w:val="center"/>
                </w:tcPr>
                <w:p w14:paraId="02BE46BA">
                  <w:pPr>
                    <w:pStyle w:val="40"/>
                    <w:spacing w:line="240" w:lineRule="auto"/>
                    <w:ind w:firstLine="0" w:firstLineChars="0"/>
                    <w:rPr>
                      <w:rFonts w:hint="default" w:ascii="Times New Roman" w:hAnsi="Times New Roman" w:cs="Times New Roman"/>
                      <w:color w:val="auto"/>
                      <w:sz w:val="21"/>
                      <w:szCs w:val="21"/>
                      <w:highlight w:val="none"/>
                    </w:rPr>
                  </w:pPr>
                </w:p>
              </w:tc>
              <w:tc>
                <w:tcPr>
                  <w:tcW w:w="1462" w:type="dxa"/>
                  <w:vMerge w:val="continue"/>
                  <w:noWrap w:val="0"/>
                  <w:vAlign w:val="center"/>
                </w:tcPr>
                <w:p w14:paraId="3D1A724B">
                  <w:pPr>
                    <w:pStyle w:val="40"/>
                    <w:spacing w:line="240" w:lineRule="auto"/>
                    <w:ind w:firstLine="0" w:firstLineChars="0"/>
                    <w:rPr>
                      <w:rFonts w:hint="default" w:ascii="Times New Roman" w:hAnsi="Times New Roman" w:cs="Times New Roman"/>
                      <w:color w:val="auto"/>
                      <w:sz w:val="21"/>
                      <w:szCs w:val="21"/>
                      <w:highlight w:val="none"/>
                    </w:rPr>
                  </w:pPr>
                </w:p>
              </w:tc>
              <w:tc>
                <w:tcPr>
                  <w:tcW w:w="2392" w:type="dxa"/>
                  <w:noWrap w:val="0"/>
                  <w:vAlign w:val="center"/>
                </w:tcPr>
                <w:p w14:paraId="67CE3370">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120" w:type="dxa"/>
                  <w:noWrap w:val="0"/>
                  <w:vAlign w:val="center"/>
                </w:tcPr>
                <w:p w14:paraId="594DB142">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1958" w:type="dxa"/>
                  <w:vMerge w:val="continue"/>
                  <w:noWrap w:val="0"/>
                  <w:vAlign w:val="top"/>
                </w:tcPr>
                <w:p w14:paraId="4FD68274">
                  <w:pPr>
                    <w:pStyle w:val="37"/>
                    <w:rPr>
                      <w:rFonts w:hint="default" w:ascii="Times New Roman" w:hAnsi="Times New Roman" w:cs="Times New Roman"/>
                      <w:b/>
                      <w:bCs/>
                      <w:color w:val="auto"/>
                      <w:szCs w:val="21"/>
                      <w:highlight w:val="none"/>
                    </w:rPr>
                  </w:pPr>
                </w:p>
              </w:tc>
            </w:tr>
            <w:tr w14:paraId="4ABB7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66" w:type="dxa"/>
                  <w:vMerge w:val="continue"/>
                  <w:noWrap w:val="0"/>
                  <w:vAlign w:val="center"/>
                </w:tcPr>
                <w:p w14:paraId="6EB1539C">
                  <w:pPr>
                    <w:pStyle w:val="40"/>
                    <w:spacing w:line="240" w:lineRule="auto"/>
                    <w:ind w:firstLine="0" w:firstLineChars="0"/>
                    <w:rPr>
                      <w:rFonts w:hint="default" w:ascii="Times New Roman" w:hAnsi="Times New Roman" w:cs="Times New Roman"/>
                      <w:color w:val="auto"/>
                      <w:sz w:val="21"/>
                      <w:szCs w:val="21"/>
                      <w:highlight w:val="none"/>
                    </w:rPr>
                  </w:pPr>
                </w:p>
              </w:tc>
              <w:tc>
                <w:tcPr>
                  <w:tcW w:w="1462" w:type="dxa"/>
                  <w:vMerge w:val="continue"/>
                  <w:noWrap w:val="0"/>
                  <w:vAlign w:val="center"/>
                </w:tcPr>
                <w:p w14:paraId="0787E718">
                  <w:pPr>
                    <w:pStyle w:val="40"/>
                    <w:spacing w:line="240" w:lineRule="auto"/>
                    <w:ind w:firstLine="0" w:firstLineChars="0"/>
                    <w:rPr>
                      <w:rFonts w:hint="default" w:ascii="Times New Roman" w:hAnsi="Times New Roman" w:cs="Times New Roman"/>
                      <w:color w:val="auto"/>
                      <w:sz w:val="21"/>
                      <w:szCs w:val="21"/>
                      <w:highlight w:val="none"/>
                    </w:rPr>
                  </w:pPr>
                </w:p>
              </w:tc>
              <w:tc>
                <w:tcPr>
                  <w:tcW w:w="2392" w:type="dxa"/>
                  <w:noWrap w:val="0"/>
                  <w:vAlign w:val="center"/>
                </w:tcPr>
                <w:p w14:paraId="63815D7B">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年均值</w:t>
                  </w:r>
                </w:p>
              </w:tc>
              <w:tc>
                <w:tcPr>
                  <w:tcW w:w="2120" w:type="dxa"/>
                  <w:noWrap w:val="0"/>
                  <w:vAlign w:val="center"/>
                </w:tcPr>
                <w:p w14:paraId="77A60540">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1958" w:type="dxa"/>
                  <w:vMerge w:val="continue"/>
                  <w:noWrap w:val="0"/>
                  <w:vAlign w:val="top"/>
                </w:tcPr>
                <w:p w14:paraId="6CAE89A7">
                  <w:pPr>
                    <w:pStyle w:val="37"/>
                    <w:rPr>
                      <w:rFonts w:hint="default" w:ascii="Times New Roman" w:hAnsi="Times New Roman" w:cs="Times New Roman"/>
                      <w:b/>
                      <w:bCs/>
                      <w:color w:val="auto"/>
                      <w:szCs w:val="21"/>
                      <w:highlight w:val="none"/>
                    </w:rPr>
                  </w:pPr>
                </w:p>
              </w:tc>
            </w:tr>
            <w:tr w14:paraId="2BB5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66" w:type="dxa"/>
                  <w:vMerge w:val="restart"/>
                  <w:noWrap w:val="0"/>
                  <w:vAlign w:val="center"/>
                </w:tcPr>
                <w:p w14:paraId="0AD74DC4">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462" w:type="dxa"/>
                  <w:vMerge w:val="restart"/>
                  <w:noWrap w:val="0"/>
                  <w:vAlign w:val="center"/>
                </w:tcPr>
                <w:p w14:paraId="3B5D39E3">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NO</w:t>
                  </w:r>
                  <w:r>
                    <w:rPr>
                      <w:rFonts w:hint="default" w:ascii="Times New Roman" w:hAnsi="Times New Roman" w:cs="Times New Roman"/>
                      <w:color w:val="auto"/>
                      <w:szCs w:val="21"/>
                      <w:highlight w:val="none"/>
                      <w:vertAlign w:val="subscript"/>
                    </w:rPr>
                    <w:t>2</w:t>
                  </w:r>
                </w:p>
              </w:tc>
              <w:tc>
                <w:tcPr>
                  <w:tcW w:w="2392" w:type="dxa"/>
                  <w:noWrap w:val="0"/>
                  <w:vAlign w:val="center"/>
                </w:tcPr>
                <w:p w14:paraId="2F9E7310">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1小时平均</w:t>
                  </w:r>
                </w:p>
              </w:tc>
              <w:tc>
                <w:tcPr>
                  <w:tcW w:w="2120" w:type="dxa"/>
                  <w:noWrap w:val="0"/>
                  <w:vAlign w:val="center"/>
                </w:tcPr>
                <w:p w14:paraId="6323A9C6">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c>
                <w:tcPr>
                  <w:tcW w:w="1958" w:type="dxa"/>
                  <w:vMerge w:val="continue"/>
                  <w:noWrap w:val="0"/>
                  <w:vAlign w:val="top"/>
                </w:tcPr>
                <w:p w14:paraId="16401316">
                  <w:pPr>
                    <w:pStyle w:val="37"/>
                    <w:rPr>
                      <w:rFonts w:hint="default" w:ascii="Times New Roman" w:hAnsi="Times New Roman" w:cs="Times New Roman"/>
                      <w:b/>
                      <w:bCs/>
                      <w:color w:val="auto"/>
                      <w:szCs w:val="21"/>
                      <w:highlight w:val="none"/>
                    </w:rPr>
                  </w:pPr>
                </w:p>
              </w:tc>
            </w:tr>
            <w:tr w14:paraId="3A3A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66" w:type="dxa"/>
                  <w:vMerge w:val="continue"/>
                  <w:noWrap w:val="0"/>
                  <w:vAlign w:val="center"/>
                </w:tcPr>
                <w:p w14:paraId="69C71CBD">
                  <w:pPr>
                    <w:pStyle w:val="23"/>
                    <w:spacing w:line="240" w:lineRule="auto"/>
                    <w:rPr>
                      <w:rFonts w:hint="default" w:ascii="Times New Roman" w:hAnsi="Times New Roman" w:cs="Times New Roman"/>
                      <w:color w:val="auto"/>
                      <w:szCs w:val="21"/>
                      <w:highlight w:val="none"/>
                    </w:rPr>
                  </w:pPr>
                </w:p>
              </w:tc>
              <w:tc>
                <w:tcPr>
                  <w:tcW w:w="1462" w:type="dxa"/>
                  <w:vMerge w:val="continue"/>
                  <w:noWrap w:val="0"/>
                  <w:vAlign w:val="center"/>
                </w:tcPr>
                <w:p w14:paraId="4EEBB869">
                  <w:pPr>
                    <w:pStyle w:val="23"/>
                    <w:spacing w:line="240" w:lineRule="auto"/>
                    <w:rPr>
                      <w:rFonts w:hint="default" w:ascii="Times New Roman" w:hAnsi="Times New Roman" w:cs="Times New Roman"/>
                      <w:color w:val="auto"/>
                      <w:szCs w:val="21"/>
                      <w:highlight w:val="none"/>
                    </w:rPr>
                  </w:pPr>
                </w:p>
              </w:tc>
              <w:tc>
                <w:tcPr>
                  <w:tcW w:w="2392" w:type="dxa"/>
                  <w:noWrap w:val="0"/>
                  <w:vAlign w:val="center"/>
                </w:tcPr>
                <w:p w14:paraId="7D3AB384">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120" w:type="dxa"/>
                  <w:noWrap w:val="0"/>
                  <w:vAlign w:val="center"/>
                </w:tcPr>
                <w:p w14:paraId="1FFAA1E2">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80</w:t>
                  </w:r>
                </w:p>
              </w:tc>
              <w:tc>
                <w:tcPr>
                  <w:tcW w:w="1958" w:type="dxa"/>
                  <w:vMerge w:val="continue"/>
                  <w:noWrap w:val="0"/>
                  <w:vAlign w:val="top"/>
                </w:tcPr>
                <w:p w14:paraId="2C6280C0">
                  <w:pPr>
                    <w:pStyle w:val="37"/>
                    <w:rPr>
                      <w:rFonts w:hint="default" w:ascii="Times New Roman" w:hAnsi="Times New Roman" w:cs="Times New Roman"/>
                      <w:b/>
                      <w:bCs/>
                      <w:color w:val="auto"/>
                      <w:szCs w:val="21"/>
                      <w:highlight w:val="none"/>
                    </w:rPr>
                  </w:pPr>
                </w:p>
              </w:tc>
            </w:tr>
            <w:tr w14:paraId="7C57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66" w:type="dxa"/>
                  <w:vMerge w:val="continue"/>
                  <w:noWrap w:val="0"/>
                  <w:vAlign w:val="center"/>
                </w:tcPr>
                <w:p w14:paraId="13A155F0">
                  <w:pPr>
                    <w:pStyle w:val="23"/>
                    <w:spacing w:line="240" w:lineRule="auto"/>
                    <w:rPr>
                      <w:rFonts w:hint="default" w:ascii="Times New Roman" w:hAnsi="Times New Roman" w:cs="Times New Roman"/>
                      <w:color w:val="auto"/>
                      <w:szCs w:val="21"/>
                      <w:highlight w:val="none"/>
                    </w:rPr>
                  </w:pPr>
                </w:p>
              </w:tc>
              <w:tc>
                <w:tcPr>
                  <w:tcW w:w="1462" w:type="dxa"/>
                  <w:vMerge w:val="continue"/>
                  <w:noWrap w:val="0"/>
                  <w:vAlign w:val="center"/>
                </w:tcPr>
                <w:p w14:paraId="6449F1C3">
                  <w:pPr>
                    <w:pStyle w:val="23"/>
                    <w:spacing w:line="240" w:lineRule="auto"/>
                    <w:rPr>
                      <w:rFonts w:hint="default" w:ascii="Times New Roman" w:hAnsi="Times New Roman" w:cs="Times New Roman"/>
                      <w:color w:val="auto"/>
                      <w:szCs w:val="21"/>
                      <w:highlight w:val="none"/>
                    </w:rPr>
                  </w:pPr>
                </w:p>
              </w:tc>
              <w:tc>
                <w:tcPr>
                  <w:tcW w:w="2392" w:type="dxa"/>
                  <w:noWrap w:val="0"/>
                  <w:vAlign w:val="center"/>
                </w:tcPr>
                <w:p w14:paraId="05108B27">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年均值</w:t>
                  </w:r>
                </w:p>
              </w:tc>
              <w:tc>
                <w:tcPr>
                  <w:tcW w:w="2120" w:type="dxa"/>
                  <w:noWrap w:val="0"/>
                  <w:vAlign w:val="center"/>
                </w:tcPr>
                <w:p w14:paraId="39242D66">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w:t>
                  </w:r>
                </w:p>
              </w:tc>
              <w:tc>
                <w:tcPr>
                  <w:tcW w:w="1958" w:type="dxa"/>
                  <w:vMerge w:val="continue"/>
                  <w:noWrap w:val="0"/>
                  <w:vAlign w:val="top"/>
                </w:tcPr>
                <w:p w14:paraId="1E2CE753">
                  <w:pPr>
                    <w:pStyle w:val="37"/>
                    <w:rPr>
                      <w:rFonts w:hint="default" w:ascii="Times New Roman" w:hAnsi="Times New Roman" w:cs="Times New Roman"/>
                      <w:b/>
                      <w:bCs/>
                      <w:color w:val="auto"/>
                      <w:szCs w:val="21"/>
                      <w:highlight w:val="none"/>
                    </w:rPr>
                  </w:pPr>
                </w:p>
              </w:tc>
            </w:tr>
            <w:tr w14:paraId="4F8ED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66" w:type="dxa"/>
                  <w:vMerge w:val="restart"/>
                  <w:noWrap w:val="0"/>
                  <w:vAlign w:val="center"/>
                </w:tcPr>
                <w:p w14:paraId="517EE481">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462" w:type="dxa"/>
                  <w:vMerge w:val="restart"/>
                  <w:noWrap w:val="0"/>
                  <w:vAlign w:val="center"/>
                </w:tcPr>
                <w:p w14:paraId="063DE2C6">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10</w:t>
                  </w:r>
                </w:p>
              </w:tc>
              <w:tc>
                <w:tcPr>
                  <w:tcW w:w="2392" w:type="dxa"/>
                  <w:noWrap w:val="0"/>
                  <w:vAlign w:val="center"/>
                </w:tcPr>
                <w:p w14:paraId="017EA560">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120" w:type="dxa"/>
                  <w:noWrap w:val="0"/>
                  <w:vAlign w:val="center"/>
                </w:tcPr>
                <w:p w14:paraId="1AFA72DB">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150</w:t>
                  </w:r>
                </w:p>
              </w:tc>
              <w:tc>
                <w:tcPr>
                  <w:tcW w:w="1958" w:type="dxa"/>
                  <w:vMerge w:val="continue"/>
                  <w:noWrap w:val="0"/>
                  <w:vAlign w:val="top"/>
                </w:tcPr>
                <w:p w14:paraId="77502C6D">
                  <w:pPr>
                    <w:pStyle w:val="37"/>
                    <w:rPr>
                      <w:rFonts w:hint="default" w:ascii="Times New Roman" w:hAnsi="Times New Roman" w:cs="Times New Roman"/>
                      <w:b/>
                      <w:bCs/>
                      <w:color w:val="auto"/>
                      <w:szCs w:val="21"/>
                      <w:highlight w:val="none"/>
                    </w:rPr>
                  </w:pPr>
                </w:p>
              </w:tc>
            </w:tr>
            <w:tr w14:paraId="2A6A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66" w:type="dxa"/>
                  <w:vMerge w:val="continue"/>
                  <w:noWrap w:val="0"/>
                  <w:vAlign w:val="center"/>
                </w:tcPr>
                <w:p w14:paraId="748D6B0B">
                  <w:pPr>
                    <w:pStyle w:val="23"/>
                    <w:spacing w:line="240" w:lineRule="auto"/>
                    <w:rPr>
                      <w:rFonts w:hint="default" w:ascii="Times New Roman" w:hAnsi="Times New Roman" w:cs="Times New Roman"/>
                      <w:color w:val="auto"/>
                      <w:szCs w:val="21"/>
                      <w:highlight w:val="none"/>
                    </w:rPr>
                  </w:pPr>
                </w:p>
              </w:tc>
              <w:tc>
                <w:tcPr>
                  <w:tcW w:w="1462" w:type="dxa"/>
                  <w:vMerge w:val="continue"/>
                  <w:noWrap w:val="0"/>
                  <w:vAlign w:val="center"/>
                </w:tcPr>
                <w:p w14:paraId="66D8293C">
                  <w:pPr>
                    <w:pStyle w:val="23"/>
                    <w:spacing w:line="240" w:lineRule="auto"/>
                    <w:rPr>
                      <w:rFonts w:hint="default" w:ascii="Times New Roman" w:hAnsi="Times New Roman" w:cs="Times New Roman"/>
                      <w:color w:val="auto"/>
                      <w:szCs w:val="21"/>
                      <w:highlight w:val="none"/>
                    </w:rPr>
                  </w:pPr>
                </w:p>
              </w:tc>
              <w:tc>
                <w:tcPr>
                  <w:tcW w:w="2392" w:type="dxa"/>
                  <w:noWrap w:val="0"/>
                  <w:vAlign w:val="center"/>
                </w:tcPr>
                <w:p w14:paraId="75197DCF">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年均值</w:t>
                  </w:r>
                </w:p>
              </w:tc>
              <w:tc>
                <w:tcPr>
                  <w:tcW w:w="2120" w:type="dxa"/>
                  <w:noWrap w:val="0"/>
                  <w:vAlign w:val="center"/>
                </w:tcPr>
                <w:p w14:paraId="3A1CCBF6">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w:t>
                  </w:r>
                </w:p>
              </w:tc>
              <w:tc>
                <w:tcPr>
                  <w:tcW w:w="1958" w:type="dxa"/>
                  <w:vMerge w:val="continue"/>
                  <w:noWrap w:val="0"/>
                  <w:vAlign w:val="top"/>
                </w:tcPr>
                <w:p w14:paraId="3BAC9166">
                  <w:pPr>
                    <w:pStyle w:val="37"/>
                    <w:rPr>
                      <w:rFonts w:hint="default" w:ascii="Times New Roman" w:hAnsi="Times New Roman" w:cs="Times New Roman"/>
                      <w:b/>
                      <w:bCs/>
                      <w:color w:val="auto"/>
                      <w:szCs w:val="21"/>
                      <w:highlight w:val="none"/>
                    </w:rPr>
                  </w:pPr>
                </w:p>
              </w:tc>
            </w:tr>
            <w:tr w14:paraId="4A0B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66" w:type="dxa"/>
                  <w:vMerge w:val="restart"/>
                  <w:noWrap w:val="0"/>
                  <w:vAlign w:val="center"/>
                </w:tcPr>
                <w:p w14:paraId="222544A4">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462" w:type="dxa"/>
                  <w:vMerge w:val="restart"/>
                  <w:noWrap w:val="0"/>
                  <w:vAlign w:val="center"/>
                </w:tcPr>
                <w:p w14:paraId="1B866659">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PM</w:t>
                  </w:r>
                  <w:r>
                    <w:rPr>
                      <w:rFonts w:hint="default" w:ascii="Times New Roman" w:hAnsi="Times New Roman" w:cs="Times New Roman"/>
                      <w:color w:val="auto"/>
                      <w:szCs w:val="21"/>
                      <w:highlight w:val="none"/>
                      <w:vertAlign w:val="subscript"/>
                    </w:rPr>
                    <w:t>2.5</w:t>
                  </w:r>
                </w:p>
              </w:tc>
              <w:tc>
                <w:tcPr>
                  <w:tcW w:w="2392" w:type="dxa"/>
                  <w:noWrap w:val="0"/>
                  <w:vAlign w:val="center"/>
                </w:tcPr>
                <w:p w14:paraId="62132888">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120" w:type="dxa"/>
                  <w:noWrap w:val="0"/>
                  <w:vAlign w:val="center"/>
                </w:tcPr>
                <w:p w14:paraId="1E5BC43C">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75</w:t>
                  </w:r>
                </w:p>
              </w:tc>
              <w:tc>
                <w:tcPr>
                  <w:tcW w:w="1958" w:type="dxa"/>
                  <w:vMerge w:val="continue"/>
                  <w:noWrap w:val="0"/>
                  <w:vAlign w:val="top"/>
                </w:tcPr>
                <w:p w14:paraId="5670B34C">
                  <w:pPr>
                    <w:pStyle w:val="37"/>
                    <w:rPr>
                      <w:rFonts w:hint="default" w:ascii="Times New Roman" w:hAnsi="Times New Roman" w:cs="Times New Roman"/>
                      <w:b/>
                      <w:bCs/>
                      <w:color w:val="auto"/>
                      <w:szCs w:val="21"/>
                      <w:highlight w:val="none"/>
                    </w:rPr>
                  </w:pPr>
                </w:p>
              </w:tc>
            </w:tr>
            <w:tr w14:paraId="1288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66" w:type="dxa"/>
                  <w:vMerge w:val="continue"/>
                  <w:noWrap w:val="0"/>
                  <w:vAlign w:val="center"/>
                </w:tcPr>
                <w:p w14:paraId="17D1B498">
                  <w:pPr>
                    <w:pStyle w:val="23"/>
                    <w:spacing w:line="240" w:lineRule="auto"/>
                    <w:rPr>
                      <w:rFonts w:hint="default" w:ascii="Times New Roman" w:hAnsi="Times New Roman" w:cs="Times New Roman"/>
                      <w:color w:val="auto"/>
                      <w:szCs w:val="21"/>
                      <w:highlight w:val="none"/>
                    </w:rPr>
                  </w:pPr>
                </w:p>
              </w:tc>
              <w:tc>
                <w:tcPr>
                  <w:tcW w:w="1462" w:type="dxa"/>
                  <w:vMerge w:val="continue"/>
                  <w:noWrap w:val="0"/>
                  <w:vAlign w:val="center"/>
                </w:tcPr>
                <w:p w14:paraId="11B924D7">
                  <w:pPr>
                    <w:pStyle w:val="23"/>
                    <w:spacing w:line="240" w:lineRule="auto"/>
                    <w:rPr>
                      <w:rFonts w:hint="default" w:ascii="Times New Roman" w:hAnsi="Times New Roman" w:cs="Times New Roman"/>
                      <w:color w:val="auto"/>
                      <w:szCs w:val="21"/>
                      <w:highlight w:val="none"/>
                    </w:rPr>
                  </w:pPr>
                </w:p>
              </w:tc>
              <w:tc>
                <w:tcPr>
                  <w:tcW w:w="2392" w:type="dxa"/>
                  <w:noWrap w:val="0"/>
                  <w:vAlign w:val="center"/>
                </w:tcPr>
                <w:p w14:paraId="5FC6D873">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年均值</w:t>
                  </w:r>
                </w:p>
              </w:tc>
              <w:tc>
                <w:tcPr>
                  <w:tcW w:w="2120" w:type="dxa"/>
                  <w:noWrap w:val="0"/>
                  <w:vAlign w:val="center"/>
                </w:tcPr>
                <w:p w14:paraId="4B03DC3E">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35</w:t>
                  </w:r>
                </w:p>
              </w:tc>
              <w:tc>
                <w:tcPr>
                  <w:tcW w:w="1958" w:type="dxa"/>
                  <w:vMerge w:val="continue"/>
                  <w:noWrap w:val="0"/>
                  <w:vAlign w:val="top"/>
                </w:tcPr>
                <w:p w14:paraId="52FB6649">
                  <w:pPr>
                    <w:pStyle w:val="37"/>
                    <w:rPr>
                      <w:rFonts w:hint="default" w:ascii="Times New Roman" w:hAnsi="Times New Roman" w:cs="Times New Roman"/>
                      <w:b/>
                      <w:bCs/>
                      <w:color w:val="auto"/>
                      <w:szCs w:val="21"/>
                      <w:highlight w:val="none"/>
                    </w:rPr>
                  </w:pPr>
                </w:p>
              </w:tc>
            </w:tr>
            <w:tr w14:paraId="4C80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66" w:type="dxa"/>
                  <w:noWrap w:val="0"/>
                  <w:vAlign w:val="center"/>
                </w:tcPr>
                <w:p w14:paraId="43865439">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1462" w:type="dxa"/>
                  <w:noWrap w:val="0"/>
                  <w:vAlign w:val="center"/>
                </w:tcPr>
                <w:p w14:paraId="1CD328DB">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O</w:t>
                  </w:r>
                  <w:r>
                    <w:rPr>
                      <w:rFonts w:hint="default" w:ascii="Times New Roman" w:hAnsi="Times New Roman" w:cs="Times New Roman"/>
                      <w:color w:val="auto"/>
                      <w:szCs w:val="21"/>
                      <w:highlight w:val="none"/>
                      <w:vertAlign w:val="subscript"/>
                    </w:rPr>
                    <w:t>3</w:t>
                  </w:r>
                </w:p>
              </w:tc>
              <w:tc>
                <w:tcPr>
                  <w:tcW w:w="2392" w:type="dxa"/>
                  <w:noWrap w:val="0"/>
                  <w:vAlign w:val="center"/>
                </w:tcPr>
                <w:p w14:paraId="50688B72">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日最大8小时平均</w:t>
                  </w:r>
                </w:p>
              </w:tc>
              <w:tc>
                <w:tcPr>
                  <w:tcW w:w="2120" w:type="dxa"/>
                  <w:noWrap w:val="0"/>
                  <w:vAlign w:val="center"/>
                </w:tcPr>
                <w:p w14:paraId="33F389D3">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160</w:t>
                  </w:r>
                </w:p>
              </w:tc>
              <w:tc>
                <w:tcPr>
                  <w:tcW w:w="1958" w:type="dxa"/>
                  <w:vMerge w:val="continue"/>
                  <w:noWrap w:val="0"/>
                  <w:vAlign w:val="top"/>
                </w:tcPr>
                <w:p w14:paraId="684BF308">
                  <w:pPr>
                    <w:pStyle w:val="37"/>
                    <w:rPr>
                      <w:rFonts w:hint="default" w:ascii="Times New Roman" w:hAnsi="Times New Roman" w:cs="Times New Roman"/>
                      <w:b/>
                      <w:bCs/>
                      <w:color w:val="auto"/>
                      <w:szCs w:val="21"/>
                      <w:highlight w:val="none"/>
                    </w:rPr>
                  </w:pPr>
                </w:p>
              </w:tc>
            </w:tr>
            <w:tr w14:paraId="5B34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066" w:type="dxa"/>
                  <w:noWrap w:val="0"/>
                  <w:vAlign w:val="center"/>
                </w:tcPr>
                <w:p w14:paraId="1CDF070E">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1462" w:type="dxa"/>
                  <w:noWrap w:val="0"/>
                  <w:vAlign w:val="center"/>
                </w:tcPr>
                <w:p w14:paraId="173870EC">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w:t>
                  </w:r>
                </w:p>
              </w:tc>
              <w:tc>
                <w:tcPr>
                  <w:tcW w:w="2392" w:type="dxa"/>
                  <w:noWrap w:val="0"/>
                  <w:vAlign w:val="center"/>
                </w:tcPr>
                <w:p w14:paraId="6FB4F5C8">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24小时平均</w:t>
                  </w:r>
                </w:p>
              </w:tc>
              <w:tc>
                <w:tcPr>
                  <w:tcW w:w="2120" w:type="dxa"/>
                  <w:noWrap w:val="0"/>
                  <w:vAlign w:val="center"/>
                </w:tcPr>
                <w:p w14:paraId="1C36755B">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4mg/m</w:t>
                  </w:r>
                  <w:r>
                    <w:rPr>
                      <w:rFonts w:hint="default" w:ascii="Times New Roman" w:hAnsi="Times New Roman" w:cs="Times New Roman"/>
                      <w:color w:val="auto"/>
                      <w:szCs w:val="21"/>
                      <w:highlight w:val="none"/>
                      <w:vertAlign w:val="superscript"/>
                    </w:rPr>
                    <w:t>3</w:t>
                  </w:r>
                </w:p>
              </w:tc>
              <w:tc>
                <w:tcPr>
                  <w:tcW w:w="1958" w:type="dxa"/>
                  <w:vMerge w:val="continue"/>
                  <w:noWrap w:val="0"/>
                  <w:vAlign w:val="top"/>
                </w:tcPr>
                <w:p w14:paraId="2B49E9B2">
                  <w:pPr>
                    <w:pStyle w:val="37"/>
                    <w:rPr>
                      <w:rFonts w:hint="default" w:ascii="Times New Roman" w:hAnsi="Times New Roman" w:cs="Times New Roman"/>
                      <w:b/>
                      <w:bCs/>
                      <w:color w:val="auto"/>
                      <w:szCs w:val="21"/>
                      <w:highlight w:val="none"/>
                    </w:rPr>
                  </w:pPr>
                </w:p>
              </w:tc>
            </w:tr>
          </w:tbl>
          <w:p w14:paraId="3E679F28">
            <w:pPr>
              <w:pStyle w:val="39"/>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3.6.2 地表水环境质量</w:t>
            </w:r>
          </w:p>
          <w:p w14:paraId="1F6C97B4">
            <w:pPr>
              <w:pStyle w:val="39"/>
              <w:ind w:firstLine="480"/>
              <w:rPr>
                <w:rFonts w:hint="default" w:ascii="Times New Roman" w:hAnsi="Times New Roman" w:cs="Times New Roman"/>
                <w:b/>
                <w:color w:val="auto"/>
                <w:highlight w:val="none"/>
              </w:rPr>
            </w:pPr>
            <w:r>
              <w:rPr>
                <w:rFonts w:hint="default" w:ascii="Times New Roman" w:hAnsi="Times New Roman" w:cs="Times New Roman"/>
                <w:color w:val="auto"/>
                <w:highlight w:val="none"/>
              </w:rPr>
              <w:t>本项目地表水执行《地表水环境质量标准》(GB3838-2002)Ⅲ类水域水质标准，具体标准值见表3.6-2。</w:t>
            </w:r>
          </w:p>
          <w:p w14:paraId="4AD1AA91">
            <w:pPr>
              <w:pStyle w:val="37"/>
              <w:spacing w:line="360" w:lineRule="auto"/>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表3.6-2 《地表水环境质量标准》（GB3838-2002） 单位：mg/L（pH无量纲）</w:t>
            </w:r>
          </w:p>
          <w:tbl>
            <w:tblPr>
              <w:tblStyle w:val="1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6"/>
              <w:gridCol w:w="846"/>
              <w:gridCol w:w="750"/>
              <w:gridCol w:w="804"/>
              <w:gridCol w:w="899"/>
              <w:gridCol w:w="900"/>
              <w:gridCol w:w="994"/>
              <w:gridCol w:w="830"/>
            </w:tblGrid>
            <w:tr w14:paraId="1468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9" w:type="pct"/>
                  <w:noWrap w:val="0"/>
                  <w:vAlign w:val="center"/>
                </w:tcPr>
                <w:p w14:paraId="55CBF48F">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项目</w:t>
                  </w:r>
                </w:p>
              </w:tc>
              <w:tc>
                <w:tcPr>
                  <w:tcW w:w="470" w:type="pct"/>
                  <w:noWrap w:val="0"/>
                  <w:vAlign w:val="center"/>
                </w:tcPr>
                <w:p w14:paraId="6C09EFF6">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w:t>
                  </w:r>
                </w:p>
              </w:tc>
              <w:tc>
                <w:tcPr>
                  <w:tcW w:w="417" w:type="pct"/>
                  <w:noWrap w:val="0"/>
                  <w:vAlign w:val="center"/>
                </w:tcPr>
                <w:p w14:paraId="4B0776F6">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w:t>
                  </w:r>
                </w:p>
              </w:tc>
              <w:tc>
                <w:tcPr>
                  <w:tcW w:w="447" w:type="pct"/>
                  <w:noWrap w:val="0"/>
                  <w:vAlign w:val="center"/>
                </w:tcPr>
                <w:p w14:paraId="73064EB9">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p>
              </w:tc>
              <w:tc>
                <w:tcPr>
                  <w:tcW w:w="500" w:type="pct"/>
                  <w:noWrap w:val="0"/>
                  <w:vAlign w:val="center"/>
                </w:tcPr>
                <w:p w14:paraId="40A75DFF">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w:t>
                  </w:r>
                </w:p>
              </w:tc>
              <w:tc>
                <w:tcPr>
                  <w:tcW w:w="501" w:type="pct"/>
                  <w:noWrap w:val="0"/>
                  <w:vAlign w:val="center"/>
                </w:tcPr>
                <w:p w14:paraId="0B44A80A">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石油类</w:t>
                  </w:r>
                </w:p>
              </w:tc>
              <w:tc>
                <w:tcPr>
                  <w:tcW w:w="553" w:type="pct"/>
                  <w:noWrap w:val="0"/>
                  <w:vAlign w:val="center"/>
                </w:tcPr>
                <w:p w14:paraId="1D86DD9E">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悬浮物</w:t>
                  </w:r>
                </w:p>
              </w:tc>
              <w:tc>
                <w:tcPr>
                  <w:tcW w:w="461" w:type="pct"/>
                  <w:noWrap w:val="0"/>
                  <w:vAlign w:val="center"/>
                </w:tcPr>
                <w:p w14:paraId="02F04184">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总磷</w:t>
                  </w:r>
                </w:p>
              </w:tc>
            </w:tr>
            <w:tr w14:paraId="7B64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49" w:type="pct"/>
                  <w:noWrap w:val="0"/>
                  <w:vAlign w:val="center"/>
                </w:tcPr>
                <w:p w14:paraId="4C0BBF86">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《地表水环境质量标准》Ⅲ类</w:t>
                  </w:r>
                </w:p>
              </w:tc>
              <w:tc>
                <w:tcPr>
                  <w:tcW w:w="470" w:type="pct"/>
                  <w:noWrap w:val="0"/>
                  <w:vAlign w:val="center"/>
                </w:tcPr>
                <w:p w14:paraId="2AEC26D3">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6～9</w:t>
                  </w:r>
                </w:p>
              </w:tc>
              <w:tc>
                <w:tcPr>
                  <w:tcW w:w="417" w:type="pct"/>
                  <w:noWrap w:val="0"/>
                  <w:vAlign w:val="center"/>
                </w:tcPr>
                <w:p w14:paraId="202BA50C">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w:t>
                  </w:r>
                </w:p>
              </w:tc>
              <w:tc>
                <w:tcPr>
                  <w:tcW w:w="447" w:type="pct"/>
                  <w:noWrap w:val="0"/>
                  <w:vAlign w:val="center"/>
                </w:tcPr>
                <w:p w14:paraId="618C1333">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500" w:type="pct"/>
                  <w:noWrap w:val="0"/>
                  <w:vAlign w:val="center"/>
                </w:tcPr>
                <w:p w14:paraId="558F5B50">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w:t>
                  </w:r>
                </w:p>
              </w:tc>
              <w:tc>
                <w:tcPr>
                  <w:tcW w:w="501" w:type="pct"/>
                  <w:noWrap w:val="0"/>
                  <w:vAlign w:val="center"/>
                </w:tcPr>
                <w:p w14:paraId="4E687DCC">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≤0.05</w:t>
                  </w:r>
                </w:p>
              </w:tc>
              <w:tc>
                <w:tcPr>
                  <w:tcW w:w="553" w:type="pct"/>
                  <w:noWrap w:val="0"/>
                  <w:vAlign w:val="center"/>
                </w:tcPr>
                <w:p w14:paraId="2771DAB6">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461" w:type="pct"/>
                  <w:noWrap w:val="0"/>
                  <w:vAlign w:val="center"/>
                </w:tcPr>
                <w:p w14:paraId="0C515267">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≤0.2</w:t>
                  </w:r>
                </w:p>
              </w:tc>
            </w:tr>
          </w:tbl>
          <w:p w14:paraId="7D991DB3">
            <w:pPr>
              <w:pStyle w:val="39"/>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3.6.3 声环境质量标准</w:t>
            </w:r>
          </w:p>
          <w:p w14:paraId="1FA92BC9">
            <w:pPr>
              <w:pStyle w:val="39"/>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项目区域执行《声环境质量标准》（GB3096-2008）2类标准，标准值详见下表。</w:t>
            </w:r>
          </w:p>
          <w:p w14:paraId="21AF95F4">
            <w:pPr>
              <w:pStyle w:val="37"/>
              <w:spacing w:line="360" w:lineRule="auto"/>
              <w:rPr>
                <w:rFonts w:hint="default" w:ascii="Times New Roman" w:hAnsi="Times New Roman" w:cs="Times New Roman"/>
                <w:color w:val="auto"/>
                <w:sz w:val="24"/>
                <w:szCs w:val="22"/>
                <w:highlight w:val="none"/>
              </w:rPr>
            </w:pPr>
            <w:r>
              <w:rPr>
                <w:rFonts w:hint="default" w:ascii="Times New Roman" w:hAnsi="Times New Roman" w:cs="Times New Roman"/>
                <w:b/>
                <w:bCs/>
                <w:color w:val="auto"/>
                <w:sz w:val="24"/>
                <w:szCs w:val="22"/>
                <w:highlight w:val="none"/>
              </w:rPr>
              <w:t>表3.6-3 《声环境质量标准》（GB3096-2008） 单位：dB（A）</w:t>
            </w:r>
          </w:p>
          <w:tbl>
            <w:tblPr>
              <w:tblStyle w:val="1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3"/>
              <w:gridCol w:w="3509"/>
              <w:gridCol w:w="3316"/>
            </w:tblGrid>
            <w:tr w14:paraId="2EB52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03" w:type="pct"/>
                  <w:tcBorders>
                    <w:top w:val="single" w:color="auto" w:sz="4" w:space="0"/>
                    <w:left w:val="single" w:color="auto" w:sz="4" w:space="0"/>
                    <w:bottom w:val="single" w:color="auto" w:sz="4" w:space="0"/>
                    <w:tl2br w:val="single" w:color="auto" w:sz="4" w:space="0"/>
                  </w:tcBorders>
                  <w:noWrap w:val="0"/>
                  <w:vAlign w:val="top"/>
                </w:tcPr>
                <w:p w14:paraId="3AD77770">
                  <w:pPr>
                    <w:pStyle w:val="23"/>
                    <w:spacing w:line="240" w:lineRule="auto"/>
                    <w:jc w:val="righ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指标</w:t>
                  </w:r>
                </w:p>
                <w:p w14:paraId="23B6C253">
                  <w:pPr>
                    <w:pStyle w:val="23"/>
                    <w:spacing w:line="240" w:lineRule="auto"/>
                    <w:jc w:val="left"/>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类别</w:t>
                  </w:r>
                </w:p>
              </w:tc>
              <w:tc>
                <w:tcPr>
                  <w:tcW w:w="1952" w:type="pct"/>
                  <w:tcBorders>
                    <w:top w:val="single" w:color="auto" w:sz="4" w:space="0"/>
                  </w:tcBorders>
                  <w:noWrap w:val="0"/>
                  <w:vAlign w:val="center"/>
                </w:tcPr>
                <w:p w14:paraId="595B5CB7">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昼间</w:t>
                  </w:r>
                </w:p>
              </w:tc>
              <w:tc>
                <w:tcPr>
                  <w:tcW w:w="1844" w:type="pct"/>
                  <w:tcBorders>
                    <w:top w:val="single" w:color="auto" w:sz="4" w:space="0"/>
                    <w:right w:val="single" w:color="auto" w:sz="4" w:space="0"/>
                  </w:tcBorders>
                  <w:noWrap w:val="0"/>
                  <w:vAlign w:val="center"/>
                </w:tcPr>
                <w:p w14:paraId="480D6978">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夜间</w:t>
                  </w:r>
                </w:p>
              </w:tc>
            </w:tr>
            <w:tr w14:paraId="265C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3" w:type="pct"/>
                  <w:tcBorders>
                    <w:left w:val="single" w:color="auto" w:sz="4" w:space="0"/>
                  </w:tcBorders>
                  <w:noWrap w:val="0"/>
                  <w:vAlign w:val="center"/>
                </w:tcPr>
                <w:p w14:paraId="62ABE079">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2类</w:t>
                  </w:r>
                </w:p>
              </w:tc>
              <w:tc>
                <w:tcPr>
                  <w:tcW w:w="1952" w:type="pct"/>
                  <w:noWrap w:val="0"/>
                  <w:vAlign w:val="center"/>
                </w:tcPr>
                <w:p w14:paraId="3B46413B">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60</w:t>
                  </w:r>
                </w:p>
              </w:tc>
              <w:tc>
                <w:tcPr>
                  <w:tcW w:w="1844" w:type="pct"/>
                  <w:tcBorders>
                    <w:right w:val="single" w:color="auto" w:sz="4" w:space="0"/>
                  </w:tcBorders>
                  <w:noWrap w:val="0"/>
                  <w:vAlign w:val="center"/>
                </w:tcPr>
                <w:p w14:paraId="241C0B91">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w:t>
                  </w:r>
                </w:p>
              </w:tc>
            </w:tr>
          </w:tbl>
          <w:p w14:paraId="09EBA952">
            <w:pPr>
              <w:pStyle w:val="39"/>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3.6.4 底泥质量标准</w:t>
            </w:r>
          </w:p>
          <w:p w14:paraId="48D61DCF">
            <w:pPr>
              <w:ind w:firstLine="480"/>
              <w:outlineLvl w:val="1"/>
              <w:rPr>
                <w:rFonts w:hint="default" w:ascii="Times New Roman" w:hAnsi="Times New Roman" w:cs="Times New Roman"/>
                <w:color w:val="auto"/>
                <w:highlight w:val="none"/>
              </w:rPr>
            </w:pPr>
            <w:r>
              <w:rPr>
                <w:rFonts w:hint="default" w:ascii="Times New Roman" w:hAnsi="Times New Roman" w:cs="Times New Roman"/>
                <w:color w:val="auto"/>
                <w:highlight w:val="none"/>
              </w:rPr>
              <w:t>工程区河道底泥监测因子参照执行《土壤环境质量 农用地土壤污染风险管控标准（试行）》（GB15618-2018）表1筛选值，见表3.6-4。</w:t>
            </w:r>
          </w:p>
          <w:p w14:paraId="16B0AC94">
            <w:pPr>
              <w:pStyle w:val="37"/>
              <w:spacing w:line="360" w:lineRule="auto"/>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表3.6-4  农用地土壤污染风险管控标准  单位：mg/kg</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1"/>
              <w:gridCol w:w="2863"/>
              <w:gridCol w:w="3096"/>
            </w:tblGrid>
            <w:tr w14:paraId="10AE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5" w:type="pct"/>
                  <w:vMerge w:val="restart"/>
                  <w:noWrap w:val="0"/>
                  <w:vAlign w:val="center"/>
                </w:tcPr>
                <w:p w14:paraId="19F6686F">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标准</w:t>
                  </w:r>
                </w:p>
              </w:tc>
              <w:tc>
                <w:tcPr>
                  <w:tcW w:w="1592" w:type="pct"/>
                  <w:vMerge w:val="restart"/>
                  <w:noWrap w:val="0"/>
                  <w:vAlign w:val="center"/>
                </w:tcPr>
                <w:p w14:paraId="1CD9F679">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污染物</w:t>
                  </w:r>
                </w:p>
              </w:tc>
              <w:tc>
                <w:tcPr>
                  <w:tcW w:w="1722" w:type="pct"/>
                  <w:noWrap w:val="0"/>
                  <w:vAlign w:val="center"/>
                </w:tcPr>
                <w:p w14:paraId="10807DE8">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风险筛选值（其他）</w:t>
                  </w:r>
                </w:p>
              </w:tc>
            </w:tr>
            <w:tr w14:paraId="2599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5" w:type="pct"/>
                  <w:vMerge w:val="continue"/>
                  <w:noWrap w:val="0"/>
                  <w:vAlign w:val="center"/>
                </w:tcPr>
                <w:p w14:paraId="11C2014F">
                  <w:pPr>
                    <w:pStyle w:val="23"/>
                    <w:spacing w:line="240" w:lineRule="auto"/>
                    <w:rPr>
                      <w:rFonts w:hint="default" w:ascii="Times New Roman" w:hAnsi="Times New Roman" w:cs="Times New Roman"/>
                      <w:b/>
                      <w:bCs/>
                      <w:color w:val="auto"/>
                      <w:szCs w:val="21"/>
                      <w:highlight w:val="none"/>
                    </w:rPr>
                  </w:pPr>
                </w:p>
              </w:tc>
              <w:tc>
                <w:tcPr>
                  <w:tcW w:w="1592" w:type="pct"/>
                  <w:vMerge w:val="continue"/>
                  <w:noWrap w:val="0"/>
                  <w:vAlign w:val="center"/>
                </w:tcPr>
                <w:p w14:paraId="3D75B954">
                  <w:pPr>
                    <w:pStyle w:val="23"/>
                    <w:spacing w:line="240" w:lineRule="auto"/>
                    <w:rPr>
                      <w:rFonts w:hint="default" w:ascii="Times New Roman" w:hAnsi="Times New Roman" w:cs="Times New Roman"/>
                      <w:b/>
                      <w:bCs/>
                      <w:color w:val="auto"/>
                      <w:szCs w:val="21"/>
                      <w:highlight w:val="none"/>
                    </w:rPr>
                  </w:pPr>
                </w:p>
              </w:tc>
              <w:tc>
                <w:tcPr>
                  <w:tcW w:w="2764" w:type="dxa"/>
                  <w:noWrap w:val="0"/>
                  <w:vAlign w:val="top"/>
                </w:tcPr>
                <w:p w14:paraId="536A6E0D">
                  <w:pPr>
                    <w:pStyle w:val="23"/>
                    <w:spacing w:line="240" w:lineRule="auto"/>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6.5＜pH≤7.5</w:t>
                  </w:r>
                </w:p>
              </w:tc>
            </w:tr>
            <w:tr w14:paraId="56E4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5" w:type="pct"/>
                  <w:vMerge w:val="restart"/>
                  <w:noWrap w:val="0"/>
                  <w:vAlign w:val="center"/>
                </w:tcPr>
                <w:p w14:paraId="1EE78A8B">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《土壤环境质量 农用地土壤污染风险管控标准（试行）》（GB15618-2018）表1筛选值</w:t>
                  </w:r>
                </w:p>
              </w:tc>
              <w:tc>
                <w:tcPr>
                  <w:tcW w:w="1592" w:type="pct"/>
                  <w:noWrap w:val="0"/>
                  <w:vAlign w:val="center"/>
                </w:tcPr>
                <w:p w14:paraId="7B711A55">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镉</w:t>
                  </w:r>
                </w:p>
              </w:tc>
              <w:tc>
                <w:tcPr>
                  <w:tcW w:w="2764" w:type="dxa"/>
                  <w:noWrap w:val="0"/>
                  <w:vAlign w:val="top"/>
                </w:tcPr>
                <w:p w14:paraId="6EAF6068">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0.3</w:t>
                  </w:r>
                </w:p>
              </w:tc>
            </w:tr>
            <w:tr w14:paraId="214C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5" w:type="pct"/>
                  <w:vMerge w:val="continue"/>
                  <w:noWrap w:val="0"/>
                  <w:vAlign w:val="center"/>
                </w:tcPr>
                <w:p w14:paraId="4A84148B">
                  <w:pPr>
                    <w:pStyle w:val="23"/>
                    <w:spacing w:line="240" w:lineRule="auto"/>
                    <w:rPr>
                      <w:rFonts w:hint="default" w:ascii="Times New Roman" w:hAnsi="Times New Roman" w:cs="Times New Roman"/>
                      <w:color w:val="auto"/>
                      <w:szCs w:val="21"/>
                      <w:highlight w:val="none"/>
                    </w:rPr>
                  </w:pPr>
                </w:p>
              </w:tc>
              <w:tc>
                <w:tcPr>
                  <w:tcW w:w="1592" w:type="pct"/>
                  <w:noWrap w:val="0"/>
                  <w:vAlign w:val="center"/>
                </w:tcPr>
                <w:p w14:paraId="20451EDC">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汞</w:t>
                  </w:r>
                </w:p>
              </w:tc>
              <w:tc>
                <w:tcPr>
                  <w:tcW w:w="2764" w:type="dxa"/>
                  <w:noWrap w:val="0"/>
                  <w:vAlign w:val="center"/>
                </w:tcPr>
                <w:p w14:paraId="1000E29D">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0.6</w:t>
                  </w:r>
                </w:p>
              </w:tc>
            </w:tr>
            <w:tr w14:paraId="436C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5" w:type="pct"/>
                  <w:vMerge w:val="continue"/>
                  <w:noWrap w:val="0"/>
                  <w:vAlign w:val="center"/>
                </w:tcPr>
                <w:p w14:paraId="69151267">
                  <w:pPr>
                    <w:pStyle w:val="23"/>
                    <w:spacing w:line="240" w:lineRule="auto"/>
                    <w:rPr>
                      <w:rFonts w:hint="default" w:ascii="Times New Roman" w:hAnsi="Times New Roman" w:cs="Times New Roman"/>
                      <w:color w:val="auto"/>
                      <w:szCs w:val="21"/>
                      <w:highlight w:val="none"/>
                    </w:rPr>
                  </w:pPr>
                </w:p>
              </w:tc>
              <w:tc>
                <w:tcPr>
                  <w:tcW w:w="1592" w:type="pct"/>
                  <w:noWrap w:val="0"/>
                  <w:vAlign w:val="center"/>
                </w:tcPr>
                <w:p w14:paraId="35AB314D">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铅</w:t>
                  </w:r>
                </w:p>
              </w:tc>
              <w:tc>
                <w:tcPr>
                  <w:tcW w:w="2764" w:type="dxa"/>
                  <w:noWrap w:val="0"/>
                  <w:vAlign w:val="top"/>
                </w:tcPr>
                <w:p w14:paraId="2ABFEF84">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120</w:t>
                  </w:r>
                </w:p>
              </w:tc>
            </w:tr>
            <w:tr w14:paraId="2ED6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5" w:type="pct"/>
                  <w:vMerge w:val="continue"/>
                  <w:noWrap w:val="0"/>
                  <w:vAlign w:val="center"/>
                </w:tcPr>
                <w:p w14:paraId="25F2DF8C">
                  <w:pPr>
                    <w:pStyle w:val="23"/>
                    <w:spacing w:line="240" w:lineRule="auto"/>
                    <w:rPr>
                      <w:rFonts w:hint="default" w:ascii="Times New Roman" w:hAnsi="Times New Roman" w:cs="Times New Roman"/>
                      <w:color w:val="auto"/>
                      <w:szCs w:val="21"/>
                      <w:highlight w:val="none"/>
                    </w:rPr>
                  </w:pPr>
                </w:p>
              </w:tc>
              <w:tc>
                <w:tcPr>
                  <w:tcW w:w="1592" w:type="pct"/>
                  <w:noWrap w:val="0"/>
                  <w:vAlign w:val="center"/>
                </w:tcPr>
                <w:p w14:paraId="40C7FF88">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铬</w:t>
                  </w:r>
                </w:p>
              </w:tc>
              <w:tc>
                <w:tcPr>
                  <w:tcW w:w="2764" w:type="dxa"/>
                  <w:noWrap w:val="0"/>
                  <w:vAlign w:val="top"/>
                </w:tcPr>
                <w:p w14:paraId="29A7A88E">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200</w:t>
                  </w:r>
                </w:p>
              </w:tc>
            </w:tr>
            <w:tr w14:paraId="7726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5" w:type="pct"/>
                  <w:vMerge w:val="continue"/>
                  <w:noWrap w:val="0"/>
                  <w:vAlign w:val="center"/>
                </w:tcPr>
                <w:p w14:paraId="578B0FFC">
                  <w:pPr>
                    <w:pStyle w:val="23"/>
                    <w:spacing w:line="240" w:lineRule="auto"/>
                    <w:rPr>
                      <w:rFonts w:hint="default" w:ascii="Times New Roman" w:hAnsi="Times New Roman" w:cs="Times New Roman"/>
                      <w:color w:val="auto"/>
                      <w:szCs w:val="21"/>
                      <w:highlight w:val="none"/>
                    </w:rPr>
                  </w:pPr>
                </w:p>
              </w:tc>
              <w:tc>
                <w:tcPr>
                  <w:tcW w:w="1592" w:type="pct"/>
                  <w:noWrap w:val="0"/>
                  <w:vAlign w:val="center"/>
                </w:tcPr>
                <w:p w14:paraId="6114F159">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砷</w:t>
                  </w:r>
                </w:p>
              </w:tc>
              <w:tc>
                <w:tcPr>
                  <w:tcW w:w="2764" w:type="dxa"/>
                  <w:noWrap w:val="0"/>
                  <w:vAlign w:val="top"/>
                </w:tcPr>
                <w:p w14:paraId="327399D7">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w:t>
                  </w:r>
                </w:p>
              </w:tc>
            </w:tr>
            <w:tr w14:paraId="6F34E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5" w:type="pct"/>
                  <w:vMerge w:val="continue"/>
                  <w:noWrap w:val="0"/>
                  <w:vAlign w:val="center"/>
                </w:tcPr>
                <w:p w14:paraId="13D51FB4">
                  <w:pPr>
                    <w:pStyle w:val="23"/>
                    <w:spacing w:line="240" w:lineRule="auto"/>
                    <w:rPr>
                      <w:rFonts w:hint="default" w:ascii="Times New Roman" w:hAnsi="Times New Roman" w:cs="Times New Roman"/>
                      <w:color w:val="auto"/>
                      <w:szCs w:val="21"/>
                      <w:highlight w:val="none"/>
                    </w:rPr>
                  </w:pPr>
                </w:p>
              </w:tc>
              <w:tc>
                <w:tcPr>
                  <w:tcW w:w="1592" w:type="pct"/>
                  <w:noWrap w:val="0"/>
                  <w:vAlign w:val="center"/>
                </w:tcPr>
                <w:p w14:paraId="51B91DB3">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铜</w:t>
                  </w:r>
                </w:p>
              </w:tc>
              <w:tc>
                <w:tcPr>
                  <w:tcW w:w="2764" w:type="dxa"/>
                  <w:noWrap w:val="0"/>
                  <w:vAlign w:val="top"/>
                </w:tcPr>
                <w:p w14:paraId="4934D647">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r>
            <w:tr w14:paraId="2153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5" w:type="pct"/>
                  <w:vMerge w:val="continue"/>
                  <w:noWrap w:val="0"/>
                  <w:vAlign w:val="center"/>
                </w:tcPr>
                <w:p w14:paraId="4B03F53D">
                  <w:pPr>
                    <w:pStyle w:val="23"/>
                    <w:spacing w:line="240" w:lineRule="auto"/>
                    <w:rPr>
                      <w:rFonts w:hint="default" w:ascii="Times New Roman" w:hAnsi="Times New Roman" w:cs="Times New Roman"/>
                      <w:color w:val="auto"/>
                      <w:szCs w:val="21"/>
                      <w:highlight w:val="none"/>
                    </w:rPr>
                  </w:pPr>
                </w:p>
              </w:tc>
              <w:tc>
                <w:tcPr>
                  <w:tcW w:w="1592" w:type="pct"/>
                  <w:noWrap w:val="0"/>
                  <w:vAlign w:val="center"/>
                </w:tcPr>
                <w:p w14:paraId="6426DFCB">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镍</w:t>
                  </w:r>
                </w:p>
              </w:tc>
              <w:tc>
                <w:tcPr>
                  <w:tcW w:w="2764" w:type="dxa"/>
                  <w:noWrap w:val="0"/>
                  <w:vAlign w:val="top"/>
                </w:tcPr>
                <w:p w14:paraId="5214AC12">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100</w:t>
                  </w:r>
                </w:p>
              </w:tc>
            </w:tr>
            <w:tr w14:paraId="555D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5" w:type="pct"/>
                  <w:vMerge w:val="continue"/>
                  <w:noWrap w:val="0"/>
                  <w:vAlign w:val="center"/>
                </w:tcPr>
                <w:p w14:paraId="39CAE351">
                  <w:pPr>
                    <w:pStyle w:val="23"/>
                    <w:spacing w:line="240" w:lineRule="auto"/>
                    <w:rPr>
                      <w:rFonts w:hint="default" w:ascii="Times New Roman" w:hAnsi="Times New Roman" w:cs="Times New Roman"/>
                      <w:color w:val="auto"/>
                      <w:szCs w:val="21"/>
                      <w:highlight w:val="none"/>
                    </w:rPr>
                  </w:pPr>
                </w:p>
              </w:tc>
              <w:tc>
                <w:tcPr>
                  <w:tcW w:w="1592" w:type="pct"/>
                  <w:noWrap w:val="0"/>
                  <w:vAlign w:val="center"/>
                </w:tcPr>
                <w:p w14:paraId="6927C918">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锌</w:t>
                  </w:r>
                </w:p>
              </w:tc>
              <w:tc>
                <w:tcPr>
                  <w:tcW w:w="2764" w:type="dxa"/>
                  <w:noWrap w:val="0"/>
                  <w:vAlign w:val="top"/>
                </w:tcPr>
                <w:p w14:paraId="143A5D04">
                  <w:pPr>
                    <w:pStyle w:val="23"/>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250</w:t>
                  </w:r>
                </w:p>
              </w:tc>
            </w:tr>
          </w:tbl>
          <w:p w14:paraId="3D7DD715">
            <w:pPr>
              <w:pStyle w:val="39"/>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3.7 污染物排放控制标准</w:t>
            </w:r>
          </w:p>
          <w:p w14:paraId="1E8E7D78">
            <w:pPr>
              <w:pStyle w:val="39"/>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3.7.1 大气污染物排放标准</w:t>
            </w:r>
          </w:p>
          <w:p w14:paraId="0E1EB04D">
            <w:pPr>
              <w:widowControl/>
              <w:ind w:firstLine="480"/>
              <w:jc w:val="lef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施工期扬尘</w:t>
            </w:r>
            <w:r>
              <w:rPr>
                <w:rFonts w:hint="default" w:ascii="Times New Roman" w:hAnsi="Times New Roman" w:cs="Times New Roman"/>
                <w:bCs/>
                <w:color w:val="auto"/>
                <w:highlight w:val="none"/>
              </w:rPr>
              <w:t>执行《四川省施工场地扬尘排放标准》（DB51/2682-2020）中表1规定的浓度限值要求，</w:t>
            </w:r>
            <w:r>
              <w:rPr>
                <w:rFonts w:hint="eastAsia" w:ascii="宋体" w:hAnsi="宋体" w:eastAsia="宋体" w:cs="宋体"/>
                <w:snapToGrid w:val="0"/>
                <w:color w:val="auto"/>
                <w:kern w:val="0"/>
                <w:sz w:val="24"/>
                <w:szCs w:val="24"/>
                <w:highlight w:val="none"/>
                <w:lang w:val="en-US" w:eastAsia="zh-CN" w:bidi="ar"/>
              </w:rPr>
              <w:t>淤泥干化场恶臭执行《恶臭污染物排放标准》（</w:t>
            </w:r>
            <w:r>
              <w:rPr>
                <w:rFonts w:hint="default" w:ascii="Times New Roman" w:hAnsi="Times New Roman" w:eastAsia="宋体" w:cs="Times New Roman"/>
                <w:snapToGrid w:val="0"/>
                <w:color w:val="auto"/>
                <w:kern w:val="0"/>
                <w:sz w:val="24"/>
                <w:szCs w:val="24"/>
                <w:highlight w:val="none"/>
                <w:lang w:val="en-US" w:eastAsia="zh-CN" w:bidi="ar"/>
              </w:rPr>
              <w:t>GB14554-93</w:t>
            </w:r>
            <w:r>
              <w:rPr>
                <w:rFonts w:hint="eastAsia" w:ascii="宋体" w:hAnsi="宋体" w:eastAsia="宋体" w:cs="宋体"/>
                <w:snapToGrid w:val="0"/>
                <w:color w:val="auto"/>
                <w:kern w:val="0"/>
                <w:sz w:val="24"/>
                <w:szCs w:val="24"/>
                <w:highlight w:val="none"/>
                <w:lang w:val="en-US" w:eastAsia="zh-CN" w:bidi="ar"/>
              </w:rPr>
              <w:t xml:space="preserve">）中表 </w:t>
            </w:r>
            <w:r>
              <w:rPr>
                <w:rFonts w:hint="default" w:ascii="Times New Roman" w:hAnsi="Times New Roman" w:eastAsia="宋体" w:cs="Times New Roman"/>
                <w:snapToGrid w:val="0"/>
                <w:color w:val="auto"/>
                <w:kern w:val="0"/>
                <w:sz w:val="24"/>
                <w:szCs w:val="24"/>
                <w:highlight w:val="none"/>
                <w:lang w:val="en-US" w:eastAsia="zh-CN" w:bidi="ar"/>
              </w:rPr>
              <w:t xml:space="preserve">1 </w:t>
            </w:r>
            <w:r>
              <w:rPr>
                <w:rFonts w:hint="eastAsia" w:ascii="宋体" w:hAnsi="宋体" w:eastAsia="宋体" w:cs="宋体"/>
                <w:snapToGrid w:val="0"/>
                <w:color w:val="auto"/>
                <w:kern w:val="0"/>
                <w:sz w:val="24"/>
                <w:szCs w:val="24"/>
                <w:highlight w:val="none"/>
                <w:lang w:val="en-US" w:eastAsia="zh-CN" w:bidi="ar"/>
              </w:rPr>
              <w:t>的二级排放标准。</w:t>
            </w:r>
            <w:r>
              <w:rPr>
                <w:rFonts w:hint="default" w:ascii="Times New Roman" w:hAnsi="Times New Roman" w:cs="Times New Roman"/>
                <w:bCs/>
                <w:color w:val="auto"/>
                <w:highlight w:val="none"/>
              </w:rPr>
              <w:t>具体标准值见表3.7-1</w:t>
            </w:r>
            <w:r>
              <w:rPr>
                <w:rFonts w:hint="default" w:ascii="Times New Roman" w:hAnsi="Times New Roman" w:cs="Times New Roman"/>
                <w:color w:val="auto"/>
                <w:szCs w:val="24"/>
                <w:highlight w:val="none"/>
              </w:rPr>
              <w:t>。</w:t>
            </w:r>
          </w:p>
          <w:p w14:paraId="29932D3B">
            <w:pPr>
              <w:pStyle w:val="37"/>
              <w:spacing w:line="360" w:lineRule="auto"/>
              <w:rPr>
                <w:rFonts w:hint="eastAsia" w:cs="Times New Roman"/>
                <w:b/>
                <w:bCs/>
                <w:color w:val="auto"/>
                <w:sz w:val="24"/>
                <w:szCs w:val="22"/>
                <w:highlight w:val="none"/>
                <w:lang w:val="en-US" w:eastAsia="zh-CN"/>
              </w:rPr>
            </w:pPr>
            <w:r>
              <w:rPr>
                <w:rFonts w:hint="default" w:ascii="Times New Roman" w:hAnsi="Times New Roman" w:cs="Times New Roman"/>
                <w:b/>
                <w:bCs/>
                <w:color w:val="auto"/>
                <w:sz w:val="24"/>
                <w:szCs w:val="22"/>
                <w:highlight w:val="none"/>
              </w:rPr>
              <w:t xml:space="preserve">表3.7-1  </w:t>
            </w:r>
            <w:r>
              <w:rPr>
                <w:rFonts w:hint="eastAsia" w:cs="Times New Roman"/>
                <w:b/>
                <w:bCs/>
                <w:color w:val="auto"/>
                <w:sz w:val="24"/>
                <w:szCs w:val="22"/>
                <w:highlight w:val="none"/>
                <w:lang w:val="en-US" w:eastAsia="zh-CN"/>
              </w:rPr>
              <w:t>项目施工期大气污染物排放标准值</w:t>
            </w:r>
          </w:p>
          <w:tbl>
            <w:tblPr>
              <w:tblStyle w:val="12"/>
              <w:tblW w:w="90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1"/>
              <w:gridCol w:w="2252"/>
              <w:gridCol w:w="1908"/>
              <w:gridCol w:w="2596"/>
            </w:tblGrid>
            <w:tr w14:paraId="5C74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1" w:type="dxa"/>
                  <w:vAlign w:val="center"/>
                </w:tcPr>
                <w:p w14:paraId="18DD11C6">
                  <w:pPr>
                    <w:pStyle w:val="37"/>
                    <w:spacing w:line="240" w:lineRule="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项目</w:t>
                  </w:r>
                </w:p>
              </w:tc>
              <w:tc>
                <w:tcPr>
                  <w:tcW w:w="4160" w:type="dxa"/>
                  <w:gridSpan w:val="2"/>
                  <w:vAlign w:val="center"/>
                </w:tcPr>
                <w:p w14:paraId="0AC66AA3">
                  <w:pPr>
                    <w:pStyle w:val="37"/>
                    <w:spacing w:line="240" w:lineRule="auto"/>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无组织排放监测浓度</w:t>
                  </w:r>
                </w:p>
              </w:tc>
              <w:tc>
                <w:tcPr>
                  <w:tcW w:w="2596" w:type="dxa"/>
                  <w:vAlign w:val="center"/>
                </w:tcPr>
                <w:p w14:paraId="00B0C224">
                  <w:pPr>
                    <w:pStyle w:val="37"/>
                    <w:spacing w:line="240" w:lineRule="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标准来源</w:t>
                  </w:r>
                </w:p>
              </w:tc>
            </w:tr>
            <w:tr w14:paraId="56D0D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251" w:type="dxa"/>
                  <w:vMerge w:val="restart"/>
                  <w:shd w:val="clear" w:color="auto" w:fill="auto"/>
                  <w:vAlign w:val="center"/>
                </w:tcPr>
                <w:p w14:paraId="79174087">
                  <w:pPr>
                    <w:pStyle w:val="23"/>
                    <w:spacing w:line="240" w:lineRule="auto"/>
                    <w:ind w:left="0" w:leftChars="0" w:firstLine="0" w:firstLineChars="0"/>
                    <w:rPr>
                      <w:rFonts w:hint="default" w:ascii="Times New Roman" w:hAnsi="Times New Roman" w:eastAsia="宋体" w:cs="Times New Roman"/>
                      <w:b w:val="0"/>
                      <w:bCs w:val="0"/>
                      <w:snapToGrid w:val="0"/>
                      <w:color w:val="auto"/>
                      <w:w w:val="100"/>
                      <w:sz w:val="21"/>
                      <w:szCs w:val="21"/>
                      <w:highlight w:val="none"/>
                      <w:lang w:val="en-US" w:eastAsia="zh-CN" w:bidi="ar-SA"/>
                    </w:rPr>
                  </w:pPr>
                  <w:r>
                    <w:rPr>
                      <w:rFonts w:hint="default" w:ascii="Times New Roman" w:hAnsi="Times New Roman" w:cs="Times New Roman"/>
                      <w:b w:val="0"/>
                      <w:bCs w:val="0"/>
                      <w:color w:val="auto"/>
                      <w:szCs w:val="21"/>
                      <w:highlight w:val="none"/>
                    </w:rPr>
                    <w:t>总悬浮颗粒物（TSP）</w:t>
                  </w:r>
                </w:p>
              </w:tc>
              <w:tc>
                <w:tcPr>
                  <w:tcW w:w="2252" w:type="dxa"/>
                  <w:shd w:val="clear" w:color="auto" w:fill="auto"/>
                  <w:vAlign w:val="center"/>
                </w:tcPr>
                <w:p w14:paraId="0D60882E">
                  <w:pPr>
                    <w:pStyle w:val="23"/>
                    <w:spacing w:line="240" w:lineRule="auto"/>
                    <w:ind w:left="0" w:leftChars="0" w:firstLine="0" w:firstLineChars="0"/>
                    <w:rPr>
                      <w:rFonts w:hint="eastAsia" w:ascii="Times New Roman" w:hAnsi="Times New Roman" w:eastAsia="宋体" w:cs="Times New Roman"/>
                      <w:b w:val="0"/>
                      <w:bCs w:val="0"/>
                      <w:snapToGrid w:val="0"/>
                      <w:color w:val="auto"/>
                      <w:w w:val="100"/>
                      <w:sz w:val="21"/>
                      <w:szCs w:val="21"/>
                      <w:highlight w:val="none"/>
                      <w:lang w:val="en-US" w:eastAsia="zh-CN" w:bidi="ar-SA"/>
                    </w:rPr>
                  </w:pPr>
                  <w:r>
                    <w:rPr>
                      <w:rFonts w:hint="default" w:ascii="Times New Roman" w:hAnsi="Times New Roman" w:cs="Times New Roman"/>
                      <w:b w:val="0"/>
                      <w:bCs w:val="0"/>
                      <w:color w:val="auto"/>
                      <w:szCs w:val="21"/>
                      <w:highlight w:val="none"/>
                    </w:rPr>
                    <w:t>拆除工程/土方开挖/土方回填阶段</w:t>
                  </w:r>
                </w:p>
              </w:tc>
              <w:tc>
                <w:tcPr>
                  <w:tcW w:w="1908" w:type="dxa"/>
                  <w:shd w:val="clear" w:color="auto" w:fill="auto"/>
                  <w:vAlign w:val="center"/>
                </w:tcPr>
                <w:p w14:paraId="17FF95F1">
                  <w:pPr>
                    <w:pStyle w:val="23"/>
                    <w:spacing w:line="240" w:lineRule="auto"/>
                    <w:ind w:left="0" w:leftChars="0" w:firstLine="0" w:firstLineChars="0"/>
                    <w:rPr>
                      <w:rFonts w:hint="eastAsia" w:ascii="Times New Roman" w:hAnsi="Times New Roman" w:eastAsia="宋体" w:cs="Times New Roman"/>
                      <w:b w:val="0"/>
                      <w:bCs w:val="0"/>
                      <w:snapToGrid w:val="0"/>
                      <w:color w:val="auto"/>
                      <w:w w:val="100"/>
                      <w:sz w:val="21"/>
                      <w:szCs w:val="21"/>
                      <w:highlight w:val="none"/>
                      <w:lang w:val="en-US" w:eastAsia="zh-CN" w:bidi="ar-SA"/>
                    </w:rPr>
                  </w:pPr>
                  <w:r>
                    <w:rPr>
                      <w:rFonts w:hint="default" w:ascii="Times New Roman" w:hAnsi="Times New Roman" w:cs="Times New Roman"/>
                      <w:b w:val="0"/>
                      <w:bCs w:val="0"/>
                      <w:color w:val="auto"/>
                      <w:szCs w:val="21"/>
                      <w:highlight w:val="none"/>
                    </w:rPr>
                    <w:t>其他工程阶段</w:t>
                  </w:r>
                </w:p>
              </w:tc>
              <w:tc>
                <w:tcPr>
                  <w:tcW w:w="2596" w:type="dxa"/>
                  <w:vMerge w:val="restart"/>
                  <w:vAlign w:val="center"/>
                </w:tcPr>
                <w:p w14:paraId="1218CFE9">
                  <w:pPr>
                    <w:pStyle w:val="37"/>
                    <w:spacing w:line="240" w:lineRule="auto"/>
                    <w:rPr>
                      <w:rFonts w:hint="eastAsia" w:cs="Times New Roman"/>
                      <w:b/>
                      <w:bCs/>
                      <w:color w:val="auto"/>
                      <w:sz w:val="21"/>
                      <w:szCs w:val="21"/>
                      <w:highlight w:val="none"/>
                      <w:vertAlign w:val="baseline"/>
                      <w:lang w:val="en-US" w:eastAsia="zh-CN"/>
                    </w:rPr>
                  </w:pPr>
                  <w:r>
                    <w:rPr>
                      <w:rFonts w:hint="default" w:ascii="Times New Roman" w:hAnsi="Times New Roman" w:cs="Times New Roman"/>
                      <w:bCs/>
                      <w:color w:val="auto"/>
                      <w:szCs w:val="21"/>
                      <w:highlight w:val="none"/>
                    </w:rPr>
                    <w:t>《四川省施工场地扬尘排放标准》（DB51/2682-2020）中表1规定的浓度限值</w:t>
                  </w:r>
                </w:p>
              </w:tc>
            </w:tr>
            <w:tr w14:paraId="37CD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251" w:type="dxa"/>
                  <w:vMerge w:val="continue"/>
                  <w:vAlign w:val="center"/>
                </w:tcPr>
                <w:p w14:paraId="46DB02C9">
                  <w:pPr>
                    <w:pStyle w:val="37"/>
                    <w:spacing w:line="240" w:lineRule="auto"/>
                    <w:rPr>
                      <w:b w:val="0"/>
                      <w:bCs w:val="0"/>
                      <w:color w:val="auto"/>
                      <w:szCs w:val="21"/>
                      <w:highlight w:val="none"/>
                    </w:rPr>
                  </w:pPr>
                </w:p>
              </w:tc>
              <w:tc>
                <w:tcPr>
                  <w:tcW w:w="2252" w:type="dxa"/>
                  <w:shd w:val="clear" w:color="auto" w:fill="auto"/>
                  <w:vAlign w:val="center"/>
                </w:tcPr>
                <w:p w14:paraId="53CF11B2">
                  <w:pPr>
                    <w:pStyle w:val="23"/>
                    <w:spacing w:line="240" w:lineRule="auto"/>
                    <w:ind w:left="0" w:leftChars="0" w:firstLine="0" w:firstLineChars="0"/>
                    <w:rPr>
                      <w:rFonts w:hint="eastAsia" w:ascii="Times New Roman" w:hAnsi="Times New Roman" w:eastAsia="宋体" w:cs="Times New Roman"/>
                      <w:b w:val="0"/>
                      <w:bCs w:val="0"/>
                      <w:snapToGrid w:val="0"/>
                      <w:color w:val="auto"/>
                      <w:w w:val="100"/>
                      <w:sz w:val="21"/>
                      <w:szCs w:val="21"/>
                      <w:highlight w:val="none"/>
                      <w:lang w:val="en-US" w:eastAsia="zh-CN" w:bidi="ar-SA"/>
                    </w:rPr>
                  </w:pPr>
                  <w:r>
                    <w:rPr>
                      <w:rFonts w:hint="default" w:ascii="Times New Roman" w:hAnsi="Times New Roman" w:cs="Times New Roman"/>
                      <w:b w:val="0"/>
                      <w:bCs w:val="0"/>
                      <w:color w:val="auto"/>
                      <w:szCs w:val="21"/>
                      <w:highlight w:val="none"/>
                    </w:rPr>
                    <w:t>600μg/m</w:t>
                  </w:r>
                  <w:r>
                    <w:rPr>
                      <w:rFonts w:hint="default" w:ascii="Times New Roman" w:hAnsi="Times New Roman" w:cs="Times New Roman"/>
                      <w:b w:val="0"/>
                      <w:bCs w:val="0"/>
                      <w:color w:val="auto"/>
                      <w:szCs w:val="21"/>
                      <w:highlight w:val="none"/>
                      <w:vertAlign w:val="superscript"/>
                    </w:rPr>
                    <w:t>3</w:t>
                  </w:r>
                </w:p>
              </w:tc>
              <w:tc>
                <w:tcPr>
                  <w:tcW w:w="1908" w:type="dxa"/>
                  <w:vAlign w:val="center"/>
                </w:tcPr>
                <w:p w14:paraId="379EDD6B">
                  <w:pPr>
                    <w:pStyle w:val="37"/>
                    <w:spacing w:line="240" w:lineRule="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250</w:t>
                  </w:r>
                  <w:r>
                    <w:rPr>
                      <w:rFonts w:hint="default" w:ascii="Times New Roman" w:hAnsi="Times New Roman" w:cs="Times New Roman"/>
                      <w:b w:val="0"/>
                      <w:bCs w:val="0"/>
                      <w:color w:val="auto"/>
                      <w:szCs w:val="21"/>
                      <w:highlight w:val="none"/>
                    </w:rPr>
                    <w:t>μg/m</w:t>
                  </w:r>
                  <w:r>
                    <w:rPr>
                      <w:rFonts w:hint="default" w:ascii="Times New Roman" w:hAnsi="Times New Roman" w:cs="Times New Roman"/>
                      <w:b w:val="0"/>
                      <w:bCs w:val="0"/>
                      <w:color w:val="auto"/>
                      <w:szCs w:val="21"/>
                      <w:highlight w:val="none"/>
                      <w:vertAlign w:val="superscript"/>
                    </w:rPr>
                    <w:t>3</w:t>
                  </w:r>
                </w:p>
              </w:tc>
              <w:tc>
                <w:tcPr>
                  <w:tcW w:w="2596" w:type="dxa"/>
                  <w:vMerge w:val="continue"/>
                  <w:vAlign w:val="center"/>
                </w:tcPr>
                <w:p w14:paraId="220633FF">
                  <w:pPr>
                    <w:pStyle w:val="37"/>
                    <w:spacing w:line="240" w:lineRule="auto"/>
                    <w:rPr>
                      <w:rFonts w:hint="eastAsia" w:cs="Times New Roman"/>
                      <w:b/>
                      <w:bCs/>
                      <w:color w:val="auto"/>
                      <w:sz w:val="21"/>
                      <w:szCs w:val="21"/>
                      <w:highlight w:val="none"/>
                      <w:vertAlign w:val="baseline"/>
                      <w:lang w:val="en-US" w:eastAsia="zh-CN"/>
                    </w:rPr>
                  </w:pPr>
                </w:p>
              </w:tc>
            </w:tr>
            <w:tr w14:paraId="10AB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1" w:type="dxa"/>
                  <w:vAlign w:val="center"/>
                </w:tcPr>
                <w:p w14:paraId="02829C68">
                  <w:pPr>
                    <w:pStyle w:val="37"/>
                    <w:spacing w:line="240" w:lineRule="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氨</w:t>
                  </w:r>
                </w:p>
              </w:tc>
              <w:tc>
                <w:tcPr>
                  <w:tcW w:w="4160" w:type="dxa"/>
                  <w:gridSpan w:val="2"/>
                  <w:vAlign w:val="center"/>
                </w:tcPr>
                <w:p w14:paraId="1D0B8A3C">
                  <w:pPr>
                    <w:pStyle w:val="37"/>
                    <w:spacing w:line="240" w:lineRule="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1.5m</w:t>
                  </w:r>
                  <w:r>
                    <w:rPr>
                      <w:rFonts w:hint="default" w:ascii="Times New Roman" w:hAnsi="Times New Roman" w:cs="Times New Roman"/>
                      <w:b w:val="0"/>
                      <w:bCs w:val="0"/>
                      <w:color w:val="auto"/>
                      <w:szCs w:val="21"/>
                      <w:highlight w:val="none"/>
                    </w:rPr>
                    <w:t>g/m</w:t>
                  </w:r>
                  <w:r>
                    <w:rPr>
                      <w:rFonts w:hint="default" w:ascii="Times New Roman" w:hAnsi="Times New Roman" w:cs="Times New Roman"/>
                      <w:b w:val="0"/>
                      <w:bCs w:val="0"/>
                      <w:color w:val="auto"/>
                      <w:szCs w:val="21"/>
                      <w:highlight w:val="none"/>
                      <w:vertAlign w:val="superscript"/>
                    </w:rPr>
                    <w:t>3</w:t>
                  </w:r>
                </w:p>
              </w:tc>
              <w:tc>
                <w:tcPr>
                  <w:tcW w:w="2596" w:type="dxa"/>
                  <w:vMerge w:val="restart"/>
                  <w:vAlign w:val="center"/>
                </w:tcPr>
                <w:p w14:paraId="67F1945A">
                  <w:pPr>
                    <w:pStyle w:val="37"/>
                    <w:spacing w:line="240" w:lineRule="auto"/>
                    <w:rPr>
                      <w:rFonts w:hint="eastAsia" w:cs="Times New Roman"/>
                      <w:b/>
                      <w:bCs/>
                      <w:color w:val="auto"/>
                      <w:sz w:val="21"/>
                      <w:szCs w:val="21"/>
                      <w:highlight w:val="none"/>
                      <w:vertAlign w:val="baseline"/>
                      <w:lang w:val="en-US" w:eastAsia="zh-CN"/>
                    </w:rPr>
                  </w:pPr>
                  <w:r>
                    <w:rPr>
                      <w:rFonts w:hint="eastAsia" w:ascii="宋体" w:hAnsi="宋体" w:eastAsia="宋体" w:cs="宋体"/>
                      <w:snapToGrid w:val="0"/>
                      <w:color w:val="auto"/>
                      <w:kern w:val="0"/>
                      <w:sz w:val="21"/>
                      <w:szCs w:val="21"/>
                      <w:highlight w:val="none"/>
                      <w:lang w:val="en-US" w:eastAsia="zh-CN" w:bidi="ar"/>
                    </w:rPr>
                    <w:t>《恶臭污染物排放标准》（</w:t>
                  </w:r>
                  <w:r>
                    <w:rPr>
                      <w:rFonts w:hint="default" w:ascii="Times New Roman" w:hAnsi="Times New Roman" w:eastAsia="宋体" w:cs="Times New Roman"/>
                      <w:snapToGrid w:val="0"/>
                      <w:color w:val="auto"/>
                      <w:kern w:val="0"/>
                      <w:sz w:val="21"/>
                      <w:szCs w:val="21"/>
                      <w:highlight w:val="none"/>
                      <w:lang w:val="en-US" w:eastAsia="zh-CN" w:bidi="ar"/>
                    </w:rPr>
                    <w:t>GB14554-93</w:t>
                  </w:r>
                  <w:r>
                    <w:rPr>
                      <w:rFonts w:hint="eastAsia" w:ascii="宋体" w:hAnsi="宋体" w:eastAsia="宋体" w:cs="宋体"/>
                      <w:snapToGrid w:val="0"/>
                      <w:color w:val="auto"/>
                      <w:kern w:val="0"/>
                      <w:sz w:val="21"/>
                      <w:szCs w:val="21"/>
                      <w:highlight w:val="none"/>
                      <w:lang w:val="en-US" w:eastAsia="zh-CN" w:bidi="ar"/>
                    </w:rPr>
                    <w:t xml:space="preserve">）中表 </w:t>
                  </w:r>
                  <w:r>
                    <w:rPr>
                      <w:rFonts w:hint="default" w:ascii="Times New Roman" w:hAnsi="Times New Roman" w:eastAsia="宋体" w:cs="Times New Roman"/>
                      <w:snapToGrid w:val="0"/>
                      <w:color w:val="auto"/>
                      <w:kern w:val="0"/>
                      <w:sz w:val="21"/>
                      <w:szCs w:val="21"/>
                      <w:highlight w:val="none"/>
                      <w:lang w:val="en-US" w:eastAsia="zh-CN" w:bidi="ar"/>
                    </w:rPr>
                    <w:t xml:space="preserve">1 </w:t>
                  </w:r>
                  <w:r>
                    <w:rPr>
                      <w:rFonts w:hint="eastAsia" w:ascii="宋体" w:hAnsi="宋体" w:eastAsia="宋体" w:cs="宋体"/>
                      <w:snapToGrid w:val="0"/>
                      <w:color w:val="auto"/>
                      <w:kern w:val="0"/>
                      <w:sz w:val="21"/>
                      <w:szCs w:val="21"/>
                      <w:highlight w:val="none"/>
                      <w:lang w:val="en-US" w:eastAsia="zh-CN" w:bidi="ar"/>
                    </w:rPr>
                    <w:t>的二级排放标准</w:t>
                  </w:r>
                </w:p>
              </w:tc>
            </w:tr>
            <w:tr w14:paraId="0F16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1" w:type="dxa"/>
                  <w:vAlign w:val="center"/>
                </w:tcPr>
                <w:p w14:paraId="2C870851">
                  <w:pPr>
                    <w:pStyle w:val="37"/>
                    <w:spacing w:line="240" w:lineRule="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硫化氢</w:t>
                  </w:r>
                </w:p>
              </w:tc>
              <w:tc>
                <w:tcPr>
                  <w:tcW w:w="4160" w:type="dxa"/>
                  <w:gridSpan w:val="2"/>
                  <w:vAlign w:val="center"/>
                </w:tcPr>
                <w:p w14:paraId="65BCF1DB">
                  <w:pPr>
                    <w:pStyle w:val="37"/>
                    <w:spacing w:line="240" w:lineRule="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0.06m</w:t>
                  </w:r>
                  <w:r>
                    <w:rPr>
                      <w:rFonts w:hint="default" w:ascii="Times New Roman" w:hAnsi="Times New Roman" w:cs="Times New Roman"/>
                      <w:b w:val="0"/>
                      <w:bCs w:val="0"/>
                      <w:color w:val="auto"/>
                      <w:szCs w:val="21"/>
                      <w:highlight w:val="none"/>
                    </w:rPr>
                    <w:t>g/m</w:t>
                  </w:r>
                  <w:r>
                    <w:rPr>
                      <w:rFonts w:hint="default" w:ascii="Times New Roman" w:hAnsi="Times New Roman" w:cs="Times New Roman"/>
                      <w:b w:val="0"/>
                      <w:bCs w:val="0"/>
                      <w:color w:val="auto"/>
                      <w:szCs w:val="21"/>
                      <w:highlight w:val="none"/>
                      <w:vertAlign w:val="superscript"/>
                    </w:rPr>
                    <w:t>3</w:t>
                  </w:r>
                </w:p>
              </w:tc>
              <w:tc>
                <w:tcPr>
                  <w:tcW w:w="2596" w:type="dxa"/>
                  <w:vMerge w:val="continue"/>
                  <w:vAlign w:val="center"/>
                </w:tcPr>
                <w:p w14:paraId="25C8FFE7">
                  <w:pPr>
                    <w:pStyle w:val="37"/>
                    <w:spacing w:line="240" w:lineRule="auto"/>
                    <w:rPr>
                      <w:rFonts w:hint="eastAsia" w:cs="Times New Roman"/>
                      <w:b/>
                      <w:bCs/>
                      <w:color w:val="auto"/>
                      <w:sz w:val="21"/>
                      <w:szCs w:val="21"/>
                      <w:highlight w:val="none"/>
                      <w:vertAlign w:val="baseline"/>
                      <w:lang w:val="en-US" w:eastAsia="zh-CN"/>
                    </w:rPr>
                  </w:pPr>
                </w:p>
              </w:tc>
            </w:tr>
          </w:tbl>
          <w:p w14:paraId="730C65BE">
            <w:pPr>
              <w:pStyle w:val="39"/>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3.7.2 废水排放标准</w:t>
            </w:r>
          </w:p>
          <w:p w14:paraId="177EC4A1">
            <w:pPr>
              <w:ind w:firstLine="480"/>
              <w:jc w:val="lef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w:t>
            </w:r>
            <w:r>
              <w:rPr>
                <w:rFonts w:hint="default" w:ascii="Times New Roman" w:hAnsi="Times New Roman" w:cs="Times New Roman"/>
                <w:color w:val="auto"/>
                <w:highlight w:val="none"/>
              </w:rPr>
              <w:t>施工机械和运输车辆冲洗废水</w:t>
            </w: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拌和</w:t>
            </w:r>
            <w:r>
              <w:rPr>
                <w:rFonts w:hint="default" w:ascii="Times New Roman" w:hAnsi="Times New Roman" w:cs="Times New Roman"/>
                <w:color w:val="auto"/>
                <w:szCs w:val="24"/>
                <w:highlight w:val="none"/>
              </w:rPr>
              <w:t>系统冲洗废水经沉淀池处理后用于施工场地洒水抑尘，不外排；基坑渗水经集水井收集后由潜污泵抽排至沉淀池，</w:t>
            </w:r>
            <w:r>
              <w:rPr>
                <w:rFonts w:hint="default" w:ascii="Times New Roman" w:hAnsi="Times New Roman" w:cs="Times New Roman"/>
                <w:color w:val="auto"/>
                <w:highlight w:val="none"/>
                <w:lang w:val="en-US" w:eastAsia="zh-CN"/>
              </w:rPr>
              <w:t>处理</w:t>
            </w:r>
            <w:r>
              <w:rPr>
                <w:rFonts w:hint="default" w:ascii="Times New Roman" w:hAnsi="Times New Roman" w:cs="Times New Roman"/>
                <w:color w:val="auto"/>
                <w:highlight w:val="none"/>
                <w:lang w:val="fr-FR" w:eastAsia="zh-CN"/>
              </w:rPr>
              <w:t>后</w:t>
            </w:r>
            <w:r>
              <w:rPr>
                <w:rFonts w:hint="default" w:ascii="Times New Roman" w:hAnsi="Times New Roman" w:cs="Times New Roman"/>
                <w:color w:val="auto"/>
                <w:highlight w:val="none"/>
                <w:lang w:val="en-US" w:eastAsia="zh-CN"/>
              </w:rPr>
              <w:t>再由</w:t>
            </w:r>
            <w:r>
              <w:rPr>
                <w:rFonts w:hint="default" w:ascii="Times New Roman" w:hAnsi="Times New Roman" w:cs="Times New Roman"/>
                <w:color w:val="auto"/>
                <w:highlight w:val="none"/>
                <w:lang w:val="fr-FR" w:eastAsia="zh-CN"/>
              </w:rPr>
              <w:t>清水泵</w:t>
            </w:r>
            <w:r>
              <w:rPr>
                <w:rFonts w:hint="eastAsia" w:cs="Times New Roman"/>
                <w:color w:val="auto"/>
                <w:highlight w:val="none"/>
                <w:lang w:val="fr-FR" w:eastAsia="zh-CN"/>
              </w:rPr>
              <w:t>排入河流</w:t>
            </w:r>
            <w:r>
              <w:rPr>
                <w:rFonts w:hint="default" w:ascii="Times New Roman" w:hAnsi="Times New Roman" w:cs="Times New Roman"/>
                <w:color w:val="auto"/>
                <w:szCs w:val="24"/>
                <w:highlight w:val="none"/>
              </w:rPr>
              <w:t>；</w:t>
            </w:r>
            <w:r>
              <w:rPr>
                <w:rFonts w:hint="eastAsia" w:ascii="Times New Roman" w:hAnsi="Times New Roman" w:eastAsia="宋体" w:cs="Times New Roman"/>
                <w:color w:val="auto"/>
                <w:szCs w:val="24"/>
                <w:highlight w:val="none"/>
                <w:lang w:val="en-US" w:eastAsia="zh-CN"/>
              </w:rPr>
              <w:t>河道疏浚淤泥在干化场自然干化产生的渗滤水</w:t>
            </w:r>
            <w:r>
              <w:rPr>
                <w:rFonts w:hint="eastAsia" w:cs="Times New Roman"/>
                <w:color w:val="auto"/>
                <w:szCs w:val="24"/>
                <w:highlight w:val="none"/>
                <w:lang w:val="en-US" w:eastAsia="zh-CN"/>
              </w:rPr>
              <w:t>经沉淀池处理后</w:t>
            </w:r>
            <w:r>
              <w:rPr>
                <w:rFonts w:hint="eastAsia" w:ascii="Times New Roman" w:hAnsi="Times New Roman" w:eastAsia="宋体" w:cs="Times New Roman"/>
                <w:color w:val="auto"/>
                <w:szCs w:val="24"/>
                <w:highlight w:val="none"/>
                <w:lang w:val="en-US" w:eastAsia="zh-CN"/>
              </w:rPr>
              <w:t>排入本河道内；</w:t>
            </w:r>
            <w:r>
              <w:rPr>
                <w:rFonts w:hint="default" w:ascii="Times New Roman" w:hAnsi="Times New Roman" w:cs="Times New Roman"/>
                <w:color w:val="auto"/>
                <w:szCs w:val="24"/>
                <w:highlight w:val="none"/>
              </w:rPr>
              <w:t>工程办公及生活用房租赁当地民房，施工人员生活污水经现有旱厕收集</w:t>
            </w:r>
            <w:r>
              <w:rPr>
                <w:rFonts w:hint="eastAsia" w:cs="Times New Roman"/>
                <w:color w:val="auto"/>
                <w:szCs w:val="24"/>
                <w:highlight w:val="none"/>
                <w:lang w:val="en-US" w:eastAsia="zh-CN"/>
              </w:rPr>
              <w:t>后</w:t>
            </w:r>
            <w:r>
              <w:rPr>
                <w:rFonts w:hint="default" w:ascii="Times New Roman" w:hAnsi="Times New Roman" w:cs="Times New Roman"/>
                <w:color w:val="auto"/>
                <w:szCs w:val="24"/>
                <w:highlight w:val="none"/>
              </w:rPr>
              <w:t>用做农肥，不排放。</w:t>
            </w:r>
          </w:p>
          <w:p w14:paraId="1DA5D972">
            <w:pPr>
              <w:pStyle w:val="39"/>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3.7.3 噪声标准</w:t>
            </w:r>
          </w:p>
          <w:p w14:paraId="47D15EE6">
            <w:pPr>
              <w:ind w:firstLine="480"/>
              <w:jc w:val="lef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施工期噪声执行《建筑施工场界环境噪声排放标准》（GB12523-2011）中的相关标准。具体标准见表3.7-2。</w:t>
            </w:r>
          </w:p>
          <w:p w14:paraId="53723D92">
            <w:pPr>
              <w:pStyle w:val="37"/>
              <w:spacing w:line="360" w:lineRule="auto"/>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表3.7-2 《建筑施工场界环境噪声排放标准》（GB12523-2011）  单位：dB（A）</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7"/>
              <w:gridCol w:w="1748"/>
              <w:gridCol w:w="2105"/>
            </w:tblGrid>
            <w:tr w14:paraId="25C0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207" w:type="dxa"/>
                  <w:noWrap w:val="0"/>
                  <w:vAlign w:val="center"/>
                </w:tcPr>
                <w:p w14:paraId="27FAF72F">
                  <w:pPr>
                    <w:pStyle w:val="23"/>
                    <w:rPr>
                      <w:rFonts w:hint="default" w:ascii="Times New Roman" w:hAnsi="Times New Roman" w:cs="Times New Roman"/>
                      <w:color w:val="auto"/>
                      <w:highlight w:val="none"/>
                    </w:rPr>
                  </w:pPr>
                  <w:r>
                    <w:rPr>
                      <w:rFonts w:hint="default" w:ascii="Times New Roman" w:hAnsi="Times New Roman" w:cs="Times New Roman"/>
                      <w:color w:val="auto"/>
                      <w:highlight w:val="none"/>
                    </w:rPr>
                    <w:t>标准</w:t>
                  </w:r>
                </w:p>
              </w:tc>
              <w:tc>
                <w:tcPr>
                  <w:tcW w:w="1748" w:type="dxa"/>
                  <w:noWrap w:val="0"/>
                  <w:vAlign w:val="center"/>
                </w:tcPr>
                <w:p w14:paraId="6948B24E">
                  <w:pPr>
                    <w:pStyle w:val="23"/>
                    <w:rPr>
                      <w:rFonts w:hint="default" w:ascii="Times New Roman" w:hAnsi="Times New Roman" w:cs="Times New Roman"/>
                      <w:color w:val="auto"/>
                      <w:highlight w:val="none"/>
                    </w:rPr>
                  </w:pPr>
                  <w:r>
                    <w:rPr>
                      <w:rFonts w:hint="default" w:ascii="Times New Roman" w:hAnsi="Times New Roman" w:cs="Times New Roman"/>
                      <w:color w:val="auto"/>
                      <w:highlight w:val="none"/>
                    </w:rPr>
                    <w:t>昼间</w:t>
                  </w:r>
                </w:p>
              </w:tc>
              <w:tc>
                <w:tcPr>
                  <w:tcW w:w="2105" w:type="dxa"/>
                  <w:noWrap w:val="0"/>
                  <w:vAlign w:val="center"/>
                </w:tcPr>
                <w:p w14:paraId="0B6514BC">
                  <w:pPr>
                    <w:pStyle w:val="23"/>
                    <w:rPr>
                      <w:rFonts w:hint="default" w:ascii="Times New Roman" w:hAnsi="Times New Roman" w:cs="Times New Roman"/>
                      <w:color w:val="auto"/>
                      <w:highlight w:val="none"/>
                    </w:rPr>
                  </w:pPr>
                  <w:r>
                    <w:rPr>
                      <w:rFonts w:hint="default" w:ascii="Times New Roman" w:hAnsi="Times New Roman" w:cs="Times New Roman"/>
                      <w:color w:val="auto"/>
                      <w:highlight w:val="none"/>
                    </w:rPr>
                    <w:t>夜间</w:t>
                  </w:r>
                </w:p>
              </w:tc>
            </w:tr>
            <w:tr w14:paraId="0450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207" w:type="dxa"/>
                  <w:noWrap w:val="0"/>
                  <w:vAlign w:val="center"/>
                </w:tcPr>
                <w:p w14:paraId="39CDC330">
                  <w:pPr>
                    <w:pStyle w:val="23"/>
                    <w:rPr>
                      <w:rFonts w:hint="default" w:ascii="Times New Roman" w:hAnsi="Times New Roman" w:cs="Times New Roman"/>
                      <w:color w:val="auto"/>
                      <w:highlight w:val="none"/>
                    </w:rPr>
                  </w:pPr>
                  <w:r>
                    <w:rPr>
                      <w:rFonts w:hint="default" w:ascii="Times New Roman" w:hAnsi="Times New Roman" w:cs="Times New Roman"/>
                      <w:color w:val="auto"/>
                      <w:highlight w:val="none"/>
                    </w:rPr>
                    <w:t>《建筑施工场界环境噪声排放标准》（GB12523-2011）</w:t>
                  </w:r>
                </w:p>
              </w:tc>
              <w:tc>
                <w:tcPr>
                  <w:tcW w:w="1748" w:type="dxa"/>
                  <w:noWrap w:val="0"/>
                  <w:vAlign w:val="center"/>
                </w:tcPr>
                <w:p w14:paraId="1C481A60">
                  <w:pPr>
                    <w:pStyle w:val="23"/>
                    <w:rPr>
                      <w:rFonts w:hint="default" w:ascii="Times New Roman" w:hAnsi="Times New Roman" w:cs="Times New Roman"/>
                      <w:color w:val="auto"/>
                      <w:highlight w:val="none"/>
                    </w:rPr>
                  </w:pPr>
                  <w:r>
                    <w:rPr>
                      <w:rFonts w:hint="default" w:ascii="Times New Roman" w:hAnsi="Times New Roman" w:cs="Times New Roman"/>
                      <w:color w:val="auto"/>
                      <w:highlight w:val="none"/>
                    </w:rPr>
                    <w:t>70</w:t>
                  </w:r>
                </w:p>
              </w:tc>
              <w:tc>
                <w:tcPr>
                  <w:tcW w:w="2105" w:type="dxa"/>
                  <w:noWrap w:val="0"/>
                  <w:vAlign w:val="center"/>
                </w:tcPr>
                <w:p w14:paraId="0FBB5ABD">
                  <w:pPr>
                    <w:pStyle w:val="23"/>
                    <w:rPr>
                      <w:rFonts w:hint="default" w:ascii="Times New Roman" w:hAnsi="Times New Roman" w:cs="Times New Roman"/>
                      <w:color w:val="auto"/>
                      <w:highlight w:val="none"/>
                    </w:rPr>
                  </w:pPr>
                  <w:r>
                    <w:rPr>
                      <w:rFonts w:hint="default" w:ascii="Times New Roman" w:hAnsi="Times New Roman" w:cs="Times New Roman"/>
                      <w:color w:val="auto"/>
                      <w:highlight w:val="none"/>
                    </w:rPr>
                    <w:t>55</w:t>
                  </w:r>
                </w:p>
              </w:tc>
            </w:tr>
          </w:tbl>
          <w:p w14:paraId="2E07B3E6">
            <w:pPr>
              <w:pStyle w:val="39"/>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3.7.4 固体废物</w:t>
            </w:r>
          </w:p>
          <w:p w14:paraId="532D2E2B">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一般工业固体废物在施工场地采用库房或包装工具贮存，执行《一般工业固体废物贮存和填埋污染控制标准》（GB18599-2020），贮存过程应满足相应防渗漏、防雨淋、防扬尘等环境保护要求</w:t>
            </w:r>
            <w:r>
              <w:rPr>
                <w:rFonts w:hint="default" w:ascii="Times New Roman" w:hAnsi="Times New Roman" w:cs="Times New Roman"/>
                <w:color w:val="auto"/>
                <w:szCs w:val="24"/>
                <w:highlight w:val="none"/>
              </w:rPr>
              <w:t>。</w:t>
            </w:r>
          </w:p>
        </w:tc>
      </w:tr>
      <w:tr w14:paraId="6D0C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8" w:type="pct"/>
            <w:tcBorders>
              <w:top w:val="single" w:color="auto" w:sz="4" w:space="0"/>
            </w:tcBorders>
            <w:noWrap w:val="0"/>
            <w:vAlign w:val="center"/>
          </w:tcPr>
          <w:p w14:paraId="5676E557">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bCs/>
                <w:color w:val="auto"/>
                <w:szCs w:val="24"/>
                <w:highlight w:val="none"/>
              </w:rPr>
            </w:pPr>
            <w:r>
              <w:rPr>
                <w:rFonts w:hint="default" w:ascii="Times New Roman" w:hAnsi="Times New Roman" w:cs="Times New Roman"/>
                <w:bCs/>
                <w:color w:val="auto"/>
                <w:szCs w:val="24"/>
                <w:highlight w:val="none"/>
              </w:rPr>
              <w:t>其他</w:t>
            </w:r>
          </w:p>
        </w:tc>
        <w:tc>
          <w:tcPr>
            <w:tcW w:w="4631" w:type="pct"/>
            <w:tcBorders>
              <w:top w:val="single" w:color="auto" w:sz="4" w:space="0"/>
            </w:tcBorders>
            <w:noWrap w:val="0"/>
            <w:vAlign w:val="center"/>
          </w:tcPr>
          <w:p w14:paraId="07FB36B3">
            <w:pPr>
              <w:ind w:firstLine="480"/>
              <w:jc w:val="lef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本项目为河道防洪治理工程，不涉及总量控制指标。</w:t>
            </w:r>
          </w:p>
          <w:p w14:paraId="7EF9DE66">
            <w:pPr>
              <w:ind w:firstLine="480"/>
              <w:jc w:val="left"/>
              <w:rPr>
                <w:rFonts w:hint="default" w:ascii="Times New Roman" w:hAnsi="Times New Roman" w:cs="Times New Roman"/>
                <w:color w:val="auto"/>
                <w:szCs w:val="24"/>
                <w:highlight w:val="none"/>
              </w:rPr>
            </w:pPr>
          </w:p>
          <w:p w14:paraId="4CFA764E">
            <w:pPr>
              <w:ind w:firstLine="480"/>
              <w:jc w:val="left"/>
              <w:rPr>
                <w:rFonts w:hint="default" w:ascii="Times New Roman" w:hAnsi="Times New Roman" w:cs="Times New Roman"/>
                <w:color w:val="auto"/>
                <w:szCs w:val="24"/>
                <w:highlight w:val="none"/>
              </w:rPr>
            </w:pPr>
          </w:p>
          <w:p w14:paraId="06651F5A">
            <w:pPr>
              <w:ind w:firstLine="480"/>
              <w:jc w:val="left"/>
              <w:rPr>
                <w:rFonts w:hint="default" w:ascii="Times New Roman" w:hAnsi="Times New Roman" w:cs="Times New Roman"/>
                <w:color w:val="auto"/>
                <w:szCs w:val="24"/>
                <w:highlight w:val="none"/>
              </w:rPr>
            </w:pPr>
          </w:p>
          <w:p w14:paraId="78D4F580">
            <w:pPr>
              <w:ind w:firstLine="480"/>
              <w:jc w:val="left"/>
              <w:rPr>
                <w:rFonts w:hint="default" w:ascii="Times New Roman" w:hAnsi="Times New Roman" w:cs="Times New Roman"/>
                <w:color w:val="auto"/>
                <w:szCs w:val="24"/>
                <w:highlight w:val="none"/>
              </w:rPr>
            </w:pPr>
          </w:p>
          <w:p w14:paraId="7FA2AEED">
            <w:pPr>
              <w:ind w:firstLine="480"/>
              <w:jc w:val="left"/>
              <w:rPr>
                <w:rFonts w:hint="default" w:ascii="Times New Roman" w:hAnsi="Times New Roman" w:cs="Times New Roman"/>
                <w:color w:val="auto"/>
                <w:szCs w:val="24"/>
                <w:highlight w:val="none"/>
              </w:rPr>
            </w:pPr>
          </w:p>
          <w:p w14:paraId="60D1DCF0">
            <w:pPr>
              <w:ind w:firstLine="480"/>
              <w:jc w:val="left"/>
              <w:rPr>
                <w:rFonts w:hint="default" w:ascii="Times New Roman" w:hAnsi="Times New Roman" w:cs="Times New Roman"/>
                <w:color w:val="auto"/>
                <w:szCs w:val="24"/>
                <w:highlight w:val="none"/>
              </w:rPr>
            </w:pPr>
          </w:p>
          <w:p w14:paraId="131838F6">
            <w:pPr>
              <w:ind w:firstLine="480"/>
              <w:jc w:val="left"/>
              <w:rPr>
                <w:rFonts w:hint="default" w:ascii="Times New Roman" w:hAnsi="Times New Roman" w:cs="Times New Roman"/>
                <w:color w:val="auto"/>
                <w:szCs w:val="24"/>
                <w:highlight w:val="none"/>
              </w:rPr>
            </w:pPr>
          </w:p>
          <w:p w14:paraId="26D2BD6C">
            <w:pPr>
              <w:ind w:firstLine="480"/>
              <w:jc w:val="left"/>
              <w:rPr>
                <w:rFonts w:hint="default" w:ascii="Times New Roman" w:hAnsi="Times New Roman" w:cs="Times New Roman"/>
                <w:color w:val="auto"/>
                <w:szCs w:val="24"/>
                <w:highlight w:val="none"/>
              </w:rPr>
            </w:pPr>
          </w:p>
          <w:p w14:paraId="0AF327D7">
            <w:pPr>
              <w:ind w:firstLine="480"/>
              <w:jc w:val="left"/>
              <w:rPr>
                <w:rFonts w:hint="default" w:ascii="Times New Roman" w:hAnsi="Times New Roman" w:cs="Times New Roman"/>
                <w:color w:val="auto"/>
                <w:szCs w:val="24"/>
                <w:highlight w:val="none"/>
              </w:rPr>
            </w:pPr>
          </w:p>
          <w:p w14:paraId="4B049D22">
            <w:pPr>
              <w:ind w:firstLine="480"/>
              <w:jc w:val="left"/>
              <w:rPr>
                <w:rFonts w:hint="default" w:ascii="Times New Roman" w:hAnsi="Times New Roman" w:cs="Times New Roman"/>
                <w:color w:val="auto"/>
                <w:szCs w:val="24"/>
                <w:highlight w:val="none"/>
              </w:rPr>
            </w:pPr>
          </w:p>
          <w:p w14:paraId="06FC4443">
            <w:pPr>
              <w:ind w:firstLine="480"/>
              <w:jc w:val="left"/>
              <w:rPr>
                <w:rFonts w:hint="default" w:ascii="Times New Roman" w:hAnsi="Times New Roman" w:cs="Times New Roman"/>
                <w:color w:val="auto"/>
                <w:szCs w:val="24"/>
                <w:highlight w:val="none"/>
              </w:rPr>
            </w:pPr>
          </w:p>
          <w:p w14:paraId="1F60F807">
            <w:pPr>
              <w:ind w:firstLine="480"/>
              <w:jc w:val="left"/>
              <w:rPr>
                <w:rFonts w:hint="default" w:ascii="Times New Roman" w:hAnsi="Times New Roman" w:cs="Times New Roman"/>
                <w:color w:val="auto"/>
                <w:szCs w:val="24"/>
                <w:highlight w:val="none"/>
              </w:rPr>
            </w:pPr>
          </w:p>
          <w:p w14:paraId="2D879ECC">
            <w:pPr>
              <w:ind w:firstLine="480"/>
              <w:jc w:val="left"/>
              <w:rPr>
                <w:rFonts w:hint="default" w:ascii="Times New Roman" w:hAnsi="Times New Roman" w:cs="Times New Roman"/>
                <w:color w:val="auto"/>
                <w:szCs w:val="24"/>
                <w:highlight w:val="none"/>
              </w:rPr>
            </w:pPr>
          </w:p>
          <w:p w14:paraId="322423BE">
            <w:pPr>
              <w:ind w:firstLine="480"/>
              <w:jc w:val="left"/>
              <w:rPr>
                <w:rFonts w:hint="default" w:ascii="Times New Roman" w:hAnsi="Times New Roman" w:cs="Times New Roman"/>
                <w:color w:val="auto"/>
                <w:szCs w:val="24"/>
                <w:highlight w:val="none"/>
              </w:rPr>
            </w:pPr>
          </w:p>
          <w:p w14:paraId="5331B475">
            <w:pPr>
              <w:ind w:firstLine="480"/>
              <w:jc w:val="left"/>
              <w:rPr>
                <w:rFonts w:hint="default" w:ascii="Times New Roman" w:hAnsi="Times New Roman" w:cs="Times New Roman"/>
                <w:color w:val="auto"/>
                <w:szCs w:val="24"/>
                <w:highlight w:val="none"/>
              </w:rPr>
            </w:pPr>
          </w:p>
          <w:p w14:paraId="6E3E8D71">
            <w:pPr>
              <w:ind w:firstLine="480"/>
              <w:jc w:val="left"/>
              <w:rPr>
                <w:rFonts w:hint="default" w:ascii="Times New Roman" w:hAnsi="Times New Roman" w:cs="Times New Roman"/>
                <w:color w:val="auto"/>
                <w:szCs w:val="24"/>
                <w:highlight w:val="none"/>
              </w:rPr>
            </w:pPr>
          </w:p>
          <w:p w14:paraId="5FC0D125">
            <w:pPr>
              <w:ind w:firstLine="480"/>
              <w:jc w:val="left"/>
              <w:rPr>
                <w:rFonts w:hint="default" w:ascii="Times New Roman" w:hAnsi="Times New Roman" w:cs="Times New Roman"/>
                <w:color w:val="auto"/>
                <w:szCs w:val="24"/>
                <w:highlight w:val="none"/>
              </w:rPr>
            </w:pPr>
          </w:p>
          <w:p w14:paraId="0421F426">
            <w:pPr>
              <w:ind w:firstLine="480"/>
              <w:jc w:val="left"/>
              <w:rPr>
                <w:rFonts w:hint="default" w:ascii="Times New Roman" w:hAnsi="Times New Roman" w:cs="Times New Roman"/>
                <w:color w:val="auto"/>
                <w:szCs w:val="24"/>
                <w:highlight w:val="none"/>
              </w:rPr>
            </w:pPr>
          </w:p>
          <w:p w14:paraId="2AF61186">
            <w:pPr>
              <w:ind w:firstLine="480"/>
              <w:jc w:val="left"/>
              <w:rPr>
                <w:rFonts w:hint="default" w:ascii="Times New Roman" w:hAnsi="Times New Roman" w:cs="Times New Roman"/>
                <w:color w:val="auto"/>
                <w:szCs w:val="24"/>
                <w:highlight w:val="none"/>
              </w:rPr>
            </w:pPr>
          </w:p>
          <w:p w14:paraId="3B159B2C">
            <w:pPr>
              <w:ind w:firstLine="480"/>
              <w:jc w:val="left"/>
              <w:rPr>
                <w:rFonts w:hint="default" w:ascii="Times New Roman" w:hAnsi="Times New Roman" w:cs="Times New Roman"/>
                <w:color w:val="auto"/>
                <w:szCs w:val="24"/>
                <w:highlight w:val="none"/>
              </w:rPr>
            </w:pPr>
          </w:p>
          <w:p w14:paraId="5A0D755C">
            <w:pPr>
              <w:ind w:firstLine="480"/>
              <w:jc w:val="left"/>
              <w:rPr>
                <w:rFonts w:hint="default" w:ascii="Times New Roman" w:hAnsi="Times New Roman" w:cs="Times New Roman"/>
                <w:color w:val="auto"/>
                <w:szCs w:val="24"/>
                <w:highlight w:val="none"/>
              </w:rPr>
            </w:pPr>
          </w:p>
          <w:p w14:paraId="0B13F3C7">
            <w:pPr>
              <w:ind w:firstLine="480"/>
              <w:jc w:val="left"/>
              <w:rPr>
                <w:rFonts w:hint="default" w:ascii="Times New Roman" w:hAnsi="Times New Roman" w:cs="Times New Roman"/>
                <w:color w:val="auto"/>
                <w:szCs w:val="24"/>
                <w:highlight w:val="none"/>
              </w:rPr>
            </w:pPr>
          </w:p>
          <w:p w14:paraId="3C868D8F">
            <w:pPr>
              <w:ind w:firstLine="480"/>
              <w:jc w:val="left"/>
              <w:rPr>
                <w:rFonts w:hint="default" w:ascii="Times New Roman" w:hAnsi="Times New Roman" w:cs="Times New Roman"/>
                <w:color w:val="auto"/>
                <w:szCs w:val="24"/>
                <w:highlight w:val="none"/>
              </w:rPr>
            </w:pPr>
          </w:p>
          <w:p w14:paraId="7C481B6D">
            <w:pPr>
              <w:ind w:firstLine="480"/>
              <w:jc w:val="left"/>
              <w:rPr>
                <w:rFonts w:hint="default" w:ascii="Times New Roman" w:hAnsi="Times New Roman" w:cs="Times New Roman"/>
                <w:color w:val="auto"/>
                <w:szCs w:val="24"/>
                <w:highlight w:val="none"/>
              </w:rPr>
            </w:pPr>
          </w:p>
          <w:p w14:paraId="1C4FF513">
            <w:pPr>
              <w:ind w:firstLine="480"/>
              <w:jc w:val="left"/>
              <w:rPr>
                <w:rFonts w:hint="default" w:ascii="Times New Roman" w:hAnsi="Times New Roman" w:cs="Times New Roman"/>
                <w:color w:val="auto"/>
                <w:szCs w:val="24"/>
                <w:highlight w:val="none"/>
              </w:rPr>
            </w:pPr>
          </w:p>
          <w:p w14:paraId="68AB486B">
            <w:pPr>
              <w:ind w:left="0" w:leftChars="0" w:firstLine="0" w:firstLineChars="0"/>
              <w:jc w:val="left"/>
              <w:rPr>
                <w:rFonts w:hint="default" w:ascii="Times New Roman" w:hAnsi="Times New Roman" w:cs="Times New Roman"/>
                <w:color w:val="auto"/>
                <w:szCs w:val="24"/>
                <w:highlight w:val="none"/>
              </w:rPr>
            </w:pPr>
          </w:p>
        </w:tc>
      </w:tr>
    </w:tbl>
    <w:p w14:paraId="096FA22F">
      <w:pPr>
        <w:pStyle w:val="10"/>
        <w:spacing w:beforeAutospacing="0" w:afterAutospacing="0"/>
        <w:ind w:firstLine="0" w:firstLineChars="0"/>
        <w:jc w:val="center"/>
        <w:outlineLvl w:val="0"/>
        <w:rPr>
          <w:rFonts w:hint="default" w:ascii="Times New Roman" w:hAnsi="Times New Roman" w:eastAsia="黑体" w:cs="Times New Roman"/>
          <w:color w:val="auto"/>
          <w:sz w:val="30"/>
          <w:szCs w:val="30"/>
          <w:highlight w:val="none"/>
        </w:rPr>
      </w:pPr>
      <w:r>
        <w:rPr>
          <w:rFonts w:hint="default" w:ascii="Times New Roman" w:hAnsi="Times New Roman" w:eastAsia="黑体" w:cs="Times New Roman"/>
          <w:color w:val="auto"/>
          <w:sz w:val="30"/>
          <w:szCs w:val="30"/>
          <w:highlight w:val="none"/>
        </w:rPr>
        <w:t>四、生态环境影响分析</w:t>
      </w:r>
    </w:p>
    <w:tbl>
      <w:tblPr>
        <w:tblStyle w:val="11"/>
        <w:tblW w:w="5000" w:type="pct"/>
        <w:tblInd w:w="0" w:type="dxa"/>
        <w:tblLayout w:type="fixed"/>
        <w:tblCellMar>
          <w:top w:w="0" w:type="dxa"/>
          <w:left w:w="108" w:type="dxa"/>
          <w:bottom w:w="0" w:type="dxa"/>
          <w:right w:w="108" w:type="dxa"/>
        </w:tblCellMar>
      </w:tblPr>
      <w:tblGrid>
        <w:gridCol w:w="1071"/>
        <w:gridCol w:w="8885"/>
      </w:tblGrid>
      <w:tr w14:paraId="3953B0CB">
        <w:tblPrEx>
          <w:tblCellMar>
            <w:top w:w="0" w:type="dxa"/>
            <w:left w:w="108" w:type="dxa"/>
            <w:bottom w:w="0" w:type="dxa"/>
            <w:right w:w="108" w:type="dxa"/>
          </w:tblCellMar>
        </w:tblPrEx>
        <w:trPr>
          <w:trHeight w:val="1933" w:hRule="atLeast"/>
        </w:trPr>
        <w:tc>
          <w:tcPr>
            <w:tcW w:w="537" w:type="pct"/>
            <w:tcBorders>
              <w:top w:val="single" w:color="auto" w:sz="4" w:space="0"/>
              <w:left w:val="single" w:color="auto" w:sz="4" w:space="0"/>
              <w:bottom w:val="single" w:color="auto" w:sz="4" w:space="0"/>
              <w:right w:val="single" w:color="auto" w:sz="4" w:space="0"/>
            </w:tcBorders>
            <w:noWrap w:val="0"/>
            <w:vAlign w:val="center"/>
          </w:tcPr>
          <w:p w14:paraId="5D71F90B">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施工期生态环境影响分析</w:t>
            </w:r>
          </w:p>
        </w:tc>
        <w:tc>
          <w:tcPr>
            <w:tcW w:w="4462" w:type="pct"/>
            <w:tcBorders>
              <w:top w:val="single" w:color="auto" w:sz="4" w:space="0"/>
              <w:left w:val="single" w:color="auto" w:sz="4" w:space="0"/>
              <w:bottom w:val="single" w:color="auto" w:sz="4" w:space="0"/>
              <w:right w:val="single" w:color="auto" w:sz="4" w:space="0"/>
            </w:tcBorders>
            <w:noWrap w:val="0"/>
            <w:vAlign w:val="top"/>
          </w:tcPr>
          <w:p w14:paraId="483B21A4">
            <w:pPr>
              <w:pStyle w:val="18"/>
              <w:spacing w:line="360" w:lineRule="auto"/>
              <w:ind w:firstLine="480"/>
              <w:rPr>
                <w:rFonts w:hint="default" w:ascii="Times New Roman" w:hAnsi="Times New Roman" w:cs="Times New Roman"/>
                <w:b w:val="0"/>
                <w:color w:val="auto"/>
                <w:highlight w:val="none"/>
              </w:rPr>
            </w:pPr>
            <w:r>
              <w:rPr>
                <w:rFonts w:hint="default" w:ascii="Times New Roman" w:hAnsi="Times New Roman" w:cs="Times New Roman"/>
                <w:b w:val="0"/>
                <w:color w:val="auto"/>
                <w:highlight w:val="none"/>
              </w:rPr>
              <w:t>本项目的建设对生态环境的不利影响主要表现在施工期。本项目施工期的环境影响主要包括生态环境、地表水环境、大气环境、声环境等方面。施工期影响短暂，且随施工结束而消失。</w:t>
            </w:r>
            <w:r>
              <w:rPr>
                <w:rFonts w:hint="eastAsia" w:hAnsi="Times New Roman" w:cs="Times New Roman"/>
                <w:b w:val="0"/>
                <w:color w:val="auto"/>
                <w:highlight w:val="none"/>
                <w:lang w:val="en-US" w:eastAsia="zh-CN"/>
              </w:rPr>
              <w:t>此外，清河镇段及杨家镇段已完成施工。本次对该段施工期生态环境影响进行回顾性分析。</w:t>
            </w:r>
          </w:p>
          <w:p w14:paraId="776131BC">
            <w:pPr>
              <w:pStyle w:val="18"/>
              <w:spacing w:line="360" w:lineRule="auto"/>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4.1施工期生态环境影响分析</w:t>
            </w:r>
          </w:p>
          <w:p w14:paraId="17709AC1">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本项目是以生态影响为主的建设项目。施工期对生态环境的影响主要表现在施工占地、土石方开挖、修建围堰、堤坝等对陆生植被的破坏，陆生、水生动物的干扰。具体如下：</w:t>
            </w:r>
          </w:p>
          <w:p w14:paraId="1729222A">
            <w:pPr>
              <w:tabs>
                <w:tab w:val="left" w:pos="1260"/>
              </w:tabs>
              <w:wordWrap w:val="0"/>
              <w:adjustRightInd w:val="0"/>
              <w:snapToGrid w:val="0"/>
              <w:ind w:left="0" w:leftChars="0" w:firstLine="0" w:firstLineChar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rPr>
              <w:t>4.1.1</w:t>
            </w:r>
            <w:r>
              <w:rPr>
                <w:rFonts w:hint="default" w:ascii="Times New Roman" w:hAnsi="Times New Roman" w:cs="Times New Roman"/>
                <w:b/>
                <w:bCs/>
                <w:color w:val="auto"/>
                <w:highlight w:val="none"/>
                <w:lang w:val="en-US" w:eastAsia="zh-CN"/>
              </w:rPr>
              <w:t>工程占地影响</w:t>
            </w:r>
          </w:p>
          <w:p w14:paraId="56F4267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本</w:t>
            </w: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永久占地主要为主体工程区占地，临时占地主要为施工生产占地</w:t>
            </w:r>
            <w:r>
              <w:rPr>
                <w:rFonts w:hint="eastAsia" w:cs="Times New Roman"/>
                <w:color w:val="auto"/>
                <w:highlight w:val="none"/>
                <w:lang w:eastAsia="zh-CN"/>
              </w:rPr>
              <w:t>、施工道路</w:t>
            </w:r>
            <w:r>
              <w:rPr>
                <w:rFonts w:hint="default" w:ascii="Times New Roman" w:hAnsi="Times New Roman" w:cs="Times New Roman"/>
                <w:color w:val="auto"/>
                <w:highlight w:val="none"/>
              </w:rPr>
              <w:t>占地。</w:t>
            </w:r>
            <w:r>
              <w:rPr>
                <w:rFonts w:hint="eastAsia" w:cs="Times New Roman"/>
                <w:color w:val="auto"/>
                <w:highlight w:val="none"/>
                <w:lang w:val="en-US" w:eastAsia="zh-CN"/>
              </w:rPr>
              <w:t>现场踏勘及调查，</w:t>
            </w:r>
            <w:r>
              <w:rPr>
                <w:rFonts w:hint="default" w:ascii="Times New Roman" w:hAnsi="Times New Roman" w:eastAsia="宋体" w:cs="Times New Roman"/>
                <w:color w:val="auto"/>
                <w:highlight w:val="none"/>
                <w:lang w:val="en-US" w:eastAsia="zh-CN"/>
              </w:rPr>
              <w:t>本项目永久占地</w:t>
            </w:r>
            <w:r>
              <w:rPr>
                <w:rFonts w:hint="eastAsia" w:cs="Times New Roman"/>
                <w:color w:val="auto"/>
                <w:highlight w:val="none"/>
                <w:lang w:val="en-US" w:eastAsia="zh-CN"/>
              </w:rPr>
              <w:t>的</w:t>
            </w:r>
            <w:r>
              <w:rPr>
                <w:rFonts w:hint="default" w:ascii="Times New Roman" w:hAnsi="Times New Roman" w:eastAsia="宋体" w:cs="Times New Roman"/>
                <w:color w:val="auto"/>
                <w:highlight w:val="none"/>
                <w:lang w:val="en-US" w:eastAsia="zh-CN"/>
              </w:rPr>
              <w:t>占地</w:t>
            </w:r>
            <w:r>
              <w:rPr>
                <w:rFonts w:hint="eastAsia" w:cs="Times New Roman"/>
                <w:color w:val="auto"/>
                <w:highlight w:val="none"/>
                <w:lang w:val="en-US" w:eastAsia="zh-CN"/>
              </w:rPr>
              <w:t>现状</w:t>
            </w:r>
            <w:r>
              <w:rPr>
                <w:rFonts w:hint="default" w:ascii="Times New Roman" w:hAnsi="Times New Roman" w:eastAsia="宋体" w:cs="Times New Roman"/>
                <w:color w:val="auto"/>
                <w:highlight w:val="none"/>
                <w:lang w:val="en-US" w:eastAsia="zh-CN"/>
              </w:rPr>
              <w:t>类型</w:t>
            </w:r>
            <w:r>
              <w:rPr>
                <w:rFonts w:hint="default" w:ascii="Times New Roman" w:hAnsi="Times New Roman" w:eastAsia="宋体" w:cs="Times New Roman"/>
                <w:color w:val="auto"/>
                <w:sz w:val="24"/>
                <w:szCs w:val="24"/>
                <w:highlight w:val="none"/>
              </w:rPr>
              <w:t>主要为耕地、林地草地</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河滩地</w:t>
            </w:r>
            <w:r>
              <w:rPr>
                <w:rFonts w:hint="eastAsia" w:cs="Times New Roman"/>
                <w:color w:val="auto"/>
                <w:sz w:val="24"/>
                <w:szCs w:val="24"/>
                <w:highlight w:val="none"/>
                <w:lang w:val="en-US" w:eastAsia="zh-CN"/>
              </w:rPr>
              <w:t>及其他土地</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临时占地</w:t>
            </w:r>
            <w:r>
              <w:rPr>
                <w:rFonts w:hint="eastAsia" w:cs="Times New Roman"/>
                <w:color w:val="auto"/>
                <w:highlight w:val="none"/>
                <w:lang w:val="en-US" w:eastAsia="zh-CN"/>
              </w:rPr>
              <w:t>的</w:t>
            </w:r>
            <w:r>
              <w:rPr>
                <w:rFonts w:hint="default" w:ascii="Times New Roman" w:hAnsi="Times New Roman" w:cs="Times New Roman"/>
                <w:color w:val="auto"/>
                <w:sz w:val="24"/>
                <w:szCs w:val="24"/>
                <w:highlight w:val="none"/>
                <w:lang w:val="en-US" w:eastAsia="zh-CN"/>
              </w:rPr>
              <w:t>占地类型主要为</w:t>
            </w:r>
            <w:r>
              <w:rPr>
                <w:rFonts w:hint="default" w:ascii="Times New Roman" w:hAnsi="Times New Roman" w:cs="Times New Roman"/>
                <w:color w:val="auto"/>
                <w:highlight w:val="none"/>
              </w:rPr>
              <w:t>林地草地</w:t>
            </w:r>
            <w:r>
              <w:rPr>
                <w:rFonts w:hint="eastAsia" w:cs="Times New Roman"/>
                <w:color w:val="auto"/>
                <w:highlight w:val="none"/>
                <w:lang w:eastAsia="zh-CN"/>
              </w:rPr>
              <w:t>、</w:t>
            </w:r>
            <w:r>
              <w:rPr>
                <w:rFonts w:hint="eastAsia" w:cs="Times New Roman"/>
                <w:color w:val="auto"/>
                <w:highlight w:val="none"/>
                <w:lang w:val="en-US" w:eastAsia="zh-CN"/>
              </w:rPr>
              <w:t>河滩地、耕地、建设用地</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highlight w:val="none"/>
              </w:rPr>
              <w:t>永久占地将改变现有土地利用现状，一定程度上导致</w:t>
            </w:r>
            <w:r>
              <w:rPr>
                <w:rFonts w:hint="default" w:ascii="Times New Roman" w:hAnsi="Times New Roman" w:eastAsia="宋体" w:cs="Times New Roman"/>
                <w:color w:val="auto"/>
                <w:highlight w:val="none"/>
                <w:lang w:val="en-US" w:eastAsia="zh-CN"/>
              </w:rPr>
              <w:t>耕地、林地草地</w:t>
            </w:r>
            <w:r>
              <w:rPr>
                <w:rFonts w:hint="eastAsia" w:cs="Times New Roman"/>
                <w:color w:val="auto"/>
                <w:highlight w:val="none"/>
                <w:lang w:val="en-US" w:eastAsia="zh-CN"/>
              </w:rPr>
              <w:t>等</w:t>
            </w:r>
            <w:r>
              <w:rPr>
                <w:rFonts w:hint="default" w:ascii="Times New Roman" w:hAnsi="Times New Roman" w:eastAsia="宋体" w:cs="Times New Roman"/>
                <w:color w:val="auto"/>
                <w:highlight w:val="none"/>
              </w:rPr>
              <w:t>的减少，造成</w:t>
            </w:r>
            <w:r>
              <w:rPr>
                <w:rFonts w:hint="default" w:ascii="Times New Roman" w:hAnsi="Times New Roman" w:eastAsia="宋体" w:cs="Times New Roman"/>
                <w:color w:val="auto"/>
                <w:highlight w:val="none"/>
                <w:lang w:val="en-US" w:eastAsia="zh-CN"/>
              </w:rPr>
              <w:t>耕地、林地草地</w:t>
            </w:r>
            <w:r>
              <w:rPr>
                <w:rFonts w:hint="eastAsia" w:cs="Times New Roman"/>
                <w:color w:val="auto"/>
                <w:highlight w:val="none"/>
                <w:lang w:val="en-US" w:eastAsia="zh-CN"/>
              </w:rPr>
              <w:t>等</w:t>
            </w:r>
            <w:r>
              <w:rPr>
                <w:rFonts w:hint="default" w:ascii="Times New Roman" w:hAnsi="Times New Roman" w:eastAsia="宋体" w:cs="Times New Roman"/>
                <w:color w:val="auto"/>
                <w:highlight w:val="none"/>
              </w:rPr>
              <w:t>面积损失。</w:t>
            </w:r>
          </w:p>
          <w:p w14:paraId="1850009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s="Times New Roman"/>
                <w:b/>
                <w:bCs/>
                <w:color w:val="auto"/>
                <w:highlight w:val="none"/>
                <w:lang w:val="en-US" w:eastAsia="zh-CN"/>
              </w:rPr>
            </w:pPr>
            <w:r>
              <w:rPr>
                <w:rFonts w:hint="eastAsia" w:cs="Times New Roman"/>
                <w:color w:val="auto"/>
                <w:highlight w:val="none"/>
                <w:lang w:val="en-US" w:eastAsia="zh-CN"/>
              </w:rPr>
              <w:t>·</w:t>
            </w:r>
            <w:r>
              <w:rPr>
                <w:rFonts w:hint="eastAsia" w:cs="Times New Roman"/>
                <w:b/>
                <w:bCs/>
                <w:color w:val="auto"/>
                <w:highlight w:val="none"/>
                <w:lang w:val="en-US" w:eastAsia="zh-CN"/>
              </w:rPr>
              <w:t>二郎及福兴段、石河镇段及双拱场段</w:t>
            </w:r>
          </w:p>
          <w:p w14:paraId="281570A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s="Times New Roman"/>
                <w:color w:val="auto"/>
                <w:highlight w:val="none"/>
                <w:lang w:val="en-US" w:eastAsia="zh-CN"/>
              </w:rPr>
            </w:pPr>
            <w:r>
              <w:rPr>
                <w:rFonts w:hint="default" w:ascii="Times New Roman" w:hAnsi="Times New Roman" w:eastAsia="宋体" w:cs="Times New Roman"/>
                <w:color w:val="auto"/>
                <w:highlight w:val="none"/>
              </w:rPr>
              <w:t>根据</w:t>
            </w:r>
            <w:r>
              <w:rPr>
                <w:rFonts w:hint="eastAsia" w:cs="Times New Roman"/>
                <w:color w:val="auto"/>
                <w:highlight w:val="none"/>
                <w:lang w:val="en-US" w:eastAsia="zh-CN"/>
              </w:rPr>
              <w:t>收集资料及现场调查，该段</w:t>
            </w:r>
            <w:r>
              <w:rPr>
                <w:rFonts w:hint="default" w:ascii="Times New Roman" w:hAnsi="Times New Roman" w:eastAsia="宋体" w:cs="Times New Roman"/>
                <w:color w:val="auto"/>
                <w:highlight w:val="none"/>
              </w:rPr>
              <w:t>工程永久占地主要包括</w:t>
            </w:r>
            <w:r>
              <w:rPr>
                <w:rFonts w:hint="eastAsia" w:cs="Times New Roman"/>
                <w:color w:val="auto"/>
                <w:highlight w:val="none"/>
                <w:lang w:eastAsia="zh-CN"/>
              </w:rPr>
              <w:t>堤防工程</w:t>
            </w:r>
            <w:r>
              <w:rPr>
                <w:rFonts w:hint="default" w:ascii="Times New Roman" w:hAnsi="Times New Roman" w:eastAsia="宋体" w:cs="Times New Roman"/>
                <w:color w:val="auto"/>
                <w:highlight w:val="none"/>
                <w:lang w:val="en-US" w:eastAsia="zh-CN"/>
              </w:rPr>
              <w:t>等</w:t>
            </w:r>
            <w:r>
              <w:rPr>
                <w:rFonts w:hint="default" w:ascii="Times New Roman" w:hAnsi="Times New Roman" w:eastAsia="宋体" w:cs="Times New Roman"/>
                <w:color w:val="auto"/>
                <w:highlight w:val="none"/>
              </w:rPr>
              <w:t>工程占地，永久占地以水域及水利设施用地为主</w:t>
            </w:r>
            <w:r>
              <w:rPr>
                <w:rFonts w:hint="eastAsia" w:cs="Times New Roman"/>
                <w:color w:val="auto"/>
                <w:highlight w:val="none"/>
                <w:lang w:eastAsia="zh-CN"/>
              </w:rPr>
              <w:t>。</w:t>
            </w:r>
            <w:r>
              <w:rPr>
                <w:rFonts w:hint="eastAsia" w:cs="Times New Roman"/>
                <w:color w:val="auto"/>
                <w:highlight w:val="none"/>
                <w:lang w:val="en-US" w:eastAsia="zh-CN"/>
              </w:rPr>
              <w:t>施工结束后，对施工临时占地进行覆土绿化恢复原貌。</w:t>
            </w:r>
          </w:p>
          <w:p w14:paraId="3ED1726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r>
              <w:rPr>
                <w:rFonts w:hint="eastAsia" w:cs="Times New Roman"/>
                <w:b/>
                <w:bCs/>
                <w:color w:val="auto"/>
                <w:highlight w:val="none"/>
                <w:lang w:val="en-US" w:eastAsia="zh-CN"/>
              </w:rPr>
              <w:t>清河镇段及杨家镇段</w:t>
            </w:r>
          </w:p>
          <w:p w14:paraId="1FDE1F20">
            <w:pPr>
              <w:ind w:left="0" w:leftChars="0" w:firstLine="720" w:firstLineChars="300"/>
              <w:rPr>
                <w:rFonts w:hint="eastAsia"/>
                <w:color w:val="auto"/>
                <w:sz w:val="24"/>
                <w:highlight w:val="none"/>
                <w:lang w:val="en-US" w:eastAsia="zh-CN"/>
              </w:rPr>
            </w:pPr>
            <w:r>
              <w:rPr>
                <w:rFonts w:hint="eastAsia"/>
                <w:color w:val="auto"/>
                <w:sz w:val="24"/>
                <w:highlight w:val="none"/>
                <w:lang w:val="en-US" w:eastAsia="zh-CN"/>
              </w:rPr>
              <w:t>现场调查，该段永久占地均位于河道用地范围内，属于水利设施用地。施工场地均租用建设用地（闲置兵峰驾校清河培训基地、杨家镇小转盘垃圾收集点闲置用地），其他临时用地均布置河道管理用地范围内。临时用地现已恢复。占地类型现状主要为耕地、林地、其他（草地、河滩地、水利设施用地等）、建设用地，不涉及基本农田。</w:t>
            </w:r>
          </w:p>
          <w:p w14:paraId="5132088A">
            <w:pPr>
              <w:ind w:firstLine="480" w:firstLineChars="200"/>
              <w:rPr>
                <w:rFonts w:hint="default" w:ascii="Times New Roman" w:hAnsi="Times New Roman" w:cs="Times New Roman"/>
                <w:color w:val="auto"/>
                <w:highlight w:val="none"/>
                <w:lang w:eastAsia="zh-CN"/>
              </w:rPr>
            </w:pPr>
            <w:r>
              <w:rPr>
                <w:rFonts w:hint="eastAsia"/>
                <w:color w:val="auto"/>
                <w:sz w:val="24"/>
                <w:highlight w:val="none"/>
                <w:lang w:val="en-US" w:eastAsia="zh-CN"/>
              </w:rPr>
              <w:t>因此，评价认为项目对工程占地未改变评价范围内土地利用性质，对土地利用的影响小，可接受。</w:t>
            </w:r>
          </w:p>
          <w:p w14:paraId="45AD78CF">
            <w:pPr>
              <w:tabs>
                <w:tab w:val="left" w:pos="1260"/>
              </w:tabs>
              <w:wordWrap w:val="0"/>
              <w:adjustRightInd w:val="0"/>
              <w:snapToGrid w:val="0"/>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4.1.2</w:t>
            </w:r>
            <w:r>
              <w:rPr>
                <w:rFonts w:hint="default" w:ascii="Times New Roman" w:hAnsi="Times New Roman" w:cs="Times New Roman"/>
                <w:b/>
                <w:bCs/>
                <w:color w:val="auto"/>
                <w:highlight w:val="none"/>
              </w:rPr>
              <w:t>对陆生生态系统影响</w:t>
            </w:r>
          </w:p>
          <w:p w14:paraId="2290445C">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s="Times New Roman"/>
                <w:b/>
                <w:bCs/>
                <w:color w:val="auto"/>
                <w:highlight w:val="none"/>
                <w:lang w:val="en-US" w:eastAsia="zh-CN"/>
              </w:rPr>
            </w:pPr>
            <w:r>
              <w:rPr>
                <w:rFonts w:hint="eastAsia" w:cs="Times New Roman"/>
                <w:b/>
                <w:bCs/>
                <w:color w:val="auto"/>
                <w:highlight w:val="none"/>
                <w:lang w:val="en-US" w:eastAsia="zh-CN"/>
              </w:rPr>
              <w:t>4.1.2.1二郎及福兴段、石河镇段及双拱场段</w:t>
            </w:r>
          </w:p>
          <w:p w14:paraId="43BD1929">
            <w:pPr>
              <w:tabs>
                <w:tab w:val="left" w:pos="1260"/>
              </w:tabs>
              <w:wordWrap w:val="0"/>
              <w:adjustRightInd w:val="0"/>
              <w:snapToGrid w:val="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（1）对生态系统完整性的影响</w:t>
            </w:r>
          </w:p>
          <w:p w14:paraId="44BB0067">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本项目建设过程中建筑物永久占地及临时设施等，都将改变工程区植被、土壤和土地的利用方式，从而影响本</w:t>
            </w:r>
            <w:r>
              <w:rPr>
                <w:rFonts w:hint="eastAsia" w:cs="Times New Roman"/>
                <w:color w:val="auto"/>
                <w:highlight w:val="none"/>
                <w:lang w:val="en-US" w:eastAsia="zh-CN"/>
              </w:rPr>
              <w:t>区域</w:t>
            </w:r>
            <w:r>
              <w:rPr>
                <w:rFonts w:hint="default" w:ascii="Times New Roman" w:hAnsi="Times New Roman" w:cs="Times New Roman"/>
                <w:color w:val="auto"/>
                <w:highlight w:val="none"/>
              </w:rPr>
              <w:t>生态环境体系的完整性和稳定性。</w:t>
            </w:r>
          </w:p>
          <w:p w14:paraId="719D27EA">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①对生物生产力的影响</w:t>
            </w:r>
          </w:p>
          <w:p w14:paraId="45CB3333">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设期工程开挖及临时占地造成土地资源有所减少，同时破坏原有植被，使评价区内的生物生产力有所降低。但就占用数量上来讲，工程建设期工程开挖及临时占地对整个评价区而言，生物生产力损失量影响较小，评价区生态系统是可以承受的。</w:t>
            </w:r>
          </w:p>
          <w:p w14:paraId="2EF5F033">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②对生态系统稳定性的影响</w:t>
            </w:r>
          </w:p>
          <w:p w14:paraId="46664338">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的建设将影响区域内的自然景观体系，生物量和生产力有所降低，但因工程规模不大，影响范围和时段均有限，故影响程度较小。工程建成后，评价区内自然景观体系的生物量及生产力不会发生明显的变化，经过一段时间后，有能力从工程造成的干扰中恢复至生态系统的正常状况。</w:t>
            </w:r>
          </w:p>
          <w:p w14:paraId="5DD707AE">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自然景观体系抗干扰稳定性的度量可通过植被异质性的改变程度来度量。异质性就是特征多样性程度，它表现在动植物已占据生态位和可能占据的潜在生态位的多样化程度。自然景观体系中有复杂和微妙的条件在保证生物栖息地、种群和群落的相对稳定。虽然工程建成后优势度值略有降低，但对生态系统的稳定性影响不大。</w:t>
            </w:r>
          </w:p>
          <w:p w14:paraId="5FE3F8F0">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因此，工程的建设对区域自然景观体系中模地组分的异质化程度影响也不大，这种变化对工程所在区域的自然体系是可以承受的。</w:t>
            </w:r>
          </w:p>
          <w:p w14:paraId="732CD6EC">
            <w:pPr>
              <w:tabs>
                <w:tab w:val="left" w:pos="1260"/>
              </w:tabs>
              <w:wordWrap w:val="0"/>
              <w:adjustRightInd w:val="0"/>
              <w:snapToGrid w:val="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（2）对陆生植物的影响</w:t>
            </w:r>
          </w:p>
          <w:p w14:paraId="3F6A1647">
            <w:pPr>
              <w:ind w:firstLine="480"/>
              <w:rPr>
                <w:rFonts w:hint="default" w:ascii="Times New Roman" w:hAnsi="Times New Roman" w:cs="Times New Roman"/>
                <w:color w:val="auto"/>
                <w:highlight w:val="none"/>
              </w:rPr>
            </w:pPr>
            <w:r>
              <w:rPr>
                <w:rFonts w:hint="default" w:ascii="Times New Roman" w:hAnsi="Times New Roman" w:cs="Times New Roman"/>
                <w:bCs/>
                <w:color w:val="auto"/>
                <w:szCs w:val="24"/>
                <w:highlight w:val="none"/>
              </w:rPr>
              <w:t>经过调查，项目区域内无国家保护野生植物分布</w:t>
            </w:r>
            <w:r>
              <w:rPr>
                <w:rFonts w:hint="eastAsia" w:cs="Times New Roman"/>
                <w:bCs/>
                <w:color w:val="auto"/>
                <w:szCs w:val="24"/>
                <w:highlight w:val="none"/>
                <w:lang w:eastAsia="zh-CN"/>
              </w:rPr>
              <w:t>。</w:t>
            </w:r>
            <w:r>
              <w:rPr>
                <w:rFonts w:hint="default" w:ascii="Times New Roman" w:hAnsi="Times New Roman" w:cs="Times New Roman"/>
                <w:bCs/>
                <w:color w:val="auto"/>
                <w:szCs w:val="24"/>
                <w:highlight w:val="none"/>
              </w:rPr>
              <w:t>项目对陆生生态系统的影响主要表现在项目施工活动、工程占地等对植被的损毁。但从生态系统整体性和系统性角度来讲，项目对陆生生态系统的完整性、稳定性造成总体不利影响的规模很小，陆生生态系统的格局将维持不变</w:t>
            </w:r>
            <w:r>
              <w:rPr>
                <w:rFonts w:hint="default" w:ascii="Times New Roman" w:hAnsi="Times New Roman" w:cs="Times New Roman"/>
                <w:color w:val="auto"/>
                <w:highlight w:val="none"/>
              </w:rPr>
              <w:t>。</w:t>
            </w:r>
          </w:p>
          <w:p w14:paraId="3DFD6B0B">
            <w:pPr>
              <w:tabs>
                <w:tab w:val="left" w:pos="1260"/>
              </w:tabs>
              <w:wordWrap w:val="0"/>
              <w:adjustRightInd w:val="0"/>
              <w:snapToGrid w:val="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（3）对陆生动物的影响</w:t>
            </w:r>
          </w:p>
          <w:p w14:paraId="257BB02D">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本项目施工期对陆生动物的影响主要表现在以下几个方面：工程占地对陆生动物生境的影响；施工期间水环境变化对动物生境的影响；施工噪声、振动及人为活动对陆生动物的干扰。</w:t>
            </w:r>
          </w:p>
          <w:p w14:paraId="78E8BE44">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施工区周边分布有大量同类型的生境，陆生动物在受到施工活动影响后一般能在周边找到适宜生境。而且，单位区域内的工程量有限，占地面积有限。因此，工程建设对陆生动物及其生境影响有限。</w:t>
            </w:r>
          </w:p>
          <w:p w14:paraId="2156E3ED">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实施后，通过堤防护坡工程、水土保持措施及完工后临时占地区的植被恢复措施和耕地复垦措施，可以使工程影响区内的植被在较短时间内得到较好的恢复。随着区域植被的逐步恢复，施工占地区内的动物数量也将逐步恢复至现状水平。</w:t>
            </w:r>
          </w:p>
          <w:p w14:paraId="70C824DC">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①工程占地对生境影响</w:t>
            </w:r>
          </w:p>
          <w:p w14:paraId="303DD288">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工程施工期，临时用地等主体工程用地会占用部分陆生动物的栖息地，对于不同类群的动物，影响分析如下：</w:t>
            </w:r>
          </w:p>
          <w:p w14:paraId="6C9B0DD2">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两栖类动物的影响：工程涉及区常见的两栖类动物主要有蛙、蛇、蟾蜍等，这些动物的领地范围较小，行动较兽类和鸟类迟缓。工程建设占地将导致部分两栖类动物丧失其原有的栖息地，被动向周边地区迁移，由于两栖类动物具有一定的迁徙和规避危险的能力，因此，工程建设对两栖动物的影响主要是导致其在施工区及外围地带的分布及种群数量的变化，不会改变其区系组成和种群数量。</w:t>
            </w:r>
          </w:p>
          <w:p w14:paraId="1287FAB9">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爬行类以及小型哺乳类动物的影响：爬行类以及小型哺乳类动物的栖息地相对稳定。在施工期，工程施工占用其栖息地，将迫使其向周边生境迁移。评价区内人为开发历史较长，生境同质性较高，爬行类和小型哺乳类动物的种类和数量均较少，且大多为常见种类，工程占地对其栖息地影响较小。</w:t>
            </w:r>
          </w:p>
          <w:p w14:paraId="1FD10F82">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对鸟类的影响：本项目临时占地类型为</w:t>
            </w:r>
            <w:r>
              <w:rPr>
                <w:rFonts w:hint="eastAsia" w:cs="Times New Roman"/>
                <w:color w:val="auto"/>
                <w:szCs w:val="24"/>
                <w:highlight w:val="none"/>
                <w:lang w:eastAsia="zh-CN"/>
              </w:rPr>
              <w:t>林地草地、河滩地</w:t>
            </w:r>
            <w:r>
              <w:rPr>
                <w:rFonts w:hint="default" w:ascii="Times New Roman" w:hAnsi="Times New Roman" w:cs="Times New Roman"/>
                <w:color w:val="auto"/>
                <w:highlight w:val="none"/>
              </w:rPr>
              <w:t>，且施工干扰呈点状或线状，对鸟类的栖息环境影响不大。鸟类具有较强的迁移能力，因此整体施工工程中不会对鸟类栖息、觅食产生明显不可逆影响，且在工程施工结束后，部分生境（如临时占地区域）将逐渐恢复。因此，工程施工占地对评价区内鸟类的栖息的影响较小。</w:t>
            </w:r>
          </w:p>
          <w:p w14:paraId="4B142B7C">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②施工噪声对动物的影响</w:t>
            </w:r>
          </w:p>
          <w:p w14:paraId="513F4B31">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两栖类和爬行类动物的听觉相对不敏感，施工噪声对其影响不大，而施工活动所产生的振动将对其产生一定的驱赶性，特别是对振动相对敏感的蛇类，施工活动产生的振动将驱赶其向周边区域迁移。但相对于整个评价区而言，工程施工为点状和线状，影响区域有限。在施工结束后，随着干扰源的消失，不利影响将逐渐消失。</w:t>
            </w:r>
          </w:p>
          <w:p w14:paraId="5A4DF310">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评价区内的哺乳类动物，生态幅较宽，适应能力和抗干扰能力较强，工程施工噪声和振动等对其影响较小。</w:t>
            </w:r>
          </w:p>
          <w:p w14:paraId="330CE68D">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于鸟类，施工噪声以及施工活动产生的振动对其均会产生一定的驱赶影响。鸟类的活动范围较为广泛，避趋能力也较强，施工噪声以及振动的影响为短期影响，且影响范围局限于施工区域附近，对鸟类的干扰影响十分有限。在施工活动的结束后，随着干扰源的消失，不利影响也将逐渐消失。</w:t>
            </w:r>
          </w:p>
          <w:p w14:paraId="6AC38F95">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③施工期间水环境变化对动物的影响</w:t>
            </w:r>
          </w:p>
          <w:p w14:paraId="0AE2D365">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本项目施工过程中，可能会造成附近水域悬浮物浓度增高，从而对周边的部分静水型和陆栖型两栖类，林栖傍水型和水栖型爬行类，以及涉禽和游禽等鸟类产生一定程度的不利影响。</w:t>
            </w:r>
          </w:p>
          <w:p w14:paraId="6B4F6741">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工程施工组织设计，工程安排在枯水期施工，并采取一定的施工导流措施，一定程度上减少了对周边水域的直接干扰，SS浓度升高涉及的水域面积较小，施工期水环境变化对动物的干扰强度较低。随着施工结束，对动物的不利影响将消失。</w:t>
            </w:r>
          </w:p>
          <w:p w14:paraId="55185817">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施工期间，施工生产废水处理后回用，不外排；生活污水依托周边农户生活污水处理设施处理，对周边区域水环境影响较小。此外，工程施工区周边大多为人类干扰强度较大的区域，分布的动物种类大多为适应能力较强的种类。因此，施工期水环境变化对区域内动物生境的影响较小。</w:t>
            </w:r>
          </w:p>
          <w:p w14:paraId="7CD5BA29">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④施工人员活动对动物的影响</w:t>
            </w:r>
          </w:p>
          <w:p w14:paraId="318F604C">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活动中，人为干扰不可避免。部分具有一定经济价值的蛙类、蛇类、鸟类等，如乌梢蛇、乌龟等，有可能因为施工人员的捕杀，而造成其种群中个体数量的下降，影响其种群大小。为最大限度保护评价区内的动物多样性，应严格约束施工人员对动物的捕杀行为。</w:t>
            </w:r>
          </w:p>
          <w:p w14:paraId="057378B3">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根据现状调查结果，评价区总体上开发程度较高，城镇和零散居民点较多，受干扰能力强，只要加强施工管理，严格控制施工人员活动范围，将可有效避免施工人员活动造成的不利影响。</w:t>
            </w:r>
          </w:p>
          <w:p w14:paraId="4A6CE2A6">
            <w:pPr>
              <w:tabs>
                <w:tab w:val="left" w:pos="1260"/>
              </w:tabs>
              <w:wordWrap w:val="0"/>
              <w:adjustRightInd w:val="0"/>
              <w:snapToGrid w:val="0"/>
              <w:ind w:left="0" w:leftChars="0" w:firstLine="0" w:firstLineChars="0"/>
              <w:rPr>
                <w:rFonts w:hint="default" w:ascii="Times New Roman" w:hAnsi="Times New Roman" w:cs="Times New Roman"/>
                <w:color w:val="auto"/>
                <w:highlight w:val="none"/>
              </w:rPr>
            </w:pPr>
            <w:r>
              <w:rPr>
                <w:rFonts w:hint="eastAsia" w:cs="Times New Roman"/>
                <w:b/>
                <w:bCs/>
                <w:color w:val="auto"/>
                <w:highlight w:val="none"/>
                <w:lang w:val="en-US" w:eastAsia="zh-CN"/>
              </w:rPr>
              <w:t>4.1.2.1 清河镇段及杨家镇段</w:t>
            </w:r>
          </w:p>
          <w:p w14:paraId="2CD362C0">
            <w:pPr>
              <w:tabs>
                <w:tab w:val="left" w:pos="1260"/>
              </w:tabs>
              <w:wordWrap w:val="0"/>
              <w:adjustRightInd w:val="0"/>
              <w:snapToGrid w:val="0"/>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清河镇段及杨家镇段</w:t>
            </w:r>
            <w:r>
              <w:rPr>
                <w:rFonts w:hint="eastAsia" w:cs="Times New Roman"/>
                <w:color w:val="auto"/>
                <w:highlight w:val="none"/>
                <w:lang w:val="en-US" w:eastAsia="zh-CN"/>
              </w:rPr>
              <w:t>所在</w:t>
            </w:r>
            <w:r>
              <w:rPr>
                <w:rFonts w:hint="default" w:ascii="Times New Roman" w:hAnsi="Times New Roman" w:cs="Times New Roman"/>
                <w:color w:val="auto"/>
                <w:highlight w:val="none"/>
                <w:lang w:val="en-US" w:eastAsia="zh-CN"/>
              </w:rPr>
              <w:t>区域属于人类活动频繁的农业生态系统</w:t>
            </w:r>
            <w:r>
              <w:rPr>
                <w:rFonts w:hint="eastAsia" w:cs="Times New Roman"/>
                <w:color w:val="auto"/>
                <w:highlight w:val="none"/>
                <w:lang w:val="en-US" w:eastAsia="zh-CN"/>
              </w:rPr>
              <w:t>。根据调查，该段评价范围</w:t>
            </w:r>
            <w:r>
              <w:rPr>
                <w:rFonts w:hint="default" w:ascii="Times New Roman" w:hAnsi="Times New Roman" w:cs="Times New Roman"/>
                <w:color w:val="auto"/>
                <w:highlight w:val="none"/>
                <w:lang w:val="en-US" w:eastAsia="zh-CN"/>
              </w:rPr>
              <w:t>区内未发现珍稀保护</w:t>
            </w:r>
            <w:r>
              <w:rPr>
                <w:rFonts w:hint="eastAsia" w:cs="Times New Roman"/>
                <w:color w:val="auto"/>
                <w:highlight w:val="none"/>
                <w:lang w:val="en-US" w:eastAsia="zh-CN"/>
              </w:rPr>
              <w:t>动物及</w:t>
            </w:r>
            <w:r>
              <w:rPr>
                <w:rFonts w:hint="default" w:ascii="Times New Roman" w:hAnsi="Times New Roman" w:cs="Times New Roman"/>
                <w:color w:val="auto"/>
                <w:highlight w:val="none"/>
                <w:lang w:val="en-US" w:eastAsia="zh-CN"/>
              </w:rPr>
              <w:t>植物</w:t>
            </w:r>
            <w:r>
              <w:rPr>
                <w:rFonts w:hint="eastAsia" w:cs="Times New Roman"/>
                <w:color w:val="auto"/>
                <w:highlight w:val="none"/>
                <w:lang w:val="en-US" w:eastAsia="zh-CN"/>
              </w:rPr>
              <w:t>。动物主要为常见的</w:t>
            </w:r>
            <w:r>
              <w:rPr>
                <w:rFonts w:hint="eastAsia" w:cs="宋体"/>
                <w:color w:val="auto"/>
                <w:kern w:val="0"/>
                <w:sz w:val="24"/>
                <w:highlight w:val="none"/>
              </w:rPr>
              <w:t>鸟类、鼠类、两栖类、爬行</w:t>
            </w:r>
            <w:r>
              <w:rPr>
                <w:rFonts w:hint="eastAsia" w:cs="宋体"/>
                <w:color w:val="auto"/>
                <w:kern w:val="0"/>
                <w:sz w:val="24"/>
                <w:highlight w:val="none"/>
                <w:lang w:eastAsia="zh-CN"/>
              </w:rPr>
              <w:t>。</w:t>
            </w:r>
            <w:r>
              <w:rPr>
                <w:rFonts w:hint="eastAsia" w:cs="宋体"/>
                <w:color w:val="auto"/>
                <w:kern w:val="0"/>
                <w:sz w:val="24"/>
                <w:highlight w:val="none"/>
                <w:lang w:val="en-US" w:eastAsia="zh-CN"/>
              </w:rPr>
              <w:t>植物</w:t>
            </w:r>
            <w:r>
              <w:rPr>
                <w:rFonts w:hint="eastAsia"/>
                <w:color w:val="auto"/>
                <w:sz w:val="24"/>
                <w:highlight w:val="none"/>
              </w:rPr>
              <w:t>主要为人工种植</w:t>
            </w:r>
            <w:bookmarkStart w:id="4" w:name="OfficeAI_Add_14_24"/>
            <w:r>
              <w:rPr>
                <w:rFonts w:hint="eastAsia"/>
                <w:color w:val="auto"/>
                <w:sz w:val="24"/>
                <w:highlight w:val="none"/>
              </w:rPr>
              <w:t>的</w:t>
            </w:r>
            <w:bookmarkEnd w:id="4"/>
            <w:r>
              <w:rPr>
                <w:rFonts w:hint="eastAsia"/>
                <w:color w:val="auto"/>
                <w:sz w:val="24"/>
                <w:highlight w:val="none"/>
              </w:rPr>
              <w:t>农作物、经济作物、次生灌草，植物种类少</w:t>
            </w:r>
            <w:r>
              <w:rPr>
                <w:rFonts w:hint="eastAsia"/>
                <w:color w:val="auto"/>
                <w:sz w:val="24"/>
                <w:highlight w:val="none"/>
                <w:lang w:eastAsia="zh-CN"/>
              </w:rPr>
              <w:t>；</w:t>
            </w:r>
            <w:r>
              <w:rPr>
                <w:rFonts w:hint="eastAsia"/>
                <w:color w:val="auto"/>
                <w:sz w:val="24"/>
                <w:highlight w:val="none"/>
              </w:rPr>
              <w:t>无珍稀濒危保护植物分布</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项目施工后，对</w:t>
            </w:r>
            <w:r>
              <w:rPr>
                <w:rFonts w:hint="default" w:ascii="Times New Roman" w:hAnsi="Times New Roman" w:cs="Times New Roman"/>
                <w:color w:val="auto"/>
                <w:highlight w:val="none"/>
                <w:lang w:val="en-US" w:eastAsia="zh-CN"/>
              </w:rPr>
              <w:t>临时用地</w:t>
            </w:r>
            <w:r>
              <w:rPr>
                <w:rFonts w:hint="eastAsia" w:cs="Times New Roman"/>
                <w:color w:val="auto"/>
                <w:highlight w:val="none"/>
                <w:lang w:val="en-US" w:eastAsia="zh-CN"/>
              </w:rPr>
              <w:t>进行了恢复</w:t>
            </w:r>
            <w:r>
              <w:rPr>
                <w:rFonts w:hint="default" w:ascii="Times New Roman" w:hAnsi="Times New Roman" w:cs="Times New Roman"/>
                <w:color w:val="auto"/>
                <w:highlight w:val="none"/>
                <w:lang w:val="en-US" w:eastAsia="zh-CN"/>
              </w:rPr>
              <w:t>。</w:t>
            </w:r>
          </w:p>
          <w:p w14:paraId="3933172C">
            <w:pPr>
              <w:tabs>
                <w:tab w:val="left" w:pos="1260"/>
              </w:tabs>
              <w:wordWrap w:val="0"/>
              <w:adjustRightInd w:val="0"/>
              <w:snapToGrid w:val="0"/>
              <w:ind w:firstLine="480"/>
              <w:rPr>
                <w:rFonts w:hint="eastAsia" w:cs="Times New Roman"/>
                <w:color w:val="auto"/>
                <w:highlight w:val="none"/>
                <w:lang w:val="en-US" w:eastAsia="zh-CN"/>
              </w:rPr>
            </w:pPr>
            <w:r>
              <w:rPr>
                <w:rFonts w:hint="eastAsia" w:cs="Times New Roman"/>
                <w:color w:val="auto"/>
                <w:highlight w:val="none"/>
                <w:lang w:val="en-US" w:eastAsia="zh-CN"/>
              </w:rPr>
              <w:t>现场调查，护坡及临时用地植被生长较好，部分护坡有裸露地面。</w:t>
            </w:r>
          </w:p>
          <w:p w14:paraId="54BA709A">
            <w:pPr>
              <w:tabs>
                <w:tab w:val="left" w:pos="1260"/>
              </w:tabs>
              <w:wordWrap w:val="0"/>
              <w:adjustRightInd w:val="0"/>
              <w:snapToGrid w:val="0"/>
              <w:ind w:firstLine="480"/>
              <w:rPr>
                <w:rFonts w:hint="default" w:ascii="Times New Roman" w:hAnsi="Times New Roman" w:cs="Times New Roman"/>
                <w:b/>
                <w:bCs/>
                <w:color w:val="auto"/>
                <w:highlight w:val="none"/>
                <w:lang w:val="en-US" w:eastAsia="zh-CN"/>
              </w:rPr>
            </w:pPr>
            <w:r>
              <w:rPr>
                <w:rFonts w:hint="eastAsia" w:cs="Times New Roman"/>
                <w:b/>
                <w:bCs/>
                <w:color w:val="auto"/>
                <w:highlight w:val="none"/>
                <w:lang w:val="en-US" w:eastAsia="zh-CN"/>
              </w:rPr>
              <w:t>因此，评价要求建设单位对</w:t>
            </w:r>
            <w:r>
              <w:rPr>
                <w:rFonts w:hint="default" w:ascii="Times New Roman" w:hAnsi="Times New Roman" w:cs="Times New Roman"/>
                <w:b/>
                <w:bCs/>
                <w:color w:val="auto"/>
                <w:highlight w:val="none"/>
                <w:lang w:val="en-US" w:eastAsia="zh-CN"/>
              </w:rPr>
              <w:t>已完工护坡</w:t>
            </w:r>
            <w:r>
              <w:rPr>
                <w:rFonts w:hint="eastAsia" w:cs="Times New Roman"/>
                <w:b/>
                <w:bCs/>
                <w:color w:val="auto"/>
                <w:highlight w:val="none"/>
                <w:lang w:val="en-US" w:eastAsia="zh-CN"/>
              </w:rPr>
              <w:t>进行巡视，对裸露部分进行生态恢复。</w:t>
            </w:r>
            <w:r>
              <w:rPr>
                <w:rFonts w:hint="default" w:ascii="Times New Roman" w:hAnsi="Times New Roman" w:cs="Times New Roman"/>
                <w:b/>
                <w:bCs/>
                <w:color w:val="auto"/>
                <w:highlight w:val="none"/>
                <w:lang w:val="en-US" w:eastAsia="zh-CN"/>
              </w:rPr>
              <w:t>生态恢复须采用当地植被，严禁引入外来植被。</w:t>
            </w:r>
          </w:p>
          <w:p w14:paraId="0F762861">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在工程建设过程中，施工地带的现有植被将受到破坏。但施工期短，本项目建设不会对沿线植被产生长远的破坏性影响。同时，项目完工后，将实施绿化工程，沿线绿化工程的建设可在一定程度上补偿因施工破坏的原有植被，也具有景观改造、优化环境质量的作用。项目工程区基本不存在大型动物。一般来说，即使存在大型动物，也会自行迁徙，因此只有地表及地下浅层的小型动物受到损失，工程建设对动物生境影响较小。</w:t>
            </w:r>
          </w:p>
          <w:p w14:paraId="1F2461AB">
            <w:pPr>
              <w:tabs>
                <w:tab w:val="left" w:pos="1260"/>
              </w:tabs>
              <w:wordWrap w:val="0"/>
              <w:adjustRightInd w:val="0"/>
              <w:snapToGrid w:val="0"/>
              <w:ind w:left="0" w:leftChars="0" w:firstLine="0" w:firstLineChars="0"/>
              <w:rPr>
                <w:color w:val="auto"/>
                <w:highlight w:val="none"/>
              </w:rPr>
            </w:pPr>
            <w:r>
              <w:rPr>
                <w:rFonts w:hint="default" w:ascii="Times New Roman" w:hAnsi="Times New Roman" w:cs="Times New Roman"/>
                <w:b/>
                <w:bCs/>
                <w:color w:val="auto"/>
                <w:highlight w:val="none"/>
              </w:rPr>
              <w:t>4.1.</w:t>
            </w:r>
            <w:r>
              <w:rPr>
                <w:rFonts w:hint="default"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对水生生态的影响</w:t>
            </w:r>
          </w:p>
          <w:p w14:paraId="692B44FE">
            <w:pPr>
              <w:wordWrap/>
              <w:adjustRightInd/>
              <w:snapToGrid/>
              <w:spacing w:line="360" w:lineRule="auto"/>
              <w:ind w:firstLine="480" w:firstLineChars="0"/>
              <w:jc w:val="left"/>
              <w:rPr>
                <w:rFonts w:hint="eastAsia" w:ascii="Times New Roman" w:hAnsi="Times New Roman" w:cs="宋体"/>
                <w:bCs/>
                <w:color w:val="auto"/>
                <w:sz w:val="24"/>
                <w:highlight w:val="none"/>
                <w:lang w:val="en-US" w:eastAsia="zh-CN"/>
              </w:rPr>
            </w:pPr>
            <w:r>
              <w:rPr>
                <w:rFonts w:hint="eastAsia" w:ascii="宋体" w:hAnsi="宋体" w:cs="宋体"/>
                <w:bCs/>
                <w:color w:val="auto"/>
                <w:sz w:val="24"/>
                <w:highlight w:val="none"/>
              </w:rPr>
              <w:t>①</w:t>
            </w:r>
            <w:r>
              <w:rPr>
                <w:rFonts w:hint="eastAsia"/>
                <w:bCs/>
                <w:color w:val="auto"/>
                <w:sz w:val="24"/>
                <w:highlight w:val="none"/>
              </w:rPr>
              <w:t>对</w:t>
            </w:r>
            <w:r>
              <w:rPr>
                <w:rFonts w:hint="eastAsia"/>
                <w:bCs/>
                <w:color w:val="auto"/>
                <w:sz w:val="24"/>
                <w:highlight w:val="none"/>
                <w:lang w:val="en-US" w:eastAsia="zh-CN"/>
              </w:rPr>
              <w:t>水生生态</w:t>
            </w:r>
            <w:r>
              <w:rPr>
                <w:rFonts w:hint="eastAsia"/>
                <w:color w:val="auto"/>
                <w:sz w:val="24"/>
                <w:highlight w:val="none"/>
              </w:rPr>
              <w:t>的影响</w:t>
            </w:r>
          </w:p>
          <w:p w14:paraId="39138A8B">
            <w:pPr>
              <w:wordWrap/>
              <w:adjustRightInd/>
              <w:snapToGrid/>
              <w:spacing w:line="360" w:lineRule="auto"/>
              <w:ind w:firstLine="480" w:firstLineChars="0"/>
              <w:jc w:val="left"/>
              <w:rPr>
                <w:rFonts w:hint="default" w:ascii="Times New Roman" w:hAnsi="Times New Roman" w:cs="Times New Roman"/>
                <w:bCs w:val="0"/>
                <w:color w:val="auto"/>
                <w:sz w:val="24"/>
                <w:highlight w:val="none"/>
                <w:lang w:val="en-US" w:eastAsia="zh-CN"/>
              </w:rPr>
            </w:pPr>
            <w:r>
              <w:rPr>
                <w:rFonts w:hint="eastAsia" w:ascii="Times New Roman" w:hAnsi="Times New Roman" w:cs="宋体"/>
                <w:bCs/>
                <w:color w:val="auto"/>
                <w:sz w:val="24"/>
                <w:highlight w:val="none"/>
                <w:lang w:val="en-US" w:eastAsia="zh-CN"/>
              </w:rPr>
              <w:t>根据调查，</w:t>
            </w:r>
            <w:r>
              <w:rPr>
                <w:rFonts w:hint="eastAsia" w:cs="Times New Roman"/>
                <w:b w:val="0"/>
                <w:bCs w:val="0"/>
                <w:color w:val="auto"/>
                <w:highlight w:val="none"/>
                <w:lang w:val="en-US" w:eastAsia="zh-CN"/>
              </w:rPr>
              <w:t>二郎及福兴段、石河镇段及双拱场段、</w:t>
            </w:r>
            <w:r>
              <w:rPr>
                <w:rFonts w:hint="eastAsia" w:cs="Times New Roman"/>
                <w:color w:val="auto"/>
                <w:highlight w:val="none"/>
                <w:lang w:val="en-US" w:eastAsia="zh-CN"/>
              </w:rPr>
              <w:t>清河镇段及杨家镇段均</w:t>
            </w:r>
            <w:r>
              <w:rPr>
                <w:rFonts w:hint="eastAsia" w:ascii="Times New Roman" w:hAnsi="Times New Roman" w:cs="宋体"/>
                <w:bCs/>
                <w:color w:val="auto"/>
                <w:sz w:val="24"/>
                <w:highlight w:val="none"/>
                <w:lang w:val="en-US" w:eastAsia="zh-CN"/>
              </w:rPr>
              <w:t>位于人类活动密集区</w:t>
            </w:r>
            <w:r>
              <w:rPr>
                <w:rFonts w:hint="eastAsia" w:cs="宋体"/>
                <w:bCs/>
                <w:color w:val="auto"/>
                <w:sz w:val="24"/>
                <w:highlight w:val="none"/>
                <w:lang w:val="en-US" w:eastAsia="zh-CN"/>
              </w:rPr>
              <w:t>。</w:t>
            </w:r>
            <w:r>
              <w:rPr>
                <w:rFonts w:hint="default" w:ascii="Times New Roman" w:hAnsi="Times New Roman" w:eastAsia="宋体" w:cs="Times New Roman"/>
                <w:b w:val="0"/>
                <w:bCs w:val="0"/>
                <w:snapToGrid w:val="0"/>
                <w:color w:val="auto"/>
                <w:kern w:val="0"/>
                <w:sz w:val="24"/>
                <w:szCs w:val="22"/>
                <w:highlight w:val="none"/>
                <w:lang w:val="en-US" w:eastAsia="zh-CN" w:bidi="ar-SA"/>
              </w:rPr>
              <w:t>根据大竹县林业局《关于四川省大竹县石河镇二郎、福兴防洪治理工程等四个项目的情况说明》，本项目不涉及珍稀保护鱼类，也不涉及珍稀保护鱼类的产卵场、索饵场、越冬场及洄游通道</w:t>
            </w:r>
            <w:r>
              <w:rPr>
                <w:rFonts w:hint="eastAsia" w:ascii="Times New Roman" w:hAnsi="Times New Roman" w:eastAsia="宋体" w:cs="Times New Roman"/>
                <w:b w:val="0"/>
                <w:bCs w:val="0"/>
                <w:snapToGrid w:val="0"/>
                <w:color w:val="auto"/>
                <w:kern w:val="0"/>
                <w:sz w:val="24"/>
                <w:szCs w:val="22"/>
                <w:highlight w:val="none"/>
                <w:lang w:val="en-US" w:eastAsia="zh-CN" w:bidi="ar-SA"/>
              </w:rPr>
              <w:t>。</w:t>
            </w:r>
          </w:p>
          <w:p w14:paraId="5727BA25">
            <w:pPr>
              <w:wordWrap/>
              <w:adjustRightInd/>
              <w:snapToGrid/>
              <w:spacing w:line="360" w:lineRule="auto"/>
              <w:ind w:firstLine="480" w:firstLineChars="0"/>
              <w:jc w:val="left"/>
              <w:rPr>
                <w:rFonts w:hint="default" w:ascii="Times New Roman" w:hAnsi="Times New Roman" w:cs="Times New Roman"/>
                <w:bCs w:val="0"/>
                <w:color w:val="auto"/>
                <w:sz w:val="24"/>
                <w:highlight w:val="none"/>
                <w:lang w:val="en-US" w:eastAsia="zh-CN"/>
              </w:rPr>
            </w:pPr>
            <w:r>
              <w:rPr>
                <w:rFonts w:hint="default" w:ascii="Times New Roman" w:hAnsi="Times New Roman" w:cs="Times New Roman"/>
                <w:bCs w:val="0"/>
                <w:color w:val="auto"/>
                <w:sz w:val="24"/>
                <w:highlight w:val="none"/>
                <w:lang w:val="en-US" w:eastAsia="zh-CN"/>
              </w:rPr>
              <w:t>项目施工采取了分段施工、围堰导流施工。将涉水施工及疏浚均安排在枯水期，且避开了鱼类产卵期（如4~6月）及幼体扩散期施工，降低了直接杀伤风险。项目堤防涉水施工采取了导流围堰施工，围堰基坑废水均回用，不外排。项目雨天不施工。</w:t>
            </w:r>
          </w:p>
          <w:p w14:paraId="622404CC">
            <w:pPr>
              <w:adjustRightInd w:val="0"/>
              <w:snapToGrid w:val="0"/>
              <w:spacing w:line="360" w:lineRule="auto"/>
              <w:ind w:firstLine="482"/>
              <w:rPr>
                <w:rFonts w:hint="eastAsia"/>
                <w:color w:val="auto"/>
                <w:sz w:val="24"/>
                <w:highlight w:val="none"/>
              </w:rPr>
            </w:pPr>
            <w:r>
              <w:rPr>
                <w:rFonts w:hint="eastAsia" w:ascii="宋体" w:hAnsi="宋体" w:cs="宋体"/>
                <w:bCs/>
                <w:color w:val="auto"/>
                <w:sz w:val="24"/>
                <w:highlight w:val="none"/>
                <w:lang w:val="en-US" w:eastAsia="zh-CN"/>
              </w:rPr>
              <w:t>项目施工期采取的措施，将项目建设对水生生态环境的影响降至最低。</w:t>
            </w:r>
            <w:r>
              <w:rPr>
                <w:rFonts w:hint="eastAsia"/>
                <w:color w:val="auto"/>
                <w:sz w:val="24"/>
                <w:highlight w:val="none"/>
                <w:lang w:val="en-US" w:eastAsia="zh-CN"/>
              </w:rPr>
              <w:t>根据调查，在河流水体自净的作用下，区域水质已逐渐恢复。根据地表水现状资料统计，项目所在区域地表水满足</w:t>
            </w:r>
            <w:r>
              <w:rPr>
                <w:color w:val="auto"/>
                <w:kern w:val="0"/>
                <w:sz w:val="24"/>
                <w:highlight w:val="none"/>
              </w:rPr>
              <w:t>《地表水环境质量标准》（GB3838-2002）Ⅲ类水质标准</w:t>
            </w:r>
            <w:r>
              <w:rPr>
                <w:rFonts w:hint="eastAsia"/>
                <w:color w:val="auto"/>
                <w:kern w:val="0"/>
                <w:sz w:val="24"/>
                <w:highlight w:val="none"/>
                <w:lang w:eastAsia="zh-CN"/>
              </w:rPr>
              <w:t>。</w:t>
            </w:r>
            <w:r>
              <w:rPr>
                <w:rFonts w:hint="eastAsia"/>
                <w:bCs/>
                <w:color w:val="auto"/>
                <w:sz w:val="24"/>
                <w:highlight w:val="none"/>
                <w:lang w:val="en-US" w:eastAsia="zh-CN"/>
              </w:rPr>
              <w:t>因此，评价认为项目对评价河段水质的短期不利影响小，环境可接受。</w:t>
            </w:r>
          </w:p>
          <w:p w14:paraId="610B969F">
            <w:pPr>
              <w:tabs>
                <w:tab w:val="left" w:pos="1260"/>
              </w:tabs>
              <w:wordWrap w:val="0"/>
              <w:adjustRightInd w:val="0"/>
              <w:snapToGrid w:val="0"/>
              <w:spacing w:line="360" w:lineRule="auto"/>
              <w:ind w:firstLine="480" w:firstLineChars="20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现场调查，项目施工后未采取增殖放流等水生生态恢复措施。因此，本次评价价提出以下反馈意见：</w:t>
            </w:r>
          </w:p>
          <w:p w14:paraId="57645E0F">
            <w:pPr>
              <w:tabs>
                <w:tab w:val="left" w:pos="1260"/>
              </w:tabs>
              <w:wordWrap w:val="0"/>
              <w:adjustRightInd w:val="0"/>
              <w:snapToGrid w:val="0"/>
              <w:spacing w:line="360" w:lineRule="auto"/>
              <w:ind w:firstLine="480" w:firstLineChars="200"/>
              <w:rPr>
                <w:rFonts w:hint="default" w:ascii="Times New Roman" w:hAnsi="Times New Roman" w:cs="宋体"/>
                <w:bCs/>
                <w:color w:val="auto"/>
                <w:sz w:val="24"/>
                <w:highlight w:val="none"/>
                <w:lang w:val="en-US" w:eastAsia="zh-CN"/>
              </w:rPr>
            </w:pPr>
            <w:r>
              <w:rPr>
                <w:rFonts w:hint="eastAsia" w:ascii="宋体" w:hAnsi="宋体" w:cs="宋体"/>
                <w:bCs/>
                <w:color w:val="auto"/>
                <w:sz w:val="24"/>
                <w:highlight w:val="none"/>
                <w:lang w:val="en-US" w:eastAsia="zh-CN"/>
              </w:rPr>
              <w:t>·疏浚段：人工投放砾石基</w:t>
            </w:r>
            <w:r>
              <w:rPr>
                <w:rFonts w:hint="eastAsia" w:ascii="Times New Roman" w:hAnsi="Times New Roman" w:cs="宋体"/>
                <w:bCs/>
                <w:color w:val="auto"/>
                <w:sz w:val="24"/>
                <w:highlight w:val="none"/>
                <w:lang w:val="en-US" w:eastAsia="zh-CN"/>
              </w:rPr>
              <w:t>质（粒径5~20cm）重建产卵场，移植沉水植物或投放水生植物种子，加速水生生态修复。</w:t>
            </w:r>
          </w:p>
          <w:p w14:paraId="1A156A2E">
            <w:pPr>
              <w:tabs>
                <w:tab w:val="left" w:pos="1260"/>
              </w:tabs>
              <w:wordWrap w:val="0"/>
              <w:adjustRightInd w:val="0"/>
              <w:snapToGrid w:val="0"/>
              <w:ind w:firstLine="480"/>
              <w:rPr>
                <w:rFonts w:hint="eastAsia"/>
                <w:color w:val="auto"/>
                <w:sz w:val="24"/>
                <w:highlight w:val="none"/>
                <w:lang w:val="en-US" w:eastAsia="zh-CN"/>
              </w:rPr>
            </w:pPr>
            <w:r>
              <w:rPr>
                <w:rFonts w:hint="eastAsia"/>
                <w:color w:val="auto"/>
                <w:sz w:val="24"/>
                <w:highlight w:val="none"/>
                <w:lang w:val="en-US" w:eastAsia="zh-CN"/>
              </w:rPr>
              <w:t>·适当投放当地常见鱼类。</w:t>
            </w:r>
          </w:p>
          <w:p w14:paraId="3AE3945F">
            <w:pPr>
              <w:tabs>
                <w:tab w:val="left" w:pos="1260"/>
              </w:tabs>
              <w:wordWrap w:val="0"/>
              <w:adjustRightInd w:val="0"/>
              <w:snapToGrid w:val="0"/>
              <w:spacing w:line="360" w:lineRule="auto"/>
              <w:ind w:firstLine="480" w:firstLineChars="200"/>
              <w:rPr>
                <w:rFonts w:hint="default" w:eastAsia="宋体"/>
                <w:color w:val="auto"/>
                <w:sz w:val="24"/>
                <w:highlight w:val="none"/>
                <w:lang w:val="en-US" w:eastAsia="zh-CN"/>
              </w:rPr>
            </w:pPr>
            <w:r>
              <w:rPr>
                <w:rFonts w:hint="default" w:ascii="Times New Roman" w:hAnsi="Times New Roman" w:cs="Times New Roman"/>
                <w:color w:val="auto"/>
                <w:sz w:val="24"/>
                <w:highlight w:val="none"/>
              </w:rPr>
              <w:t>②</w:t>
            </w:r>
            <w:r>
              <w:rPr>
                <w:rFonts w:hint="eastAsia"/>
                <w:color w:val="auto"/>
                <w:sz w:val="24"/>
                <w:highlight w:val="none"/>
              </w:rPr>
              <w:t>涉水施工</w:t>
            </w:r>
            <w:r>
              <w:rPr>
                <w:rFonts w:hint="eastAsia"/>
                <w:color w:val="auto"/>
                <w:sz w:val="24"/>
                <w:highlight w:val="none"/>
                <w:lang w:val="en-US" w:eastAsia="zh-CN"/>
              </w:rPr>
              <w:t>的影响</w:t>
            </w:r>
          </w:p>
          <w:p w14:paraId="43103AC0">
            <w:pPr>
              <w:tabs>
                <w:tab w:val="left" w:pos="1260"/>
              </w:tabs>
              <w:wordWrap w:val="0"/>
              <w:adjustRightInd w:val="0"/>
              <w:snapToGrid w:val="0"/>
              <w:spacing w:line="360" w:lineRule="auto"/>
              <w:ind w:firstLine="480" w:firstLineChars="200"/>
              <w:rPr>
                <w:color w:val="auto"/>
                <w:sz w:val="24"/>
                <w:highlight w:val="none"/>
              </w:rPr>
            </w:pPr>
            <w:r>
              <w:rPr>
                <w:rFonts w:hint="eastAsia"/>
                <w:color w:val="auto"/>
                <w:sz w:val="24"/>
                <w:highlight w:val="none"/>
              </w:rPr>
              <w:t>项目在各工程河段涉水施工过程中，围堰法施工对地表水及水生生物的直接和间接影响如下：直接影响主要是指对河床造成了扰动，泥沙上浮，致使水中的悬浮物浓度增加从而影响水质；间接影响是指悬浮物浓度增加，水文情势改变，噪声增加等对防洪、水生生物活动等产生的不利影响。</w:t>
            </w:r>
          </w:p>
          <w:p w14:paraId="57B08E02">
            <w:pPr>
              <w:tabs>
                <w:tab w:val="left" w:pos="1260"/>
              </w:tabs>
              <w:wordWrap w:val="0"/>
              <w:adjustRightInd w:val="0"/>
              <w:snapToGrid w:val="0"/>
              <w:spacing w:line="360" w:lineRule="auto"/>
              <w:ind w:firstLine="480" w:firstLineChars="200"/>
              <w:rPr>
                <w:color w:val="auto"/>
                <w:sz w:val="24"/>
                <w:highlight w:val="none"/>
              </w:rPr>
            </w:pPr>
            <w:r>
              <w:rPr>
                <w:rFonts w:hint="eastAsia"/>
                <w:color w:val="auto"/>
                <w:sz w:val="24"/>
                <w:highlight w:val="none"/>
              </w:rPr>
              <w:t>针对以上影响，本环评提出，在涉水施工过程中，首先要选择适宜的施工季节，尽量选择在枯水期施工，并避开鱼类产卵季；其次要根据基础施工工艺提出恰当的环境保护措施，根据现场踏勘，各河段枯水期流量很小，流速较缓，河槽大部分裸露，可见大量卵石出露，因此本项目可通过沙袋和开挖临时水沟对水流方向进行调整，将水流引到作业区范围外，将涉水作业变为陆上作业，工程结束后清除沙袋，恢复河道原貌的措施来降低涉水施工对工程河段水体的影响；最后还要考虑施工噪声对敏感水生物的影响，施工时需采用低噪声设备。</w:t>
            </w:r>
          </w:p>
          <w:p w14:paraId="45565969">
            <w:pPr>
              <w:tabs>
                <w:tab w:val="left" w:pos="1260"/>
              </w:tabs>
              <w:wordWrap w:val="0"/>
              <w:adjustRightInd w:val="0"/>
              <w:snapToGrid w:val="0"/>
              <w:spacing w:line="360" w:lineRule="auto"/>
              <w:ind w:firstLine="480" w:firstLineChars="200"/>
              <w:rPr>
                <w:rFonts w:hint="eastAsia"/>
                <w:color w:val="auto"/>
                <w:sz w:val="24"/>
                <w:highlight w:val="none"/>
              </w:rPr>
            </w:pPr>
            <w:r>
              <w:rPr>
                <w:rFonts w:hint="eastAsia"/>
                <w:color w:val="auto"/>
                <w:sz w:val="24"/>
                <w:highlight w:val="none"/>
              </w:rPr>
              <w:t>综上，本项目涉水施工控制在枯水期，且涉水施工时间较短，加强施工管理，并对施工人员进行环保宣传教育，采用合理的施工方式进行围堰施工，减少施工泥沙的扰动。通过采取各种有效保护措施后，本项目的建设不会对保护区水域生态系统造成明显的负面影响。</w:t>
            </w:r>
          </w:p>
          <w:p w14:paraId="10A8B6C0">
            <w:pPr>
              <w:tabs>
                <w:tab w:val="left" w:pos="1260"/>
              </w:tabs>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施工期对环境的影响是暂时的。项目有针对性的采取污染治理后均能实现达标排放。影响分析表明，项目施工期各污染源排放强度均对当地各环境要素的环境质量影响小，且项目的施工期短暂，影响时间很短，对周围的环境影响较小。</w:t>
            </w:r>
          </w:p>
          <w:p w14:paraId="2458B06C">
            <w:pPr>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4.1.</w:t>
            </w:r>
            <w:r>
              <w:rPr>
                <w:rFonts w:hint="default"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t xml:space="preserve"> 水土流失影响</w:t>
            </w:r>
          </w:p>
          <w:p w14:paraId="2E451D46">
            <w:pPr>
              <w:ind w:left="0" w:leftChars="0" w:firstLine="0" w:firstLineChars="0"/>
              <w:rPr>
                <w:rFonts w:hint="default" w:ascii="Times New Roman" w:hAnsi="Times New Roman" w:eastAsia="宋体" w:cs="Times New Roman"/>
                <w:color w:val="auto"/>
                <w:highlight w:val="none"/>
                <w:lang w:val="en-US" w:eastAsia="zh-CN"/>
              </w:rPr>
            </w:pPr>
            <w:r>
              <w:rPr>
                <w:rFonts w:hint="eastAsia"/>
                <w:b/>
                <w:color w:val="auto"/>
                <w:sz w:val="24"/>
                <w:highlight w:val="none"/>
                <w:lang w:val="en-US" w:eastAsia="zh-CN"/>
              </w:rPr>
              <w:t xml:space="preserve">4.1.4.1 </w:t>
            </w:r>
            <w:r>
              <w:rPr>
                <w:rFonts w:hint="eastAsia" w:cs="Times New Roman"/>
                <w:b/>
                <w:bCs/>
                <w:color w:val="auto"/>
                <w:highlight w:val="none"/>
                <w:lang w:val="en-US" w:eastAsia="zh-CN"/>
              </w:rPr>
              <w:t>二郎及福兴段、石河镇段及双拱场段</w:t>
            </w:r>
          </w:p>
          <w:p w14:paraId="08C6DACB">
            <w:pPr>
              <w:autoSpaceDE/>
              <w:autoSpaceDN/>
              <w:adjustRightInd/>
              <w:snapToGrid/>
              <w:spacing w:beforeLines="0" w:afterLines="0" w:line="360" w:lineRule="auto"/>
              <w:ind w:firstLine="482" w:firstLineChars="200"/>
              <w:jc w:val="left"/>
              <w:rPr>
                <w:rFonts w:hint="default"/>
                <w:b/>
                <w:bCs/>
                <w:color w:val="auto"/>
                <w:sz w:val="24"/>
                <w:szCs w:val="24"/>
                <w:highlight w:val="none"/>
              </w:rPr>
            </w:pPr>
            <w:r>
              <w:rPr>
                <w:rFonts w:hint="default"/>
                <w:b/>
                <w:bCs/>
                <w:color w:val="auto"/>
                <w:sz w:val="24"/>
                <w:szCs w:val="24"/>
                <w:highlight w:val="none"/>
              </w:rPr>
              <w:t>（1）水土流失防治责任范围</w:t>
            </w:r>
          </w:p>
          <w:p w14:paraId="06CDFB07">
            <w:pPr>
              <w:spacing w:beforeLines="0" w:afterLines="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本项目水土流失防治责任范围总面积为</w:t>
            </w:r>
            <w:r>
              <w:rPr>
                <w:rFonts w:hint="eastAsia" w:cs="Times New Roman"/>
                <w:color w:val="auto"/>
                <w:sz w:val="24"/>
                <w:szCs w:val="24"/>
                <w:highlight w:val="none"/>
                <w:lang w:val="en-US" w:eastAsia="zh-CN"/>
              </w:rPr>
              <w:t>11.566</w:t>
            </w:r>
            <w:r>
              <w:rPr>
                <w:rFonts w:hint="default" w:ascii="Times New Roman" w:hAnsi="Times New Roman" w:eastAsia="TimesNewRomanPSMT" w:cs="Times New Roman"/>
                <w:color w:val="auto"/>
                <w:sz w:val="24"/>
                <w:szCs w:val="24"/>
                <w:highlight w:val="none"/>
              </w:rPr>
              <w:t>hm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，各分区防治责任范围见表</w:t>
            </w:r>
            <w:r>
              <w:rPr>
                <w:rFonts w:hint="default" w:ascii="Times New Roman" w:hAnsi="Times New Roman" w:eastAsia="宋体" w:cs="Times New Roman"/>
                <w:color w:val="auto"/>
                <w:sz w:val="24"/>
                <w:szCs w:val="24"/>
                <w:highlight w:val="none"/>
                <w:lang w:val="en-US" w:eastAsia="zh-CN"/>
              </w:rPr>
              <w:t>4.1</w:t>
            </w:r>
            <w:r>
              <w:rPr>
                <w:rFonts w:hint="default" w:ascii="Times New Roman" w:hAnsi="Times New Roman" w:eastAsia="TimesNewRomanPSMT"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w:t>
            </w:r>
          </w:p>
          <w:p w14:paraId="791EDA7B">
            <w:pPr>
              <w:ind w:left="0" w:leftChars="0" w:firstLine="0" w:firstLineChars="0"/>
              <w:jc w:val="center"/>
              <w:rPr>
                <w:rFonts w:hint="default" w:ascii="Times New Roman" w:hAnsi="Times New Roman" w:cs="Times New Roman"/>
                <w:b/>
                <w:bCs/>
                <w:color w:val="auto"/>
                <w:szCs w:val="24"/>
                <w:highlight w:val="none"/>
              </w:rPr>
            </w:pPr>
            <w:r>
              <w:rPr>
                <w:rFonts w:hint="eastAsia" w:cs="Times New Roman"/>
                <w:b/>
                <w:bCs/>
                <w:color w:val="auto"/>
                <w:szCs w:val="24"/>
                <w:highlight w:val="none"/>
                <w:lang w:val="en-US" w:eastAsia="zh-CN"/>
              </w:rPr>
              <w:t xml:space="preserve">表4.1-1  </w:t>
            </w:r>
            <w:r>
              <w:rPr>
                <w:rFonts w:hint="eastAsia" w:ascii="宋体" w:hAnsi="宋体" w:eastAsia="宋体"/>
                <w:b/>
                <w:bCs/>
                <w:color w:val="auto"/>
                <w:sz w:val="24"/>
                <w:szCs w:val="24"/>
                <w:highlight w:val="none"/>
              </w:rPr>
              <w:t>水土流失防治责任范围统计表</w:t>
            </w:r>
          </w:p>
          <w:tbl>
            <w:tblPr>
              <w:tblStyle w:val="11"/>
              <w:tblW w:w="869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07"/>
              <w:gridCol w:w="1502"/>
              <w:gridCol w:w="1337"/>
              <w:gridCol w:w="2672"/>
              <w:gridCol w:w="2381"/>
            </w:tblGrid>
            <w:tr w14:paraId="39BB34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807" w:type="dxa"/>
                  <w:tcBorders>
                    <w:tl2br w:val="nil"/>
                    <w:tr2bl w:val="nil"/>
                  </w:tcBorders>
                  <w:noWrap w:val="0"/>
                  <w:vAlign w:val="center"/>
                </w:tcPr>
                <w:p w14:paraId="663A0C38">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502" w:type="dxa"/>
                  <w:tcBorders>
                    <w:tl2br w:val="nil"/>
                    <w:tr2bl w:val="nil"/>
                  </w:tcBorders>
                  <w:noWrap w:val="0"/>
                  <w:vAlign w:val="center"/>
                </w:tcPr>
                <w:p w14:paraId="27695400">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工程河段</w:t>
                  </w:r>
                </w:p>
              </w:tc>
              <w:tc>
                <w:tcPr>
                  <w:tcW w:w="1337" w:type="dxa"/>
                  <w:tcBorders>
                    <w:tl2br w:val="nil"/>
                    <w:tr2bl w:val="nil"/>
                  </w:tcBorders>
                  <w:noWrap w:val="0"/>
                  <w:vAlign w:val="center"/>
                </w:tcPr>
                <w:p w14:paraId="614B0914">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防治分区</w:t>
                  </w:r>
                </w:p>
              </w:tc>
              <w:tc>
                <w:tcPr>
                  <w:tcW w:w="2672" w:type="dxa"/>
                  <w:tcBorders>
                    <w:tl2br w:val="nil"/>
                    <w:tr2bl w:val="nil"/>
                  </w:tcBorders>
                  <w:noWrap w:val="0"/>
                  <w:vAlign w:val="center"/>
                </w:tcPr>
                <w:p w14:paraId="67EE33D4">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防治责任范围面积（hm</w:t>
                  </w:r>
                  <w:r>
                    <w:rPr>
                      <w:rFonts w:hint="eastAsia" w:ascii="Times New Roman" w:hAnsi="Times New Roman" w:eastAsia="宋体" w:cs="Times New Roman"/>
                      <w:b/>
                      <w:bCs/>
                      <w:color w:val="auto"/>
                      <w:sz w:val="21"/>
                      <w:szCs w:val="21"/>
                      <w:highlight w:val="none"/>
                      <w:vertAlign w:val="superscript"/>
                      <w:lang w:val="en-US" w:eastAsia="zh-CN"/>
                    </w:rPr>
                    <w:t>2</w:t>
                  </w:r>
                  <w:r>
                    <w:rPr>
                      <w:rFonts w:hint="default" w:ascii="Times New Roman" w:hAnsi="Times New Roman" w:eastAsia="宋体" w:cs="Times New Roman"/>
                      <w:b/>
                      <w:bCs/>
                      <w:color w:val="auto"/>
                      <w:sz w:val="21"/>
                      <w:szCs w:val="21"/>
                      <w:highlight w:val="none"/>
                    </w:rPr>
                    <w:t>）</w:t>
                  </w:r>
                </w:p>
              </w:tc>
              <w:tc>
                <w:tcPr>
                  <w:tcW w:w="2381" w:type="dxa"/>
                  <w:tcBorders>
                    <w:tl2br w:val="nil"/>
                    <w:tr2bl w:val="nil"/>
                  </w:tcBorders>
                  <w:noWrap w:val="0"/>
                  <w:vAlign w:val="center"/>
                </w:tcPr>
                <w:p w14:paraId="3591AD51">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防治责任分区</w:t>
                  </w:r>
                </w:p>
              </w:tc>
            </w:tr>
            <w:tr w14:paraId="4AB8F4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807" w:type="dxa"/>
                  <w:tcBorders>
                    <w:tl2br w:val="nil"/>
                    <w:tr2bl w:val="nil"/>
                  </w:tcBorders>
                  <w:noWrap w:val="0"/>
                  <w:vAlign w:val="center"/>
                </w:tcPr>
                <w:p w14:paraId="61BA2C9D">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502" w:type="dxa"/>
                  <w:vMerge w:val="restart"/>
                  <w:tcBorders>
                    <w:tl2br w:val="nil"/>
                    <w:tr2bl w:val="nil"/>
                  </w:tcBorders>
                  <w:noWrap w:val="0"/>
                  <w:vAlign w:val="center"/>
                </w:tcPr>
                <w:p w14:paraId="06B31720">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石河镇二郎、福兴段</w:t>
                  </w:r>
                </w:p>
              </w:tc>
              <w:tc>
                <w:tcPr>
                  <w:tcW w:w="1337" w:type="dxa"/>
                  <w:tcBorders>
                    <w:tl2br w:val="nil"/>
                    <w:tr2bl w:val="nil"/>
                  </w:tcBorders>
                  <w:noWrap w:val="0"/>
                  <w:vAlign w:val="center"/>
                </w:tcPr>
                <w:p w14:paraId="52FCECF5">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堤防工程</w:t>
                  </w:r>
                </w:p>
              </w:tc>
              <w:tc>
                <w:tcPr>
                  <w:tcW w:w="2672" w:type="dxa"/>
                  <w:tcBorders>
                    <w:tl2br w:val="nil"/>
                    <w:tr2bl w:val="nil"/>
                  </w:tcBorders>
                  <w:noWrap w:val="0"/>
                  <w:vAlign w:val="center"/>
                </w:tcPr>
                <w:p w14:paraId="560746FE">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4.52</w:t>
                  </w:r>
                </w:p>
              </w:tc>
              <w:tc>
                <w:tcPr>
                  <w:tcW w:w="2381" w:type="dxa"/>
                  <w:tcBorders>
                    <w:tl2br w:val="nil"/>
                    <w:tr2bl w:val="nil"/>
                  </w:tcBorders>
                  <w:noWrap w:val="0"/>
                  <w:vAlign w:val="center"/>
                </w:tcPr>
                <w:p w14:paraId="5CEA3DDE">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主体工程施工区域</w:t>
                  </w:r>
                </w:p>
              </w:tc>
            </w:tr>
            <w:tr w14:paraId="220A44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807" w:type="dxa"/>
                  <w:tcBorders>
                    <w:tl2br w:val="nil"/>
                    <w:tr2bl w:val="nil"/>
                  </w:tcBorders>
                  <w:noWrap w:val="0"/>
                  <w:vAlign w:val="center"/>
                </w:tcPr>
                <w:p w14:paraId="719C45CC">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502" w:type="dxa"/>
                  <w:vMerge w:val="continue"/>
                  <w:tcBorders>
                    <w:tl2br w:val="nil"/>
                    <w:tr2bl w:val="nil"/>
                  </w:tcBorders>
                  <w:noWrap w:val="0"/>
                  <w:vAlign w:val="center"/>
                </w:tcPr>
                <w:p w14:paraId="19BC9C42">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337" w:type="dxa"/>
                  <w:tcBorders>
                    <w:tl2br w:val="nil"/>
                    <w:tr2bl w:val="nil"/>
                  </w:tcBorders>
                  <w:noWrap w:val="0"/>
                  <w:vAlign w:val="center"/>
                </w:tcPr>
                <w:p w14:paraId="0E702159">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施工道路</w:t>
                  </w:r>
                </w:p>
              </w:tc>
              <w:tc>
                <w:tcPr>
                  <w:tcW w:w="2672" w:type="dxa"/>
                  <w:tcBorders>
                    <w:tl2br w:val="nil"/>
                    <w:tr2bl w:val="nil"/>
                  </w:tcBorders>
                  <w:shd w:val="clear" w:color="auto" w:fill="auto"/>
                  <w:noWrap w:val="0"/>
                  <w:vAlign w:val="center"/>
                </w:tcPr>
                <w:p w14:paraId="1DF97385">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0.554</w:t>
                  </w:r>
                </w:p>
              </w:tc>
              <w:tc>
                <w:tcPr>
                  <w:tcW w:w="2381" w:type="dxa"/>
                  <w:tcBorders>
                    <w:tl2br w:val="nil"/>
                    <w:tr2bl w:val="nil"/>
                  </w:tcBorders>
                  <w:noWrap w:val="0"/>
                  <w:vAlign w:val="center"/>
                </w:tcPr>
                <w:p w14:paraId="7DD52EDA">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临时道路施工</w:t>
                  </w:r>
                  <w:r>
                    <w:rPr>
                      <w:rFonts w:hint="eastAsia" w:cs="Times New Roman"/>
                      <w:color w:val="auto"/>
                      <w:sz w:val="21"/>
                      <w:szCs w:val="21"/>
                      <w:highlight w:val="none"/>
                      <w:lang w:val="en-US" w:eastAsia="zh-CN"/>
                    </w:rPr>
                    <w:t>区域</w:t>
                  </w:r>
                </w:p>
              </w:tc>
            </w:tr>
            <w:tr w14:paraId="4AF7BF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807" w:type="dxa"/>
                  <w:tcBorders>
                    <w:tl2br w:val="nil"/>
                    <w:tr2bl w:val="nil"/>
                  </w:tcBorders>
                  <w:noWrap w:val="0"/>
                  <w:vAlign w:val="center"/>
                </w:tcPr>
                <w:p w14:paraId="75CEEE49">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502" w:type="dxa"/>
                  <w:vMerge w:val="continue"/>
                  <w:tcBorders>
                    <w:tl2br w:val="nil"/>
                    <w:tr2bl w:val="nil"/>
                  </w:tcBorders>
                  <w:noWrap w:val="0"/>
                  <w:vAlign w:val="center"/>
                </w:tcPr>
                <w:p w14:paraId="07E285C7">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337" w:type="dxa"/>
                  <w:tcBorders>
                    <w:tl2br w:val="nil"/>
                    <w:tr2bl w:val="nil"/>
                  </w:tcBorders>
                  <w:noWrap w:val="0"/>
                  <w:vAlign w:val="center"/>
                </w:tcPr>
                <w:p w14:paraId="43CC247D">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施工场地</w:t>
                  </w:r>
                </w:p>
              </w:tc>
              <w:tc>
                <w:tcPr>
                  <w:tcW w:w="2672" w:type="dxa"/>
                  <w:tcBorders>
                    <w:tl2br w:val="nil"/>
                    <w:tr2bl w:val="nil"/>
                  </w:tcBorders>
                  <w:shd w:val="clear" w:color="auto" w:fill="auto"/>
                  <w:noWrap w:val="0"/>
                  <w:vAlign w:val="center"/>
                </w:tcPr>
                <w:p w14:paraId="5121979F">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c>
                <w:tcPr>
                  <w:tcW w:w="2381" w:type="dxa"/>
                  <w:tcBorders>
                    <w:tl2br w:val="nil"/>
                    <w:tr2bl w:val="nil"/>
                  </w:tcBorders>
                  <w:noWrap w:val="0"/>
                  <w:vAlign w:val="center"/>
                </w:tcPr>
                <w:p w14:paraId="511F7667">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施工场地区域</w:t>
                  </w:r>
                </w:p>
              </w:tc>
            </w:tr>
            <w:tr w14:paraId="58D5B3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807" w:type="dxa"/>
                  <w:tcBorders>
                    <w:tl2br w:val="nil"/>
                    <w:tr2bl w:val="nil"/>
                  </w:tcBorders>
                  <w:noWrap w:val="0"/>
                  <w:vAlign w:val="center"/>
                </w:tcPr>
                <w:p w14:paraId="4A4F2121">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w:t>
                  </w:r>
                </w:p>
              </w:tc>
              <w:tc>
                <w:tcPr>
                  <w:tcW w:w="1502" w:type="dxa"/>
                  <w:vMerge w:val="continue"/>
                  <w:tcBorders>
                    <w:tl2br w:val="nil"/>
                    <w:tr2bl w:val="nil"/>
                  </w:tcBorders>
                  <w:noWrap w:val="0"/>
                  <w:vAlign w:val="center"/>
                </w:tcPr>
                <w:p w14:paraId="1E8335D6">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337" w:type="dxa"/>
                  <w:tcBorders>
                    <w:tl2br w:val="nil"/>
                    <w:tr2bl w:val="nil"/>
                  </w:tcBorders>
                  <w:noWrap w:val="0"/>
                  <w:vAlign w:val="center"/>
                </w:tcPr>
                <w:p w14:paraId="382E531F">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合计</w:t>
                  </w:r>
                </w:p>
              </w:tc>
              <w:tc>
                <w:tcPr>
                  <w:tcW w:w="2672" w:type="dxa"/>
                  <w:tcBorders>
                    <w:tl2br w:val="nil"/>
                    <w:tr2bl w:val="nil"/>
                  </w:tcBorders>
                  <w:shd w:val="clear" w:color="auto" w:fill="auto"/>
                  <w:noWrap w:val="0"/>
                  <w:vAlign w:val="center"/>
                </w:tcPr>
                <w:p w14:paraId="7E58C341">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5.134</w:t>
                  </w:r>
                </w:p>
              </w:tc>
              <w:tc>
                <w:tcPr>
                  <w:tcW w:w="2381" w:type="dxa"/>
                  <w:tcBorders>
                    <w:tl2br w:val="nil"/>
                    <w:tr2bl w:val="nil"/>
                  </w:tcBorders>
                  <w:noWrap w:val="0"/>
                  <w:vAlign w:val="center"/>
                </w:tcPr>
                <w:p w14:paraId="2366A52B">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5A1A78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807" w:type="dxa"/>
                  <w:tcBorders>
                    <w:tl2br w:val="nil"/>
                    <w:tr2bl w:val="nil"/>
                  </w:tcBorders>
                  <w:noWrap w:val="0"/>
                  <w:vAlign w:val="center"/>
                </w:tcPr>
                <w:p w14:paraId="4C0E8FAB">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502" w:type="dxa"/>
                  <w:vMerge w:val="restart"/>
                  <w:tcBorders>
                    <w:tl2br w:val="nil"/>
                    <w:tr2bl w:val="nil"/>
                  </w:tcBorders>
                  <w:noWrap w:val="0"/>
                  <w:vAlign w:val="center"/>
                </w:tcPr>
                <w:p w14:paraId="57F41A56">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石河镇石河镇段、双拱场段</w:t>
                  </w:r>
                </w:p>
              </w:tc>
              <w:tc>
                <w:tcPr>
                  <w:tcW w:w="1337" w:type="dxa"/>
                  <w:tcBorders>
                    <w:tl2br w:val="nil"/>
                    <w:tr2bl w:val="nil"/>
                  </w:tcBorders>
                  <w:shd w:val="clear" w:color="auto" w:fill="auto"/>
                  <w:noWrap w:val="0"/>
                  <w:vAlign w:val="center"/>
                </w:tcPr>
                <w:p w14:paraId="6D858F8A">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堤防工程</w:t>
                  </w:r>
                </w:p>
              </w:tc>
              <w:tc>
                <w:tcPr>
                  <w:tcW w:w="2672" w:type="dxa"/>
                  <w:tcBorders>
                    <w:tl2br w:val="nil"/>
                    <w:tr2bl w:val="nil"/>
                  </w:tcBorders>
                  <w:shd w:val="clear" w:color="auto" w:fill="auto"/>
                  <w:noWrap w:val="0"/>
                  <w:vAlign w:val="center"/>
                </w:tcPr>
                <w:p w14:paraId="6881343B">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5.04</w:t>
                  </w:r>
                </w:p>
              </w:tc>
              <w:tc>
                <w:tcPr>
                  <w:tcW w:w="2381" w:type="dxa"/>
                  <w:tcBorders>
                    <w:tl2br w:val="nil"/>
                    <w:tr2bl w:val="nil"/>
                  </w:tcBorders>
                  <w:shd w:val="clear" w:color="auto" w:fill="auto"/>
                  <w:noWrap w:val="0"/>
                  <w:vAlign w:val="center"/>
                </w:tcPr>
                <w:p w14:paraId="5857E11B">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主体工程施工区域</w:t>
                  </w:r>
                </w:p>
              </w:tc>
            </w:tr>
            <w:tr w14:paraId="0C2BCD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0" w:type="auto"/>
                  <w:tcBorders>
                    <w:tl2br w:val="nil"/>
                    <w:tr2bl w:val="nil"/>
                  </w:tcBorders>
                </w:tcPr>
                <w:p w14:paraId="6C4EB298">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1502" w:type="dxa"/>
                  <w:vMerge w:val="continue"/>
                  <w:tcBorders>
                    <w:tl2br w:val="nil"/>
                    <w:tr2bl w:val="nil"/>
                  </w:tcBorders>
                </w:tcPr>
                <w:p w14:paraId="15A23385">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337" w:type="dxa"/>
                  <w:tcBorders>
                    <w:tl2br w:val="nil"/>
                    <w:tr2bl w:val="nil"/>
                  </w:tcBorders>
                  <w:shd w:val="clear" w:color="auto" w:fill="auto"/>
                  <w:vAlign w:val="center"/>
                </w:tcPr>
                <w:p w14:paraId="33F69AC6">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施工道路</w:t>
                  </w:r>
                </w:p>
              </w:tc>
              <w:tc>
                <w:tcPr>
                  <w:tcW w:w="2672" w:type="dxa"/>
                  <w:tcBorders>
                    <w:tl2br w:val="nil"/>
                    <w:tr2bl w:val="nil"/>
                  </w:tcBorders>
                  <w:shd w:val="clear" w:color="auto" w:fill="auto"/>
                  <w:vAlign w:val="center"/>
                </w:tcPr>
                <w:p w14:paraId="518513FA">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snapToGrid w:val="0"/>
                      <w:color w:val="auto"/>
                      <w:kern w:val="0"/>
                      <w:sz w:val="21"/>
                      <w:szCs w:val="21"/>
                      <w:highlight w:val="none"/>
                      <w:lang w:val="en-US" w:eastAsia="zh-CN" w:bidi="ar-SA"/>
                    </w:rPr>
                    <w:t>1.332</w:t>
                  </w:r>
                </w:p>
              </w:tc>
              <w:tc>
                <w:tcPr>
                  <w:tcW w:w="2381" w:type="dxa"/>
                  <w:tcBorders>
                    <w:tl2br w:val="nil"/>
                    <w:tr2bl w:val="nil"/>
                  </w:tcBorders>
                  <w:shd w:val="clear" w:color="auto" w:fill="auto"/>
                  <w:vAlign w:val="center"/>
                </w:tcPr>
                <w:p w14:paraId="1976F942">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临时道路施工</w:t>
                  </w:r>
                  <w:r>
                    <w:rPr>
                      <w:rFonts w:hint="eastAsia" w:cs="Times New Roman"/>
                      <w:color w:val="auto"/>
                      <w:sz w:val="21"/>
                      <w:szCs w:val="21"/>
                      <w:highlight w:val="none"/>
                      <w:lang w:val="en-US" w:eastAsia="zh-CN"/>
                    </w:rPr>
                    <w:t>区域</w:t>
                  </w:r>
                </w:p>
              </w:tc>
            </w:tr>
            <w:tr w14:paraId="0561C6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0" w:type="auto"/>
                  <w:tcBorders>
                    <w:tl2br w:val="nil"/>
                    <w:tr2bl w:val="nil"/>
                  </w:tcBorders>
                </w:tcPr>
                <w:p w14:paraId="0128AB08">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502" w:type="dxa"/>
                  <w:vMerge w:val="continue"/>
                  <w:tcBorders>
                    <w:tl2br w:val="nil"/>
                    <w:tr2bl w:val="nil"/>
                  </w:tcBorders>
                </w:tcPr>
                <w:p w14:paraId="252FEF06">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337" w:type="dxa"/>
                  <w:tcBorders>
                    <w:tl2br w:val="nil"/>
                    <w:tr2bl w:val="nil"/>
                  </w:tcBorders>
                  <w:shd w:val="clear" w:color="auto" w:fill="auto"/>
                  <w:vAlign w:val="center"/>
                </w:tcPr>
                <w:p w14:paraId="5A790957">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施工场地区</w:t>
                  </w:r>
                </w:p>
              </w:tc>
              <w:tc>
                <w:tcPr>
                  <w:tcW w:w="2672" w:type="dxa"/>
                  <w:tcBorders>
                    <w:tl2br w:val="nil"/>
                    <w:tr2bl w:val="nil"/>
                  </w:tcBorders>
                  <w:shd w:val="clear" w:color="auto" w:fill="auto"/>
                  <w:vAlign w:val="center"/>
                </w:tcPr>
                <w:p w14:paraId="1D32BC88">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0.06</w:t>
                  </w:r>
                </w:p>
              </w:tc>
              <w:tc>
                <w:tcPr>
                  <w:tcW w:w="2381" w:type="dxa"/>
                  <w:tcBorders>
                    <w:tl2br w:val="nil"/>
                    <w:tr2bl w:val="nil"/>
                  </w:tcBorders>
                  <w:shd w:val="clear" w:color="auto" w:fill="auto"/>
                  <w:vAlign w:val="center"/>
                </w:tcPr>
                <w:p w14:paraId="0A75A598">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疏浚淤泥干化场区域</w:t>
                  </w:r>
                </w:p>
              </w:tc>
            </w:tr>
            <w:tr w14:paraId="300731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3" w:hRule="atLeast"/>
                <w:jc w:val="center"/>
              </w:trPr>
              <w:tc>
                <w:tcPr>
                  <w:tcW w:w="0" w:type="auto"/>
                  <w:tcBorders>
                    <w:tl2br w:val="nil"/>
                    <w:tr2bl w:val="nil"/>
                  </w:tcBorders>
                </w:tcPr>
                <w:p w14:paraId="76C966BC">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502" w:type="dxa"/>
                  <w:vMerge w:val="continue"/>
                  <w:tcBorders>
                    <w:tl2br w:val="nil"/>
                    <w:tr2bl w:val="nil"/>
                  </w:tcBorders>
                </w:tcPr>
                <w:p w14:paraId="626DD5A2">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1337" w:type="dxa"/>
                  <w:tcBorders>
                    <w:tl2br w:val="nil"/>
                    <w:tr2bl w:val="nil"/>
                  </w:tcBorders>
                  <w:shd w:val="clear" w:color="auto" w:fill="auto"/>
                  <w:vAlign w:val="center"/>
                </w:tcPr>
                <w:p w14:paraId="2E2D4137">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合计</w:t>
                  </w:r>
                </w:p>
              </w:tc>
              <w:tc>
                <w:tcPr>
                  <w:tcW w:w="2672" w:type="dxa"/>
                  <w:tcBorders>
                    <w:tl2br w:val="nil"/>
                    <w:tr2bl w:val="nil"/>
                  </w:tcBorders>
                  <w:shd w:val="clear" w:color="auto" w:fill="auto"/>
                  <w:vAlign w:val="center"/>
                </w:tcPr>
                <w:p w14:paraId="2BC735A7">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6.432</w:t>
                  </w:r>
                </w:p>
              </w:tc>
              <w:tc>
                <w:tcPr>
                  <w:tcW w:w="2381" w:type="dxa"/>
                  <w:tcBorders>
                    <w:tl2br w:val="nil"/>
                    <w:tr2bl w:val="nil"/>
                  </w:tcBorders>
                  <w:shd w:val="clear" w:color="auto" w:fill="auto"/>
                  <w:vAlign w:val="center"/>
                </w:tcPr>
                <w:p w14:paraId="355DC087">
                  <w:pPr>
                    <w:pStyle w:val="27"/>
                    <w:keepNext w:val="0"/>
                    <w:keepLines w:val="0"/>
                    <w:pageBreakBefore w:val="0"/>
                    <w:widowControl w:val="0"/>
                    <w:kinsoku w:val="0"/>
                    <w:wordWrap/>
                    <w:overflowPunct w:val="0"/>
                    <w:topLinePunct w:val="0"/>
                    <w:autoSpaceDE/>
                    <w:autoSpaceDN/>
                    <w:bidi w:val="0"/>
                    <w:adjustRightInd w:val="0"/>
                    <w:snapToGrid/>
                    <w:spacing w:before="0" w:beforeLines="0" w:afterLines="0" w:line="240" w:lineRule="auto"/>
                    <w:ind w:left="0" w:leftChars="0" w:right="0" w:rightChars="0" w:firstLine="0" w:firstLineChars="0"/>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w:t>
                  </w:r>
                </w:p>
              </w:tc>
            </w:tr>
          </w:tbl>
          <w:p w14:paraId="67484432">
            <w:pPr>
              <w:adjustRightInd w:val="0"/>
              <w:snapToGrid w:val="0"/>
              <w:spacing w:line="360" w:lineRule="auto"/>
              <w:ind w:firstLine="482"/>
              <w:rPr>
                <w:rFonts w:hint="eastAsia"/>
                <w:b/>
                <w:bCs/>
                <w:color w:val="auto"/>
                <w:sz w:val="24"/>
                <w:highlight w:val="none"/>
              </w:rPr>
            </w:pPr>
            <w:r>
              <w:rPr>
                <w:rFonts w:hint="eastAsia"/>
                <w:b/>
                <w:bCs/>
                <w:color w:val="auto"/>
                <w:sz w:val="24"/>
                <w:highlight w:val="none"/>
                <w:lang w:eastAsia="zh-CN"/>
              </w:rPr>
              <w:t>（</w:t>
            </w:r>
            <w:r>
              <w:rPr>
                <w:rFonts w:hint="eastAsia"/>
                <w:b/>
                <w:bCs/>
                <w:color w:val="auto"/>
                <w:sz w:val="24"/>
                <w:highlight w:val="none"/>
                <w:lang w:val="en-US" w:eastAsia="zh-CN"/>
              </w:rPr>
              <w:t>2</w:t>
            </w:r>
            <w:r>
              <w:rPr>
                <w:rFonts w:hint="eastAsia"/>
                <w:b/>
                <w:bCs/>
                <w:color w:val="auto"/>
                <w:sz w:val="24"/>
                <w:highlight w:val="none"/>
                <w:lang w:eastAsia="zh-CN"/>
              </w:rPr>
              <w:t>）</w:t>
            </w:r>
            <w:r>
              <w:rPr>
                <w:rFonts w:hint="eastAsia"/>
                <w:b/>
                <w:bCs/>
                <w:color w:val="auto"/>
                <w:sz w:val="24"/>
                <w:highlight w:val="none"/>
              </w:rPr>
              <w:t>水土保持措施布局</w:t>
            </w:r>
          </w:p>
          <w:p w14:paraId="7BD11F80">
            <w:pPr>
              <w:adjustRightInd w:val="0"/>
              <w:snapToGrid w:val="0"/>
              <w:spacing w:line="360" w:lineRule="auto"/>
              <w:ind w:firstLine="482"/>
              <w:rPr>
                <w:rFonts w:hint="eastAsia"/>
                <w:color w:val="auto"/>
                <w:sz w:val="24"/>
                <w:highlight w:val="none"/>
              </w:rPr>
            </w:pPr>
            <w:r>
              <w:rPr>
                <w:rFonts w:hint="eastAsia"/>
                <w:color w:val="auto"/>
                <w:sz w:val="24"/>
                <w:highlight w:val="none"/>
              </w:rPr>
              <w:t>为减轻工程施工带来的扰动，防治工程区内的水土流失，应采取工程措施、植物措施与临时措施相结合的方式对水土流失进行治理。结合工程区的水土流失特点和主体工程已有水土保持功能措施的分析，按照“不重复、不漏项”的原则，在工程建设区和直接影响区范围内全面布置水土保持措施，以达到控制工程区新增水土流失量，维护工程区内生态环境的良性循环，并保障工程运行安全的目的。</w:t>
            </w:r>
          </w:p>
          <w:p w14:paraId="05E7CB86">
            <w:pPr>
              <w:adjustRightInd w:val="0"/>
              <w:snapToGrid w:val="0"/>
              <w:spacing w:line="360" w:lineRule="auto"/>
              <w:ind w:firstLine="482"/>
              <w:rPr>
                <w:rFonts w:hint="eastAsia" w:eastAsia="宋体"/>
                <w:color w:val="auto"/>
                <w:sz w:val="24"/>
                <w:highlight w:val="none"/>
                <w:lang w:eastAsia="zh-CN"/>
              </w:rPr>
            </w:pPr>
            <w:r>
              <w:rPr>
                <w:rFonts w:hint="eastAsia"/>
                <w:color w:val="auto"/>
                <w:sz w:val="24"/>
                <w:highlight w:val="none"/>
                <w:lang w:eastAsia="zh-CN"/>
              </w:rPr>
              <w:t>本项目</w:t>
            </w:r>
            <w:r>
              <w:rPr>
                <w:rFonts w:hint="eastAsia"/>
                <w:color w:val="auto"/>
                <w:sz w:val="24"/>
                <w:highlight w:val="none"/>
              </w:rPr>
              <w:t>水土保持措施总体布局由各防治区域的不同防治措施体系和主体工程中已有的具有水土保持功能的工程项目构成。水土流失防治措施主要以主体工程设计中具有水土保持功能的工程措施为主，对未防护的开挖面采取绿化措施</w:t>
            </w:r>
            <w:r>
              <w:rPr>
                <w:rFonts w:hint="eastAsia"/>
                <w:color w:val="auto"/>
                <w:sz w:val="24"/>
                <w:highlight w:val="none"/>
                <w:lang w:eastAsia="zh-CN"/>
              </w:rPr>
              <w:t>。</w:t>
            </w:r>
          </w:p>
          <w:p w14:paraId="23E3169B">
            <w:pPr>
              <w:adjustRightInd w:val="0"/>
              <w:snapToGrid w:val="0"/>
              <w:spacing w:line="360" w:lineRule="auto"/>
              <w:ind w:firstLine="482"/>
              <w:rPr>
                <w:rFonts w:hint="eastAsia"/>
                <w:color w:val="auto"/>
                <w:sz w:val="24"/>
                <w:highlight w:val="none"/>
              </w:rPr>
            </w:pPr>
            <w:r>
              <w:rPr>
                <w:rFonts w:hint="eastAsia" w:ascii="宋体" w:hAnsi="宋体" w:cs="宋体"/>
                <w:color w:val="auto"/>
                <w:sz w:val="24"/>
                <w:highlight w:val="none"/>
              </w:rPr>
              <w:t>①</w:t>
            </w:r>
            <w:r>
              <w:rPr>
                <w:rFonts w:hint="eastAsia"/>
                <w:color w:val="auto"/>
                <w:sz w:val="24"/>
                <w:highlight w:val="none"/>
              </w:rPr>
              <w:t>主体工程永久占地区</w:t>
            </w:r>
          </w:p>
          <w:p w14:paraId="6DC11EE5">
            <w:pPr>
              <w:adjustRightInd w:val="0"/>
              <w:snapToGrid w:val="0"/>
              <w:spacing w:line="360" w:lineRule="auto"/>
              <w:ind w:firstLine="482"/>
              <w:rPr>
                <w:rFonts w:hint="eastAsia"/>
                <w:color w:val="auto"/>
                <w:sz w:val="24"/>
                <w:highlight w:val="none"/>
              </w:rPr>
            </w:pPr>
            <w:r>
              <w:rPr>
                <w:rFonts w:hint="eastAsia"/>
                <w:color w:val="auto"/>
                <w:sz w:val="24"/>
                <w:highlight w:val="none"/>
              </w:rPr>
              <w:t>主体工程施工区水土流失主要发生在施工期间，堤防护岸建好后由于地表基本硬化而不再产生水土流失。在施工期间，主体工程区要临时堆放施工料，堆放前要对表土进行剥离，设置排水沟，做好临时遮挡措施，施工结束后要重新覆土、播撒草籽。</w:t>
            </w:r>
          </w:p>
          <w:p w14:paraId="4BA8D284">
            <w:pPr>
              <w:adjustRightInd w:val="0"/>
              <w:snapToGrid w:val="0"/>
              <w:spacing w:line="360" w:lineRule="auto"/>
              <w:ind w:firstLine="482"/>
              <w:rPr>
                <w:rFonts w:hint="eastAsia"/>
                <w:color w:val="auto"/>
                <w:sz w:val="24"/>
                <w:highlight w:val="none"/>
              </w:rPr>
            </w:pPr>
            <w:r>
              <w:rPr>
                <w:rFonts w:hint="eastAsia" w:ascii="宋体" w:hAnsi="宋体" w:cs="宋体"/>
                <w:color w:val="auto"/>
                <w:sz w:val="24"/>
                <w:highlight w:val="none"/>
              </w:rPr>
              <w:t>②</w:t>
            </w:r>
            <w:r>
              <w:rPr>
                <w:rFonts w:hint="eastAsia"/>
                <w:color w:val="auto"/>
                <w:sz w:val="24"/>
                <w:highlight w:val="none"/>
              </w:rPr>
              <w:t>临时工程占地区</w:t>
            </w:r>
          </w:p>
          <w:p w14:paraId="639C7CC1">
            <w:pPr>
              <w:adjustRightInd w:val="0"/>
              <w:snapToGrid w:val="0"/>
              <w:spacing w:line="360" w:lineRule="auto"/>
              <w:ind w:firstLine="482"/>
              <w:rPr>
                <w:rFonts w:hint="eastAsia"/>
                <w:color w:val="auto"/>
                <w:sz w:val="24"/>
                <w:highlight w:val="none"/>
              </w:rPr>
            </w:pPr>
            <w:r>
              <w:rPr>
                <w:rFonts w:hint="eastAsia"/>
                <w:color w:val="auto"/>
                <w:sz w:val="24"/>
                <w:highlight w:val="none"/>
              </w:rPr>
              <w:t>施工前要对表土进行剥离，在施工</w:t>
            </w:r>
            <w:r>
              <w:rPr>
                <w:rFonts w:hint="eastAsia"/>
                <w:color w:val="auto"/>
                <w:sz w:val="24"/>
                <w:highlight w:val="none"/>
                <w:lang w:val="en-US" w:eastAsia="zh-CN"/>
              </w:rPr>
              <w:t>场地内</w:t>
            </w:r>
            <w:r>
              <w:rPr>
                <w:rFonts w:hint="eastAsia"/>
                <w:color w:val="auto"/>
                <w:sz w:val="24"/>
                <w:highlight w:val="none"/>
              </w:rPr>
              <w:t>设置临时排水沟</w:t>
            </w:r>
            <w:r>
              <w:rPr>
                <w:rFonts w:hint="eastAsia"/>
                <w:color w:val="auto"/>
                <w:sz w:val="24"/>
                <w:highlight w:val="none"/>
                <w:lang w:eastAsia="zh-CN"/>
              </w:rPr>
              <w:t>、</w:t>
            </w:r>
            <w:r>
              <w:rPr>
                <w:rFonts w:hint="eastAsia"/>
                <w:color w:val="auto"/>
                <w:sz w:val="24"/>
                <w:highlight w:val="none"/>
                <w:lang w:val="en-US" w:eastAsia="zh-CN"/>
              </w:rPr>
              <w:t>沉淀池、临时拦挡等措施</w:t>
            </w:r>
            <w:r>
              <w:rPr>
                <w:rFonts w:hint="eastAsia"/>
                <w:color w:val="auto"/>
                <w:sz w:val="24"/>
                <w:highlight w:val="none"/>
              </w:rPr>
              <w:t>，施工结束后清理场地，之前剥离的表土重新覆盖，并进行植被恢复。</w:t>
            </w:r>
          </w:p>
          <w:p w14:paraId="52E87856">
            <w:pPr>
              <w:adjustRightInd w:val="0"/>
              <w:snapToGrid w:val="0"/>
              <w:spacing w:line="360" w:lineRule="auto"/>
              <w:ind w:firstLine="482"/>
              <w:rPr>
                <w:rFonts w:hint="eastAsia"/>
                <w:color w:val="auto"/>
                <w:sz w:val="24"/>
                <w:highlight w:val="none"/>
              </w:rPr>
            </w:pPr>
            <w:r>
              <w:rPr>
                <w:rFonts w:hint="eastAsia"/>
                <w:color w:val="auto"/>
                <w:sz w:val="24"/>
                <w:highlight w:val="none"/>
              </w:rPr>
              <w:t>分区防治措施布局见下表：</w:t>
            </w:r>
          </w:p>
          <w:p w14:paraId="73A9B8AA">
            <w:pPr>
              <w:autoSpaceDE w:val="0"/>
              <w:autoSpaceDN w:val="0"/>
              <w:adjustRightInd w:val="0"/>
              <w:snapToGrid w:val="0"/>
              <w:jc w:val="center"/>
              <w:rPr>
                <w:rFonts w:hint="eastAsia"/>
                <w:b/>
                <w:color w:val="auto"/>
                <w:sz w:val="24"/>
                <w:highlight w:val="none"/>
              </w:rPr>
            </w:pPr>
            <w:r>
              <w:rPr>
                <w:rFonts w:hint="eastAsia"/>
                <w:b/>
                <w:color w:val="auto"/>
                <w:sz w:val="24"/>
                <w:highlight w:val="none"/>
              </w:rPr>
              <w:t>表4</w:t>
            </w:r>
            <w:r>
              <w:rPr>
                <w:b/>
                <w:color w:val="auto"/>
                <w:sz w:val="24"/>
                <w:highlight w:val="none"/>
              </w:rPr>
              <w:t>.</w:t>
            </w:r>
            <w:r>
              <w:rPr>
                <w:rFonts w:hint="eastAsia"/>
                <w:b/>
                <w:color w:val="auto"/>
                <w:sz w:val="24"/>
                <w:highlight w:val="none"/>
                <w:lang w:val="en-US" w:eastAsia="zh-CN"/>
              </w:rPr>
              <w:t>1</w:t>
            </w:r>
            <w:r>
              <w:rPr>
                <w:rFonts w:hint="eastAsia"/>
                <w:b/>
                <w:color w:val="auto"/>
                <w:sz w:val="24"/>
                <w:highlight w:val="none"/>
              </w:rPr>
              <w:t>-</w:t>
            </w:r>
            <w:r>
              <w:rPr>
                <w:rFonts w:hint="eastAsia"/>
                <w:b/>
                <w:color w:val="auto"/>
                <w:sz w:val="24"/>
                <w:highlight w:val="none"/>
                <w:lang w:val="en-US" w:eastAsia="zh-CN"/>
              </w:rPr>
              <w:t>2</w:t>
            </w:r>
            <w:r>
              <w:rPr>
                <w:b/>
                <w:color w:val="auto"/>
                <w:sz w:val="24"/>
                <w:highlight w:val="none"/>
              </w:rPr>
              <w:t xml:space="preserve">  </w:t>
            </w:r>
            <w:r>
              <w:rPr>
                <w:rFonts w:hint="eastAsia"/>
                <w:b/>
                <w:color w:val="auto"/>
                <w:sz w:val="24"/>
                <w:highlight w:val="none"/>
              </w:rPr>
              <w:t>分区防治措施布局表</w:t>
            </w:r>
          </w:p>
          <w:tbl>
            <w:tblPr>
              <w:tblStyle w:val="11"/>
              <w:tblW w:w="86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56"/>
              <w:gridCol w:w="1448"/>
              <w:gridCol w:w="2080"/>
              <w:gridCol w:w="3954"/>
            </w:tblGrid>
            <w:tr w14:paraId="36A57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jc w:val="center"/>
              </w:trPr>
              <w:tc>
                <w:tcPr>
                  <w:tcW w:w="1156"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0AB49C2D">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防治分区</w:t>
                  </w:r>
                </w:p>
              </w:tc>
              <w:tc>
                <w:tcPr>
                  <w:tcW w:w="1448"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568139FF">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防治对象</w:t>
                  </w:r>
                </w:p>
              </w:tc>
              <w:tc>
                <w:tcPr>
                  <w:tcW w:w="208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0EC8C9D1">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措施类型</w:t>
                  </w:r>
                </w:p>
              </w:tc>
              <w:tc>
                <w:tcPr>
                  <w:tcW w:w="3954"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5F9C05F1">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水土保持措施</w:t>
                  </w:r>
                </w:p>
              </w:tc>
            </w:tr>
            <w:tr w14:paraId="60039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56" w:type="dxa"/>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14:paraId="5A95C54F">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堤防工程区</w:t>
                  </w:r>
                </w:p>
              </w:tc>
              <w:tc>
                <w:tcPr>
                  <w:tcW w:w="1448" w:type="dxa"/>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14:paraId="71A5A2B1">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堤防工程施工区</w:t>
                  </w:r>
                </w:p>
              </w:tc>
              <w:tc>
                <w:tcPr>
                  <w:tcW w:w="208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3D08C511">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工程措施</w:t>
                  </w:r>
                </w:p>
              </w:tc>
              <w:tc>
                <w:tcPr>
                  <w:tcW w:w="3954"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0C0D815F">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排水沟</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土地平整、表土剥离和回覆</w:t>
                  </w:r>
                </w:p>
              </w:tc>
            </w:tr>
            <w:tr w14:paraId="31DD0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56" w:type="dxa"/>
                  <w:vMerge w:val="continue"/>
                  <w:tcBorders>
                    <w:top w:val="nil"/>
                    <w:left w:val="single" w:color="000000" w:sz="8" w:space="0"/>
                    <w:bottom w:val="single" w:color="000000" w:sz="8" w:space="0"/>
                    <w:right w:val="single" w:color="000000" w:sz="8" w:space="0"/>
                    <w:tl2br w:val="nil"/>
                    <w:tr2bl w:val="nil"/>
                  </w:tcBorders>
                  <w:noWrap w:val="0"/>
                  <w:vAlign w:val="center"/>
                </w:tcPr>
                <w:p w14:paraId="75C73FF4">
                  <w:pPr>
                    <w:pStyle w:val="41"/>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p>
              </w:tc>
              <w:tc>
                <w:tcPr>
                  <w:tcW w:w="1448" w:type="dxa"/>
                  <w:vMerge w:val="continue"/>
                  <w:tcBorders>
                    <w:top w:val="nil"/>
                    <w:left w:val="single" w:color="000000" w:sz="8" w:space="0"/>
                    <w:bottom w:val="single" w:color="000000" w:sz="8" w:space="0"/>
                    <w:right w:val="single" w:color="000000" w:sz="8" w:space="0"/>
                    <w:tl2br w:val="nil"/>
                    <w:tr2bl w:val="nil"/>
                  </w:tcBorders>
                  <w:noWrap w:val="0"/>
                  <w:vAlign w:val="center"/>
                </w:tcPr>
                <w:p w14:paraId="59E50170">
                  <w:pPr>
                    <w:pStyle w:val="41"/>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p>
              </w:tc>
              <w:tc>
                <w:tcPr>
                  <w:tcW w:w="208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78543404">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植物措施</w:t>
                  </w:r>
                </w:p>
              </w:tc>
              <w:tc>
                <w:tcPr>
                  <w:tcW w:w="3954"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204BE132">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树木移栽，</w:t>
                  </w:r>
                  <w:r>
                    <w:rPr>
                      <w:rFonts w:hint="default" w:ascii="Times New Roman" w:hAnsi="Times New Roman" w:eastAsia="宋体" w:cs="Times New Roman"/>
                      <w:color w:val="auto"/>
                      <w:sz w:val="21"/>
                      <w:szCs w:val="21"/>
                      <w:highlight w:val="none"/>
                    </w:rPr>
                    <w:t>播撒植草</w:t>
                  </w:r>
                </w:p>
              </w:tc>
            </w:tr>
            <w:tr w14:paraId="6BB3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56" w:type="dxa"/>
                  <w:vMerge w:val="continue"/>
                  <w:tcBorders>
                    <w:top w:val="nil"/>
                    <w:left w:val="single" w:color="000000" w:sz="8" w:space="0"/>
                    <w:bottom w:val="single" w:color="000000" w:sz="8" w:space="0"/>
                    <w:right w:val="single" w:color="000000" w:sz="8" w:space="0"/>
                    <w:tl2br w:val="nil"/>
                    <w:tr2bl w:val="nil"/>
                  </w:tcBorders>
                  <w:noWrap w:val="0"/>
                  <w:vAlign w:val="center"/>
                </w:tcPr>
                <w:p w14:paraId="7D249D84">
                  <w:pPr>
                    <w:pStyle w:val="41"/>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p>
              </w:tc>
              <w:tc>
                <w:tcPr>
                  <w:tcW w:w="1448" w:type="dxa"/>
                  <w:vMerge w:val="continue"/>
                  <w:tcBorders>
                    <w:top w:val="nil"/>
                    <w:left w:val="single" w:color="000000" w:sz="8" w:space="0"/>
                    <w:bottom w:val="single" w:color="000000" w:sz="8" w:space="0"/>
                    <w:right w:val="single" w:color="000000" w:sz="8" w:space="0"/>
                    <w:tl2br w:val="nil"/>
                    <w:tr2bl w:val="nil"/>
                  </w:tcBorders>
                  <w:noWrap w:val="0"/>
                  <w:vAlign w:val="center"/>
                </w:tcPr>
                <w:p w14:paraId="6795E577">
                  <w:pPr>
                    <w:pStyle w:val="41"/>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p>
              </w:tc>
              <w:tc>
                <w:tcPr>
                  <w:tcW w:w="208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1FBBB9D2">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临时措施</w:t>
                  </w:r>
                </w:p>
              </w:tc>
              <w:tc>
                <w:tcPr>
                  <w:tcW w:w="3954"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11F73126">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临时苫盖</w:t>
                  </w:r>
                </w:p>
              </w:tc>
            </w:tr>
            <w:tr w14:paraId="245D9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56" w:type="dxa"/>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14:paraId="19B3FF20">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施工道路区</w:t>
                  </w:r>
                </w:p>
              </w:tc>
              <w:tc>
                <w:tcPr>
                  <w:tcW w:w="1448" w:type="dxa"/>
                  <w:vMerge w:val="restart"/>
                  <w:tcBorders>
                    <w:top w:val="single" w:color="000000" w:sz="8" w:space="0"/>
                    <w:left w:val="single" w:color="000000" w:sz="8" w:space="0"/>
                    <w:bottom w:val="single" w:color="000000" w:sz="8" w:space="0"/>
                    <w:right w:val="single" w:color="000000" w:sz="8" w:space="0"/>
                    <w:tl2br w:val="nil"/>
                    <w:tr2bl w:val="nil"/>
                  </w:tcBorders>
                  <w:noWrap w:val="0"/>
                  <w:vAlign w:val="center"/>
                </w:tcPr>
                <w:p w14:paraId="261C96F2">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占压扰动区</w:t>
                  </w:r>
                </w:p>
              </w:tc>
              <w:tc>
                <w:tcPr>
                  <w:tcW w:w="208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6265BABA">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工程措施</w:t>
                  </w:r>
                </w:p>
              </w:tc>
              <w:tc>
                <w:tcPr>
                  <w:tcW w:w="3954"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4D835BA3">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表土剥离、回覆</w:t>
                  </w:r>
                </w:p>
              </w:tc>
            </w:tr>
            <w:tr w14:paraId="3DAE6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56" w:type="dxa"/>
                  <w:vMerge w:val="continue"/>
                  <w:tcBorders>
                    <w:top w:val="nil"/>
                    <w:left w:val="single" w:color="000000" w:sz="8" w:space="0"/>
                    <w:bottom w:val="single" w:color="000000" w:sz="8" w:space="0"/>
                    <w:right w:val="single" w:color="000000" w:sz="8" w:space="0"/>
                    <w:tl2br w:val="nil"/>
                    <w:tr2bl w:val="nil"/>
                  </w:tcBorders>
                  <w:noWrap w:val="0"/>
                  <w:vAlign w:val="center"/>
                </w:tcPr>
                <w:p w14:paraId="0739594A">
                  <w:pPr>
                    <w:pStyle w:val="41"/>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p>
              </w:tc>
              <w:tc>
                <w:tcPr>
                  <w:tcW w:w="1448" w:type="dxa"/>
                  <w:vMerge w:val="continue"/>
                  <w:tcBorders>
                    <w:top w:val="nil"/>
                    <w:left w:val="single" w:color="000000" w:sz="8" w:space="0"/>
                    <w:bottom w:val="single" w:color="000000" w:sz="8" w:space="0"/>
                    <w:right w:val="single" w:color="000000" w:sz="8" w:space="0"/>
                    <w:tl2br w:val="nil"/>
                    <w:tr2bl w:val="nil"/>
                  </w:tcBorders>
                  <w:noWrap w:val="0"/>
                  <w:vAlign w:val="center"/>
                </w:tcPr>
                <w:p w14:paraId="0B07E2A4">
                  <w:pPr>
                    <w:pStyle w:val="41"/>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p>
              </w:tc>
              <w:tc>
                <w:tcPr>
                  <w:tcW w:w="208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193D88CD">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临时措施</w:t>
                  </w:r>
                </w:p>
              </w:tc>
              <w:tc>
                <w:tcPr>
                  <w:tcW w:w="3954"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55540940">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临时苫盖</w:t>
                  </w:r>
                </w:p>
              </w:tc>
            </w:tr>
            <w:tr w14:paraId="53333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56" w:type="dxa"/>
                  <w:vMerge w:val="continue"/>
                  <w:tcBorders>
                    <w:top w:val="nil"/>
                    <w:left w:val="single" w:color="000000" w:sz="8" w:space="0"/>
                    <w:bottom w:val="single" w:color="000000" w:sz="8" w:space="0"/>
                    <w:right w:val="single" w:color="000000" w:sz="8" w:space="0"/>
                    <w:tl2br w:val="nil"/>
                    <w:tr2bl w:val="nil"/>
                  </w:tcBorders>
                  <w:noWrap w:val="0"/>
                  <w:vAlign w:val="center"/>
                </w:tcPr>
                <w:p w14:paraId="6B3825BC">
                  <w:pPr>
                    <w:pStyle w:val="41"/>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p>
              </w:tc>
              <w:tc>
                <w:tcPr>
                  <w:tcW w:w="1448" w:type="dxa"/>
                  <w:vMerge w:val="continue"/>
                  <w:tcBorders>
                    <w:top w:val="nil"/>
                    <w:left w:val="single" w:color="000000" w:sz="8" w:space="0"/>
                    <w:bottom w:val="single" w:color="000000" w:sz="8" w:space="0"/>
                    <w:right w:val="single" w:color="000000" w:sz="8" w:space="0"/>
                    <w:tl2br w:val="nil"/>
                    <w:tr2bl w:val="nil"/>
                  </w:tcBorders>
                  <w:noWrap w:val="0"/>
                  <w:vAlign w:val="center"/>
                </w:tcPr>
                <w:p w14:paraId="065D92E3">
                  <w:pPr>
                    <w:pStyle w:val="41"/>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p>
              </w:tc>
              <w:tc>
                <w:tcPr>
                  <w:tcW w:w="208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7D172C9E">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植物措施</w:t>
                  </w:r>
                </w:p>
              </w:tc>
              <w:tc>
                <w:tcPr>
                  <w:tcW w:w="3954"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282EDE6D">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撒播草籽防护</w:t>
                  </w:r>
                </w:p>
              </w:tc>
            </w:tr>
            <w:tr w14:paraId="67933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56" w:type="dxa"/>
                  <w:vMerge w:val="restart"/>
                  <w:tcBorders>
                    <w:top w:val="single" w:color="000000" w:sz="8" w:space="0"/>
                    <w:left w:val="single" w:color="000000" w:sz="8" w:space="0"/>
                    <w:bottom w:val="single" w:color="000000" w:sz="8" w:space="0"/>
                    <w:right w:val="single" w:color="000000" w:sz="8" w:space="0"/>
                  </w:tcBorders>
                  <w:noWrap w:val="0"/>
                  <w:vAlign w:val="center"/>
                </w:tcPr>
                <w:p w14:paraId="6EF6BF41">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施工场地区</w:t>
                  </w:r>
                </w:p>
              </w:tc>
              <w:tc>
                <w:tcPr>
                  <w:tcW w:w="1448" w:type="dxa"/>
                  <w:vMerge w:val="restart"/>
                  <w:tcBorders>
                    <w:top w:val="single" w:color="000000" w:sz="8" w:space="0"/>
                    <w:left w:val="single" w:color="000000" w:sz="8" w:space="0"/>
                    <w:bottom w:val="single" w:color="000000" w:sz="8" w:space="0"/>
                    <w:right w:val="single" w:color="000000" w:sz="8" w:space="0"/>
                  </w:tcBorders>
                  <w:noWrap w:val="0"/>
                  <w:vAlign w:val="center"/>
                </w:tcPr>
                <w:p w14:paraId="3D2B80C2">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占压扰动区</w:t>
                  </w:r>
                </w:p>
              </w:tc>
              <w:tc>
                <w:tcPr>
                  <w:tcW w:w="2080" w:type="dxa"/>
                  <w:tcBorders>
                    <w:top w:val="single" w:color="000000" w:sz="8" w:space="0"/>
                    <w:left w:val="single" w:color="000000" w:sz="8" w:space="0"/>
                    <w:bottom w:val="single" w:color="000000" w:sz="8" w:space="0"/>
                    <w:right w:val="single" w:color="000000" w:sz="8" w:space="0"/>
                  </w:tcBorders>
                  <w:noWrap w:val="0"/>
                  <w:vAlign w:val="center"/>
                </w:tcPr>
                <w:p w14:paraId="4DA12A22">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工程措施</w:t>
                  </w:r>
                </w:p>
              </w:tc>
              <w:tc>
                <w:tcPr>
                  <w:tcW w:w="3954"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4924F557">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表土剥离、回覆</w:t>
                  </w:r>
                </w:p>
              </w:tc>
            </w:tr>
            <w:tr w14:paraId="4DD13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56" w:type="dxa"/>
                  <w:vMerge w:val="continue"/>
                  <w:tcBorders>
                    <w:left w:val="single" w:color="000000" w:sz="8" w:space="0"/>
                    <w:right w:val="single" w:color="000000" w:sz="8" w:space="0"/>
                  </w:tcBorders>
                  <w:noWrap w:val="0"/>
                  <w:vAlign w:val="center"/>
                </w:tcPr>
                <w:p w14:paraId="0B96C265">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1448" w:type="dxa"/>
                  <w:vMerge w:val="continue"/>
                  <w:tcBorders>
                    <w:left w:val="single" w:color="000000" w:sz="8" w:space="0"/>
                    <w:right w:val="single" w:color="000000" w:sz="8" w:space="0"/>
                  </w:tcBorders>
                  <w:noWrap w:val="0"/>
                  <w:vAlign w:val="center"/>
                </w:tcPr>
                <w:p w14:paraId="2D141284">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p>
              </w:tc>
              <w:tc>
                <w:tcPr>
                  <w:tcW w:w="2080" w:type="dxa"/>
                  <w:tcBorders>
                    <w:top w:val="single" w:color="000000" w:sz="8" w:space="0"/>
                    <w:left w:val="single" w:color="000000" w:sz="8" w:space="0"/>
                    <w:bottom w:val="single" w:color="000000" w:sz="8" w:space="0"/>
                    <w:right w:val="single" w:color="000000" w:sz="8" w:space="0"/>
                  </w:tcBorders>
                  <w:shd w:val="clear" w:color="auto" w:fill="auto"/>
                  <w:noWrap w:val="0"/>
                  <w:vAlign w:val="center"/>
                </w:tcPr>
                <w:p w14:paraId="098B95A4">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临时措施</w:t>
                  </w:r>
                </w:p>
              </w:tc>
              <w:tc>
                <w:tcPr>
                  <w:tcW w:w="3954" w:type="dxa"/>
                  <w:tcBorders>
                    <w:top w:val="single" w:color="000000" w:sz="8" w:space="0"/>
                    <w:left w:val="single" w:color="000000" w:sz="8" w:space="0"/>
                    <w:bottom w:val="single" w:color="000000" w:sz="8" w:space="0"/>
                    <w:right w:val="single" w:color="000000" w:sz="8" w:space="0"/>
                    <w:tl2br w:val="nil"/>
                    <w:tr2bl w:val="nil"/>
                  </w:tcBorders>
                  <w:shd w:val="clear" w:color="auto" w:fill="auto"/>
                  <w:noWrap w:val="0"/>
                  <w:vAlign w:val="center"/>
                </w:tcPr>
                <w:p w14:paraId="021764EF">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leftChars="0" w:right="0" w:rightChars="0" w:firstLine="0" w:firstLineChars="0"/>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排水沟、</w:t>
                  </w:r>
                  <w:r>
                    <w:rPr>
                      <w:rFonts w:hint="eastAsia" w:cs="Times New Roman"/>
                      <w:color w:val="auto"/>
                      <w:sz w:val="21"/>
                      <w:szCs w:val="21"/>
                      <w:highlight w:val="none"/>
                      <w:lang w:val="en-US" w:eastAsia="zh-CN"/>
                    </w:rPr>
                    <w:t>沉淀池</w:t>
                  </w:r>
                  <w:r>
                    <w:rPr>
                      <w:rFonts w:hint="default" w:ascii="Times New Roman" w:hAnsi="Times New Roman" w:cs="Times New Roman"/>
                      <w:color w:val="auto"/>
                      <w:sz w:val="21"/>
                      <w:szCs w:val="21"/>
                      <w:highlight w:val="none"/>
                    </w:rPr>
                    <w:t>、临时拦挡、临时苫盖</w:t>
                  </w:r>
                </w:p>
              </w:tc>
            </w:tr>
            <w:tr w14:paraId="6F2AB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156" w:type="dxa"/>
                  <w:vMerge w:val="continue"/>
                  <w:tcBorders>
                    <w:top w:val="single" w:color="000000" w:sz="8" w:space="0"/>
                    <w:left w:val="single" w:color="000000" w:sz="8" w:space="0"/>
                    <w:bottom w:val="single" w:color="000000" w:sz="8" w:space="0"/>
                    <w:right w:val="single" w:color="000000" w:sz="8" w:space="0"/>
                  </w:tcBorders>
                  <w:noWrap w:val="0"/>
                  <w:vAlign w:val="center"/>
                </w:tcPr>
                <w:p w14:paraId="4957804D">
                  <w:pPr>
                    <w:pStyle w:val="41"/>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p>
              </w:tc>
              <w:tc>
                <w:tcPr>
                  <w:tcW w:w="1448" w:type="dxa"/>
                  <w:vMerge w:val="continue"/>
                  <w:tcBorders>
                    <w:top w:val="single" w:color="000000" w:sz="8" w:space="0"/>
                    <w:left w:val="single" w:color="000000" w:sz="8" w:space="0"/>
                    <w:bottom w:val="single" w:color="000000" w:sz="8" w:space="0"/>
                    <w:right w:val="single" w:color="000000" w:sz="8" w:space="0"/>
                  </w:tcBorders>
                  <w:noWrap w:val="0"/>
                  <w:vAlign w:val="center"/>
                </w:tcPr>
                <w:p w14:paraId="5F17F1A2">
                  <w:pPr>
                    <w:pStyle w:val="41"/>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eastAsia="Times New Roman" w:cs="Times New Roman"/>
                      <w:color w:val="auto"/>
                      <w:sz w:val="21"/>
                      <w:szCs w:val="21"/>
                      <w:highlight w:val="none"/>
                    </w:rPr>
                  </w:pPr>
                </w:p>
              </w:tc>
              <w:tc>
                <w:tcPr>
                  <w:tcW w:w="2080" w:type="dxa"/>
                  <w:tcBorders>
                    <w:top w:val="single" w:color="000000" w:sz="8" w:space="0"/>
                    <w:left w:val="single" w:color="000000" w:sz="8" w:space="0"/>
                    <w:bottom w:val="single" w:color="000000" w:sz="8" w:space="0"/>
                    <w:right w:val="single" w:color="000000" w:sz="8" w:space="0"/>
                  </w:tcBorders>
                  <w:noWrap w:val="0"/>
                  <w:vAlign w:val="center"/>
                </w:tcPr>
                <w:p w14:paraId="55BC5011">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植物措施</w:t>
                  </w:r>
                </w:p>
              </w:tc>
              <w:tc>
                <w:tcPr>
                  <w:tcW w:w="3954" w:type="dxa"/>
                  <w:tcBorders>
                    <w:top w:val="single" w:color="000000" w:sz="8" w:space="0"/>
                    <w:left w:val="single" w:color="000000" w:sz="8" w:space="0"/>
                    <w:bottom w:val="single" w:color="000000" w:sz="8" w:space="0"/>
                    <w:right w:val="single" w:color="000000" w:sz="8" w:space="0"/>
                    <w:tl2br w:val="nil"/>
                    <w:tr2bl w:val="nil"/>
                  </w:tcBorders>
                  <w:noWrap w:val="0"/>
                  <w:vAlign w:val="center"/>
                </w:tcPr>
                <w:p w14:paraId="38CB10D3">
                  <w:pPr>
                    <w:pStyle w:val="27"/>
                    <w:keepNext w:val="0"/>
                    <w:keepLines w:val="0"/>
                    <w:pageBreakBefore w:val="0"/>
                    <w:widowControl w:val="0"/>
                    <w:kinsoku w:val="0"/>
                    <w:wordWrap/>
                    <w:overflowPunct w:val="0"/>
                    <w:topLinePunct w:val="0"/>
                    <w:autoSpaceDE w:val="0"/>
                    <w:autoSpaceDN w:val="0"/>
                    <w:bidi w:val="0"/>
                    <w:adjustRightInd w:val="0"/>
                    <w:snapToGrid/>
                    <w:spacing w:beforeLines="0" w:afterLines="0" w:line="240" w:lineRule="auto"/>
                    <w:ind w:left="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撒播草籽防护</w:t>
                  </w:r>
                </w:p>
              </w:tc>
            </w:tr>
          </w:tbl>
          <w:p w14:paraId="566A57CE">
            <w:pPr>
              <w:adjustRightInd w:val="0"/>
              <w:snapToGrid w:val="0"/>
              <w:spacing w:line="360" w:lineRule="auto"/>
              <w:ind w:firstLine="482"/>
              <w:rPr>
                <w:rFonts w:hint="eastAsia"/>
                <w:color w:val="auto"/>
                <w:sz w:val="24"/>
                <w:highlight w:val="none"/>
              </w:rPr>
            </w:pPr>
            <w:r>
              <w:rPr>
                <w:rFonts w:hint="eastAsia"/>
                <w:b/>
                <w:bCs/>
                <w:color w:val="auto"/>
                <w:sz w:val="24"/>
                <w:highlight w:val="none"/>
              </w:rPr>
              <w:t>（</w:t>
            </w:r>
            <w:r>
              <w:rPr>
                <w:rFonts w:hint="eastAsia"/>
                <w:b/>
                <w:bCs/>
                <w:color w:val="auto"/>
                <w:sz w:val="24"/>
                <w:highlight w:val="none"/>
                <w:lang w:val="en-US" w:eastAsia="zh-CN"/>
              </w:rPr>
              <w:t>3</w:t>
            </w:r>
            <w:r>
              <w:rPr>
                <w:rFonts w:hint="eastAsia"/>
                <w:b/>
                <w:bCs/>
                <w:color w:val="auto"/>
                <w:sz w:val="24"/>
                <w:highlight w:val="none"/>
              </w:rPr>
              <w:t>）分区防治措施</w:t>
            </w:r>
          </w:p>
          <w:p w14:paraId="78319EE2">
            <w:pPr>
              <w:adjustRightInd w:val="0"/>
              <w:snapToGrid w:val="0"/>
              <w:spacing w:line="360" w:lineRule="auto"/>
              <w:ind w:firstLine="482"/>
              <w:rPr>
                <w:rFonts w:hint="eastAsia"/>
                <w:color w:val="auto"/>
                <w:sz w:val="24"/>
                <w:highlight w:val="none"/>
              </w:rPr>
            </w:pPr>
            <w:r>
              <w:rPr>
                <w:rFonts w:hint="eastAsia"/>
                <w:color w:val="auto"/>
                <w:sz w:val="24"/>
                <w:highlight w:val="none"/>
              </w:rPr>
              <w:t>针对工程特征和新增水土流失特点，因地制宜，合理布局，在布设项目工程水土保持措施时，采取永久和临时措施相结合、工程和生物措施相结合的原则，防治工程建设中的水土流失。同时也要依法治理防治责任范围内的水土流失，建成一套完整的水土流失防治体系。</w:t>
            </w:r>
          </w:p>
          <w:p w14:paraId="6D135C94">
            <w:pPr>
              <w:adjustRightInd w:val="0"/>
              <w:snapToGrid w:val="0"/>
              <w:spacing w:line="360" w:lineRule="auto"/>
              <w:ind w:firstLine="482"/>
              <w:rPr>
                <w:rFonts w:hint="eastAsia"/>
                <w:color w:val="auto"/>
                <w:sz w:val="24"/>
                <w:highlight w:val="none"/>
              </w:rPr>
            </w:pPr>
            <w:r>
              <w:rPr>
                <w:rFonts w:hint="eastAsia"/>
                <w:color w:val="auto"/>
                <w:sz w:val="24"/>
                <w:highlight w:val="none"/>
              </w:rPr>
              <w:t>常用到的主要有工程措施、植物措施、施工临时措施。</w:t>
            </w:r>
          </w:p>
          <w:p w14:paraId="44624AF0">
            <w:pPr>
              <w:adjustRightInd w:val="0"/>
              <w:snapToGrid w:val="0"/>
              <w:spacing w:line="360" w:lineRule="auto"/>
              <w:ind w:firstLine="482"/>
              <w:rPr>
                <w:rFonts w:hint="eastAsia"/>
                <w:color w:val="auto"/>
                <w:sz w:val="24"/>
                <w:highlight w:val="none"/>
              </w:rPr>
            </w:pPr>
            <w:r>
              <w:rPr>
                <w:rFonts w:hint="eastAsia" w:ascii="宋体" w:hAnsi="宋体" w:cs="宋体"/>
                <w:color w:val="auto"/>
                <w:sz w:val="24"/>
                <w:highlight w:val="none"/>
              </w:rPr>
              <w:t>①</w:t>
            </w:r>
            <w:r>
              <w:rPr>
                <w:rFonts w:hint="eastAsia"/>
                <w:color w:val="auto"/>
                <w:sz w:val="24"/>
                <w:highlight w:val="none"/>
              </w:rPr>
              <w:t>主体工程施工区</w:t>
            </w:r>
          </w:p>
          <w:p w14:paraId="2A3192D9">
            <w:pPr>
              <w:adjustRightInd w:val="0"/>
              <w:snapToGrid w:val="0"/>
              <w:spacing w:line="360" w:lineRule="auto"/>
              <w:ind w:firstLine="482"/>
              <w:rPr>
                <w:rFonts w:hint="eastAsia"/>
                <w:color w:val="auto"/>
                <w:sz w:val="24"/>
                <w:highlight w:val="none"/>
              </w:rPr>
            </w:pPr>
            <w:r>
              <w:rPr>
                <w:rFonts w:hint="eastAsia"/>
                <w:color w:val="auto"/>
                <w:sz w:val="24"/>
                <w:highlight w:val="none"/>
              </w:rPr>
              <w:t>根据对主体工程中具有水土保持功能措施的评价，主体工程措施具有良好的水土保持功能。以上措施除满足主体工程需要外，还在很大程度上减少了开挖面的水土流失，将其纳入水土保持措施总体布局体系中，其相应投资计入主体工程中，水土保持投资不再考虑。在施工期间，主体工程区要临时堆放施工料，堆放前要对表土进行剥离，再设置排水沟，要购买防雨布临时遮挡，施工结束后要重新覆土、播撒草籽。</w:t>
            </w:r>
          </w:p>
          <w:p w14:paraId="34BF9A6A">
            <w:pPr>
              <w:adjustRightInd w:val="0"/>
              <w:snapToGrid w:val="0"/>
              <w:spacing w:line="360" w:lineRule="auto"/>
              <w:ind w:firstLine="482"/>
              <w:rPr>
                <w:rFonts w:hint="eastAsia"/>
                <w:color w:val="auto"/>
                <w:sz w:val="24"/>
                <w:highlight w:val="none"/>
              </w:rPr>
            </w:pPr>
            <w:r>
              <w:rPr>
                <w:rFonts w:hint="eastAsia" w:ascii="宋体" w:hAnsi="宋体" w:cs="宋体"/>
                <w:color w:val="auto"/>
                <w:sz w:val="24"/>
                <w:highlight w:val="none"/>
              </w:rPr>
              <w:t>②</w:t>
            </w:r>
            <w:r>
              <w:rPr>
                <w:rFonts w:hint="eastAsia"/>
                <w:color w:val="auto"/>
                <w:sz w:val="24"/>
                <w:highlight w:val="none"/>
              </w:rPr>
              <w:t>临时工程占地区</w:t>
            </w:r>
          </w:p>
          <w:p w14:paraId="0415A545">
            <w:pPr>
              <w:ind w:firstLine="482"/>
              <w:rPr>
                <w:rFonts w:hint="default" w:ascii="Times New Roman" w:hAnsi="Times New Roman" w:cs="Times New Roman"/>
                <w:b/>
                <w:bCs/>
                <w:color w:val="auto"/>
                <w:highlight w:val="none"/>
              </w:rPr>
            </w:pPr>
            <w:r>
              <w:rPr>
                <w:rFonts w:hint="eastAsia"/>
                <w:color w:val="auto"/>
                <w:sz w:val="24"/>
                <w:highlight w:val="none"/>
              </w:rPr>
              <w:t>临时工程占地区分别为</w:t>
            </w:r>
            <w:r>
              <w:rPr>
                <w:rFonts w:hint="eastAsia"/>
                <w:color w:val="auto"/>
                <w:sz w:val="24"/>
                <w:highlight w:val="none"/>
                <w:lang w:eastAsia="zh-CN"/>
              </w:rPr>
              <w:t>施工场地</w:t>
            </w:r>
            <w:r>
              <w:rPr>
                <w:rFonts w:hint="eastAsia"/>
                <w:color w:val="auto"/>
                <w:sz w:val="24"/>
                <w:highlight w:val="none"/>
              </w:rPr>
              <w:t>和其它临时工程。在施工临时场地四周需做好临时排水，保持场地稳定。施工期进行表土剥离，工程施工结束后对迹地采取全面整地，再</w:t>
            </w:r>
            <w:r>
              <w:rPr>
                <w:rFonts w:hint="eastAsia"/>
                <w:color w:val="auto"/>
                <w:sz w:val="24"/>
                <w:highlight w:val="none"/>
                <w:lang w:val="en-US" w:eastAsia="zh-CN"/>
              </w:rPr>
              <w:t>进行</w:t>
            </w:r>
            <w:r>
              <w:rPr>
                <w:rFonts w:hint="eastAsia"/>
                <w:color w:val="auto"/>
                <w:sz w:val="24"/>
                <w:highlight w:val="none"/>
              </w:rPr>
              <w:t>相应植物绿化措施。</w:t>
            </w:r>
          </w:p>
          <w:p w14:paraId="1739362F">
            <w:pPr>
              <w:keepNext w:val="0"/>
              <w:keepLines w:val="0"/>
              <w:pageBreakBefore w:val="0"/>
              <w:widowControl w:val="0"/>
              <w:tabs>
                <w:tab w:val="left" w:pos="1260"/>
              </w:tabs>
              <w:kinsoku/>
              <w:wordWrap w:val="0"/>
              <w:overflowPunct/>
              <w:topLinePunct w:val="0"/>
              <w:autoSpaceDE/>
              <w:autoSpaceDN/>
              <w:bidi w:val="0"/>
              <w:adjustRightInd w:val="0"/>
              <w:snapToGrid w:val="0"/>
              <w:spacing w:line="360" w:lineRule="auto"/>
              <w:ind w:left="0" w:leftChars="0"/>
              <w:textAlignment w:val="auto"/>
              <w:rPr>
                <w:rFonts w:hint="eastAsia"/>
                <w:b/>
                <w:color w:val="auto"/>
                <w:sz w:val="24"/>
                <w:highlight w:val="none"/>
              </w:rPr>
            </w:pPr>
            <w:r>
              <w:rPr>
                <w:rFonts w:hint="eastAsia"/>
                <w:b/>
                <w:color w:val="auto"/>
                <w:sz w:val="24"/>
                <w:highlight w:val="none"/>
              </w:rPr>
              <w:t>（</w:t>
            </w:r>
            <w:r>
              <w:rPr>
                <w:rFonts w:hint="eastAsia"/>
                <w:b/>
                <w:color w:val="auto"/>
                <w:sz w:val="24"/>
                <w:highlight w:val="none"/>
                <w:lang w:val="en-US" w:eastAsia="zh-CN"/>
              </w:rPr>
              <w:t>4</w:t>
            </w:r>
            <w:r>
              <w:rPr>
                <w:rFonts w:hint="eastAsia"/>
                <w:b/>
                <w:color w:val="auto"/>
                <w:sz w:val="24"/>
                <w:highlight w:val="none"/>
              </w:rPr>
              <w:t>）表土剥离及保存、回填</w:t>
            </w:r>
          </w:p>
          <w:p w14:paraId="31137C23">
            <w:pPr>
              <w:keepNext w:val="0"/>
              <w:keepLines w:val="0"/>
              <w:pageBreakBefore w:val="0"/>
              <w:widowControl w:val="0"/>
              <w:tabs>
                <w:tab w:val="left" w:pos="1260"/>
              </w:tabs>
              <w:kinsoku/>
              <w:wordWrap w:val="0"/>
              <w:overflowPunct/>
              <w:topLinePunct w:val="0"/>
              <w:autoSpaceDE/>
              <w:autoSpaceDN/>
              <w:bidi w:val="0"/>
              <w:adjustRightInd w:val="0"/>
              <w:snapToGrid w:val="0"/>
              <w:spacing w:line="360" w:lineRule="auto"/>
              <w:ind w:left="0" w:leftChars="0"/>
              <w:textAlignment w:val="auto"/>
              <w:rPr>
                <w:rFonts w:hint="eastAsia"/>
                <w:bCs/>
                <w:color w:val="auto"/>
                <w:sz w:val="24"/>
                <w:highlight w:val="none"/>
              </w:rPr>
            </w:pPr>
            <w:r>
              <w:rPr>
                <w:rFonts w:hint="eastAsia"/>
                <w:bCs/>
                <w:color w:val="auto"/>
                <w:sz w:val="24"/>
                <w:highlight w:val="none"/>
              </w:rPr>
              <w:t>①表土剥离</w:t>
            </w:r>
          </w:p>
          <w:p w14:paraId="254485EC">
            <w:pPr>
              <w:keepNext w:val="0"/>
              <w:keepLines w:val="0"/>
              <w:pageBreakBefore w:val="0"/>
              <w:widowControl w:val="0"/>
              <w:tabs>
                <w:tab w:val="left" w:pos="1260"/>
              </w:tabs>
              <w:kinsoku/>
              <w:wordWrap w:val="0"/>
              <w:overflowPunct/>
              <w:topLinePunct w:val="0"/>
              <w:autoSpaceDE/>
              <w:autoSpaceDN/>
              <w:bidi w:val="0"/>
              <w:adjustRightInd w:val="0"/>
              <w:snapToGrid w:val="0"/>
              <w:spacing w:line="360" w:lineRule="auto"/>
              <w:ind w:left="0" w:leftChars="0" w:firstLine="480" w:firstLineChars="200"/>
              <w:textAlignment w:val="auto"/>
              <w:rPr>
                <w:rFonts w:hint="eastAsia"/>
                <w:bCs/>
                <w:color w:val="auto"/>
                <w:sz w:val="24"/>
                <w:highlight w:val="none"/>
              </w:rPr>
            </w:pPr>
            <w:r>
              <w:rPr>
                <w:rFonts w:hint="eastAsia"/>
                <w:bCs/>
                <w:color w:val="auto"/>
                <w:sz w:val="24"/>
                <w:highlight w:val="none"/>
              </w:rPr>
              <w:t>主体工程不考虑清基、清表，往往直接回填砂石、土料进行碾压平整，这给施工结束后施工迹地复绿带来困难，应增加表土剥离措施。在</w:t>
            </w:r>
            <w:r>
              <w:rPr>
                <w:rFonts w:hint="eastAsia"/>
                <w:bCs/>
                <w:color w:val="auto"/>
                <w:sz w:val="24"/>
                <w:highlight w:val="none"/>
                <w:lang w:eastAsia="zh-CN"/>
              </w:rPr>
              <w:t>施工场地</w:t>
            </w:r>
            <w:r>
              <w:rPr>
                <w:rFonts w:hint="eastAsia"/>
                <w:bCs/>
                <w:color w:val="auto"/>
                <w:sz w:val="24"/>
                <w:highlight w:val="none"/>
              </w:rPr>
              <w:t>布置及临时占地修筑前进行剥离。</w:t>
            </w:r>
          </w:p>
          <w:p w14:paraId="3AFA40E0">
            <w:pPr>
              <w:keepNext w:val="0"/>
              <w:keepLines w:val="0"/>
              <w:pageBreakBefore w:val="0"/>
              <w:widowControl w:val="0"/>
              <w:tabs>
                <w:tab w:val="left" w:pos="1260"/>
              </w:tabs>
              <w:kinsoku/>
              <w:wordWrap w:val="0"/>
              <w:overflowPunct/>
              <w:topLinePunct w:val="0"/>
              <w:autoSpaceDE/>
              <w:autoSpaceDN/>
              <w:bidi w:val="0"/>
              <w:adjustRightInd w:val="0"/>
              <w:snapToGrid w:val="0"/>
              <w:spacing w:line="360" w:lineRule="auto"/>
              <w:ind w:left="0" w:leftChars="0" w:firstLine="480" w:firstLineChars="200"/>
              <w:textAlignment w:val="auto"/>
              <w:rPr>
                <w:rFonts w:hint="eastAsia"/>
                <w:bCs/>
                <w:color w:val="auto"/>
                <w:sz w:val="24"/>
                <w:highlight w:val="none"/>
              </w:rPr>
            </w:pPr>
            <w:r>
              <w:rPr>
                <w:rFonts w:hint="eastAsia"/>
                <w:bCs/>
                <w:color w:val="auto"/>
                <w:sz w:val="24"/>
                <w:highlight w:val="none"/>
              </w:rPr>
              <w:t>主体工程先进行清基，主体工程先剥离地表无用层，并保留表层清基料及无用表层土作为后期绿化覆土。</w:t>
            </w:r>
          </w:p>
          <w:p w14:paraId="4B4E5345">
            <w:pPr>
              <w:tabs>
                <w:tab w:val="left" w:pos="1260"/>
              </w:tabs>
              <w:wordWrap w:val="0"/>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一般来讲表层土的厚度平均为20cm，厚的可达30cm，由于区域内表土厚度存在差异，对土层深厚、肥沃的地方可适当深剥，对土层较薄、肥力不高的地方可适当浅剥，在总量控制（用多少剥多少）的前提下应尽量将剥离区域内最肥沃的部分土壤剥离出来。旱地、草地表土差异较大，厚度一般在30cm以内，表土剥离中应控制剥离厚度，剥离厚度过大不但增加工资投资，给保存带来不便，下部生土如混进表土，致使土地生产力下降。</w:t>
            </w:r>
          </w:p>
          <w:p w14:paraId="4BCEA9DE">
            <w:pPr>
              <w:tabs>
                <w:tab w:val="left" w:pos="1260"/>
              </w:tabs>
              <w:wordWrap w:val="0"/>
              <w:adjustRightInd w:val="0"/>
              <w:snapToGrid w:val="0"/>
              <w:spacing w:line="360" w:lineRule="auto"/>
              <w:rPr>
                <w:rFonts w:hint="eastAsia"/>
                <w:bCs/>
                <w:color w:val="auto"/>
                <w:sz w:val="24"/>
                <w:highlight w:val="none"/>
              </w:rPr>
            </w:pPr>
            <w:r>
              <w:rPr>
                <w:rFonts w:hint="eastAsia"/>
                <w:bCs/>
                <w:color w:val="auto"/>
                <w:sz w:val="24"/>
                <w:highlight w:val="none"/>
              </w:rPr>
              <w:t>②保存</w:t>
            </w:r>
          </w:p>
          <w:p w14:paraId="5DBBAB95">
            <w:pPr>
              <w:tabs>
                <w:tab w:val="left" w:pos="1260"/>
              </w:tabs>
              <w:wordWrap w:val="0"/>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项目总体应采用“大分散、小集中”的保存方案，表土临时堆存应尽量占用场内空闲地，如场内无适合堆处则应另行征地，表土保存过程中应设有临时防护措施。</w:t>
            </w:r>
          </w:p>
          <w:p w14:paraId="2848300D">
            <w:pPr>
              <w:tabs>
                <w:tab w:val="left" w:pos="1260"/>
              </w:tabs>
              <w:wordWrap w:val="0"/>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项目可以根据剥离量和堆放的条件每100m、200m、500m、1000m分段进行堆放，四周用编织土袋临时挡护，编织袋外0.5m-1.0m处设临时排水沟，堆积形成后可利用铲车或推土机对顶部和边坡稍作压实，顶部应向外侧做成一定坡度，便于排水。</w:t>
            </w:r>
          </w:p>
          <w:p w14:paraId="43AC0B62">
            <w:pPr>
              <w:tabs>
                <w:tab w:val="left" w:pos="1260"/>
              </w:tabs>
              <w:wordWrap w:val="0"/>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如堆放量小，可用塑料彩条布或薄膜覆盖即可，四周用土袋压脚。</w:t>
            </w:r>
          </w:p>
          <w:p w14:paraId="3B4209FD">
            <w:pPr>
              <w:tabs>
                <w:tab w:val="left" w:pos="1260"/>
              </w:tabs>
              <w:wordWrap w:val="0"/>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如保存期较长，超过1个生长季，可撒播草籽临时绿化，草种应该选择有培肥地力的（豆科）牧草。</w:t>
            </w:r>
          </w:p>
          <w:p w14:paraId="22FD2FB2">
            <w:pPr>
              <w:pStyle w:val="2"/>
              <w:rPr>
                <w:rFonts w:hint="eastAsia" w:ascii="Times New Roman" w:hAnsi="Times New Roman"/>
                <w:b/>
                <w:color w:val="auto"/>
                <w:szCs w:val="24"/>
                <w:highlight w:val="none"/>
              </w:rPr>
            </w:pPr>
            <w:r>
              <w:rPr>
                <w:rFonts w:hint="eastAsia" w:ascii="Times New Roman" w:hAnsi="Times New Roman"/>
                <w:bCs/>
                <w:color w:val="auto"/>
                <w:szCs w:val="24"/>
                <w:highlight w:val="none"/>
              </w:rPr>
              <w:t>③表土回填</w:t>
            </w:r>
          </w:p>
          <w:p w14:paraId="024C0C60">
            <w:pPr>
              <w:tabs>
                <w:tab w:val="left" w:pos="1260"/>
              </w:tabs>
              <w:wordWrap w:val="0"/>
              <w:adjustRightInd w:val="0"/>
              <w:snapToGrid w:val="0"/>
              <w:spacing w:line="360" w:lineRule="auto"/>
              <w:ind w:firstLine="480" w:firstLineChars="200"/>
              <w:rPr>
                <w:bCs/>
                <w:color w:val="auto"/>
                <w:sz w:val="24"/>
                <w:highlight w:val="none"/>
              </w:rPr>
            </w:pPr>
            <w:r>
              <w:rPr>
                <w:rFonts w:hint="eastAsia"/>
                <w:bCs/>
                <w:color w:val="auto"/>
                <w:sz w:val="24"/>
                <w:highlight w:val="none"/>
              </w:rPr>
              <w:t>表土回填利用应注意的事项：</w:t>
            </w:r>
          </w:p>
          <w:p w14:paraId="54C99D18">
            <w:pPr>
              <w:tabs>
                <w:tab w:val="left" w:pos="1260"/>
              </w:tabs>
              <w:wordWrap w:val="0"/>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a.为提高草皮成活率，植草皮前应先覆土，覆土应控制厚度，一般为3-5cm，覆土时应适当压实，增加与边坡粘合力，避免剥落或因含水量增加与草皮一起顺坡向下滑移，如采用框格植草护坡，也应在框格内覆土。</w:t>
            </w:r>
          </w:p>
          <w:p w14:paraId="6C9906EF">
            <w:pPr>
              <w:tabs>
                <w:tab w:val="left" w:pos="1260"/>
              </w:tabs>
              <w:wordWrap w:val="0"/>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b.表土回填及整地过程中应地面与周边地形相协调，应避免出现中间低四周高，以避免雨天造成洼地积水。</w:t>
            </w:r>
          </w:p>
          <w:p w14:paraId="008C7B65">
            <w:pPr>
              <w:tabs>
                <w:tab w:val="left" w:pos="1260"/>
              </w:tabs>
              <w:wordWrap w:val="0"/>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c.临时占地利用完毕后应先铲除地表泥结石层，然后回填表土进行全面整地，全面整地后地面高度应与周边相一致，以利于复绿。</w:t>
            </w:r>
          </w:p>
          <w:p w14:paraId="4C8428BF">
            <w:pPr>
              <w:ind w:firstLine="482"/>
              <w:rPr>
                <w:rFonts w:hint="eastAsia"/>
                <w:b w:val="0"/>
                <w:bCs/>
                <w:color w:val="auto"/>
                <w:highlight w:val="none"/>
              </w:rPr>
            </w:pPr>
            <w:r>
              <w:rPr>
                <w:rFonts w:hint="eastAsia"/>
                <w:b w:val="0"/>
                <w:bCs/>
                <w:color w:val="auto"/>
                <w:highlight w:val="none"/>
              </w:rPr>
              <w:t>d.当采用喷混植生或打土钉挂网喷草绿化，不需覆土。</w:t>
            </w:r>
          </w:p>
          <w:p w14:paraId="55617301">
            <w:pPr>
              <w:ind w:left="0" w:leftChars="0" w:firstLine="0" w:firstLineChars="0"/>
              <w:rPr>
                <w:rFonts w:hint="default" w:eastAsia="宋体"/>
                <w:b/>
                <w:bCs w:val="0"/>
                <w:color w:val="auto"/>
                <w:highlight w:val="none"/>
                <w:lang w:val="en-US" w:eastAsia="zh-CN"/>
              </w:rPr>
            </w:pPr>
            <w:r>
              <w:rPr>
                <w:rFonts w:hint="eastAsia"/>
                <w:b/>
                <w:bCs w:val="0"/>
                <w:color w:val="auto"/>
                <w:highlight w:val="none"/>
                <w:lang w:val="en-US" w:eastAsia="zh-CN"/>
              </w:rPr>
              <w:t xml:space="preserve">4.1.4.2 </w:t>
            </w:r>
            <w:r>
              <w:rPr>
                <w:rFonts w:hint="eastAsia" w:cs="Times New Roman"/>
                <w:b/>
                <w:color w:val="auto"/>
                <w:highlight w:val="none"/>
                <w:lang w:val="en-US" w:eastAsia="zh-CN"/>
              </w:rPr>
              <w:t>清河镇段及杨家镇段</w:t>
            </w:r>
          </w:p>
          <w:p w14:paraId="5E4FBC0C">
            <w:pPr>
              <w:autoSpaceDE w:val="0"/>
              <w:autoSpaceDN w:val="0"/>
              <w:adjustRightInd w:val="0"/>
              <w:snapToGrid w:val="0"/>
              <w:spacing w:line="360" w:lineRule="auto"/>
              <w:ind w:firstLine="480" w:firstLineChars="200"/>
              <w:rPr>
                <w:rFonts w:hint="eastAsia"/>
                <w:bCs/>
                <w:color w:val="auto"/>
                <w:sz w:val="24"/>
                <w:highlight w:val="none"/>
                <w:lang w:val="en-US" w:eastAsia="zh-CN"/>
              </w:rPr>
            </w:pPr>
            <w:r>
              <w:rPr>
                <w:rFonts w:hint="eastAsia"/>
                <w:bCs/>
                <w:color w:val="auto"/>
                <w:sz w:val="24"/>
                <w:highlight w:val="none"/>
                <w:lang w:val="en-US" w:eastAsia="zh-CN"/>
              </w:rPr>
              <w:t>项目施工过程中扰动地表，将产生水土流失。水土流失危害包括损坏水土保持设施，降低原地貌水土保持功能；降低土地生产力，影响农业生产；增加河道输沙量，降低河道行洪能力。</w:t>
            </w:r>
          </w:p>
          <w:p w14:paraId="2DF8B787">
            <w:pPr>
              <w:autoSpaceDE w:val="0"/>
              <w:autoSpaceDN w:val="0"/>
              <w:adjustRightInd w:val="0"/>
              <w:snapToGrid w:val="0"/>
              <w:spacing w:line="360" w:lineRule="auto"/>
              <w:ind w:firstLine="480" w:firstLineChars="200"/>
              <w:rPr>
                <w:rFonts w:hint="default"/>
                <w:bCs/>
                <w:color w:val="auto"/>
                <w:sz w:val="24"/>
                <w:highlight w:val="none"/>
                <w:lang w:val="en-US" w:eastAsia="zh-CN"/>
              </w:rPr>
            </w:pPr>
            <w:r>
              <w:rPr>
                <w:rFonts w:hint="eastAsia"/>
                <w:bCs/>
                <w:color w:val="auto"/>
                <w:sz w:val="24"/>
                <w:highlight w:val="none"/>
                <w:lang w:val="en-US" w:eastAsia="zh-CN"/>
              </w:rPr>
              <w:t>根据调查，施工期间项目采取了分区防治、工程措施、植物措施及临时措施，将项目水土流失量控制在可接受范围内。</w:t>
            </w:r>
          </w:p>
          <w:p w14:paraId="29EB043C">
            <w:pPr>
              <w:ind w:left="0" w:leftChars="0" w:firstLine="0" w:firstLineChars="0"/>
              <w:rPr>
                <w:rFonts w:hint="eastAsia" w:cs="Times New Roman"/>
                <w:b/>
                <w:bCs/>
                <w:color w:val="auto"/>
                <w:highlight w:val="none"/>
                <w:lang w:val="en-US" w:eastAsia="zh-CN"/>
              </w:rPr>
            </w:pPr>
            <w:r>
              <w:rPr>
                <w:rFonts w:hint="eastAsia" w:ascii="Times New Roman" w:hAnsi="Times New Roman" w:cs="Times New Roman"/>
                <w:b/>
                <w:bCs/>
                <w:color w:val="auto"/>
                <w:highlight w:val="none"/>
                <w:lang w:val="en-US" w:eastAsia="zh-CN"/>
              </w:rPr>
              <w:t>4.1.5</w:t>
            </w:r>
            <w:r>
              <w:rPr>
                <w:rFonts w:hint="eastAsia" w:cs="Times New Roman"/>
                <w:b/>
                <w:bCs/>
                <w:color w:val="auto"/>
                <w:highlight w:val="none"/>
                <w:lang w:val="en-US" w:eastAsia="zh-CN"/>
              </w:rPr>
              <w:t>对工程河段水文情势影响</w:t>
            </w:r>
          </w:p>
          <w:p w14:paraId="7FD3DB9B">
            <w:pPr>
              <w:spacing w:beforeLines="0" w:afterLines="0"/>
              <w:ind w:left="0" w:leftChars="0" w:firstLine="0" w:firstLineChars="0"/>
              <w:jc w:val="left"/>
              <w:rPr>
                <w:rFonts w:hint="default" w:ascii="Times New Roman" w:hAnsi="Times New Roman"/>
                <w:b/>
                <w:bCs/>
                <w:color w:val="auto"/>
                <w:sz w:val="24"/>
                <w:szCs w:val="24"/>
                <w:highlight w:val="none"/>
                <w:lang w:val="en-US" w:eastAsia="zh-CN"/>
              </w:rPr>
            </w:pPr>
            <w:r>
              <w:rPr>
                <w:rFonts w:hint="default" w:ascii="Times New Roman" w:hAnsi="Times New Roman"/>
                <w:b/>
                <w:bCs/>
                <w:color w:val="auto"/>
                <w:sz w:val="24"/>
                <w:szCs w:val="24"/>
                <w:highlight w:val="none"/>
                <w:lang w:val="en-US" w:eastAsia="zh-CN"/>
              </w:rPr>
              <w:t xml:space="preserve">4.1.5.1 </w:t>
            </w:r>
            <w:r>
              <w:rPr>
                <w:rFonts w:hint="default" w:cs="Times New Roman"/>
                <w:b/>
                <w:bCs/>
                <w:color w:val="auto"/>
                <w:highlight w:val="none"/>
                <w:lang w:val="en-US" w:eastAsia="zh-CN"/>
              </w:rPr>
              <w:t>二郎及福兴段、石河镇段及双拱场段</w:t>
            </w:r>
          </w:p>
          <w:p w14:paraId="2BB3100A">
            <w:pPr>
              <w:spacing w:beforeLines="0" w:afterLines="0"/>
              <w:jc w:val="left"/>
              <w:rPr>
                <w:rFonts w:hint="eastAsia" w:ascii="宋体" w:hAnsi="宋体" w:eastAsia="宋体"/>
                <w:color w:val="auto"/>
                <w:sz w:val="24"/>
                <w:szCs w:val="24"/>
                <w:highlight w:val="none"/>
              </w:rPr>
            </w:pPr>
            <w:r>
              <w:rPr>
                <w:rFonts w:hint="eastAsia" w:ascii="宋体" w:hAnsi="宋体"/>
                <w:color w:val="auto"/>
                <w:sz w:val="24"/>
                <w:szCs w:val="24"/>
                <w:highlight w:val="none"/>
                <w:lang w:eastAsia="zh-CN"/>
              </w:rPr>
              <w:t>本项目</w:t>
            </w:r>
            <w:r>
              <w:rPr>
                <w:color w:val="auto"/>
                <w:highlight w:val="none"/>
              </w:rPr>
              <w:t>导流方式采用一期分段</w:t>
            </w:r>
            <w:r>
              <w:rPr>
                <w:rFonts w:hint="eastAsia"/>
                <w:color w:val="auto"/>
                <w:highlight w:val="none"/>
              </w:rPr>
              <w:t>土石</w:t>
            </w:r>
            <w:r>
              <w:rPr>
                <w:color w:val="auto"/>
                <w:highlight w:val="none"/>
              </w:rPr>
              <w:t>围堰法导流，采用原河床过水</w:t>
            </w:r>
            <w:r>
              <w:rPr>
                <w:rFonts w:hint="eastAsia" w:ascii="宋体" w:hAnsi="宋体" w:eastAsia="宋体"/>
                <w:color w:val="auto"/>
                <w:sz w:val="24"/>
                <w:szCs w:val="24"/>
                <w:highlight w:val="none"/>
              </w:rPr>
              <w:t>，导流建筑物安排在枯水期</w:t>
            </w:r>
            <w:r>
              <w:rPr>
                <w:rFonts w:hint="default" w:ascii="Times New Roman" w:hAnsi="Times New Roman" w:eastAsia="宋体" w:cs="Times New Roman"/>
                <w:color w:val="auto"/>
                <w:sz w:val="24"/>
                <w:szCs w:val="24"/>
                <w:highlight w:val="none"/>
              </w:rPr>
              <w:t>（</w:t>
            </w:r>
            <w:r>
              <w:rPr>
                <w:rFonts w:hint="eastAsia" w:eastAsia="宋体" w:cs="Times New Roman"/>
                <w:color w:val="auto"/>
                <w:sz w:val="24"/>
                <w:szCs w:val="24"/>
                <w:highlight w:val="none"/>
                <w:lang w:eastAsia="zh-CN"/>
              </w:rPr>
              <w:t>12月~次年3月</w:t>
            </w:r>
            <w:r>
              <w:rPr>
                <w:rFonts w:hint="eastAsia" w:ascii="宋体" w:hAnsi="宋体" w:eastAsia="宋体"/>
                <w:color w:val="auto"/>
                <w:sz w:val="24"/>
                <w:szCs w:val="24"/>
                <w:highlight w:val="none"/>
              </w:rPr>
              <w:t>）施工。</w:t>
            </w:r>
            <w:r>
              <w:rPr>
                <w:rFonts w:hint="eastAsia"/>
                <w:color w:val="auto"/>
                <w:highlight w:val="none"/>
              </w:rPr>
              <w:t>围堰坡角线离堤防基础开挖线1m以上，堤防左右两岸同时设置围堰。围堰布置后以最小束窄断面作为</w:t>
            </w:r>
            <w:r>
              <w:rPr>
                <w:color w:val="auto"/>
                <w:highlight w:val="none"/>
              </w:rPr>
              <w:t>围堰</w:t>
            </w:r>
            <w:r>
              <w:rPr>
                <w:rFonts w:hint="eastAsia"/>
                <w:color w:val="auto"/>
                <w:highlight w:val="none"/>
              </w:rPr>
              <w:t>水位的控制断面。</w:t>
            </w:r>
          </w:p>
          <w:p w14:paraId="5BD6C79E">
            <w:pPr>
              <w:pStyle w:val="21"/>
              <w:ind w:firstLine="480"/>
              <w:jc w:val="both"/>
              <w:rPr>
                <w:rFonts w:hint="eastAsia"/>
                <w:color w:val="auto"/>
                <w:highlight w:val="none"/>
              </w:rPr>
            </w:pPr>
            <w:r>
              <w:rPr>
                <w:rFonts w:hint="eastAsia" w:cs="Times New Roman"/>
                <w:color w:val="auto"/>
                <w:szCs w:val="24"/>
                <w:highlight w:val="none"/>
                <w:lang w:val="en-US" w:eastAsia="zh-CN"/>
              </w:rPr>
              <w:t>石河镇二郎、福兴段：</w:t>
            </w:r>
            <w:r>
              <w:rPr>
                <w:rFonts w:hint="default" w:ascii="Times New Roman" w:hAnsi="Times New Roman" w:cs="Times New Roman"/>
                <w:color w:val="auto"/>
                <w:szCs w:val="24"/>
                <w:highlight w:val="none"/>
              </w:rPr>
              <w:t>该护岸堤基础施工安排在枯水期的</w:t>
            </w:r>
            <w:r>
              <w:rPr>
                <w:rFonts w:hint="eastAsia" w:cs="Times New Roman"/>
                <w:color w:val="auto"/>
                <w:szCs w:val="24"/>
                <w:highlight w:val="none"/>
                <w:lang w:val="en-US" w:eastAsia="zh-CN"/>
              </w:rPr>
              <w:t>12月~次年3月</w:t>
            </w:r>
            <w:r>
              <w:rPr>
                <w:rFonts w:hint="eastAsia"/>
                <w:color w:val="auto"/>
                <w:szCs w:val="24"/>
                <w:highlight w:val="none"/>
                <w:lang w:eastAsia="zh-CN"/>
              </w:rPr>
              <w:t>。</w:t>
            </w:r>
            <w:r>
              <w:rPr>
                <w:color w:val="auto"/>
                <w:highlight w:val="none"/>
              </w:rPr>
              <w:t>导流方式采用一期分段</w:t>
            </w:r>
            <w:r>
              <w:rPr>
                <w:rFonts w:hint="eastAsia"/>
                <w:color w:val="auto"/>
                <w:highlight w:val="none"/>
              </w:rPr>
              <w:t>土石</w:t>
            </w:r>
            <w:r>
              <w:rPr>
                <w:color w:val="auto"/>
                <w:highlight w:val="none"/>
              </w:rPr>
              <w:t>围堰法导流，采用原河床过水。</w:t>
            </w:r>
            <w:r>
              <w:rPr>
                <w:rFonts w:hint="eastAsia"/>
                <w:color w:val="auto"/>
                <w:highlight w:val="none"/>
              </w:rPr>
              <w:t>二郎段导流时下游柳城滩拦河坝拆除缺口（4.0m×2.5m×2.0m、长×厚×高），待堤防结构施工完成后进行恢复。二郎段围堰</w:t>
            </w:r>
            <w:r>
              <w:rPr>
                <w:color w:val="auto"/>
                <w:highlight w:val="none"/>
              </w:rPr>
              <w:t>利用堤基</w:t>
            </w:r>
            <w:r>
              <w:rPr>
                <w:rFonts w:hint="eastAsia"/>
                <w:color w:val="auto"/>
                <w:highlight w:val="none"/>
              </w:rPr>
              <w:t>开挖料</w:t>
            </w:r>
            <w:r>
              <w:rPr>
                <w:color w:val="auto"/>
                <w:highlight w:val="none"/>
              </w:rPr>
              <w:t>填筑，在围堰的迎水面放置土工膜并用</w:t>
            </w:r>
            <w:r>
              <w:rPr>
                <w:color w:val="auto"/>
                <w:szCs w:val="24"/>
                <w:highlight w:val="none"/>
              </w:rPr>
              <w:t>编织</w:t>
            </w:r>
            <w:r>
              <w:rPr>
                <w:rFonts w:hint="eastAsia"/>
                <w:color w:val="auto"/>
                <w:szCs w:val="24"/>
                <w:highlight w:val="none"/>
              </w:rPr>
              <w:t>袋装渣料</w:t>
            </w:r>
            <w:r>
              <w:rPr>
                <w:color w:val="auto"/>
                <w:highlight w:val="none"/>
              </w:rPr>
              <w:t>压实</w:t>
            </w:r>
            <w:r>
              <w:rPr>
                <w:rFonts w:hint="eastAsia"/>
                <w:color w:val="auto"/>
                <w:highlight w:val="none"/>
              </w:rPr>
              <w:t>；福兴段围堰</w:t>
            </w:r>
            <w:r>
              <w:rPr>
                <w:color w:val="auto"/>
                <w:highlight w:val="none"/>
              </w:rPr>
              <w:t>利用堤基开挖料</w:t>
            </w:r>
            <w:r>
              <w:rPr>
                <w:rFonts w:hint="eastAsia"/>
                <w:color w:val="auto"/>
                <w:highlight w:val="none"/>
              </w:rPr>
              <w:t>装编织袋</w:t>
            </w:r>
            <w:r>
              <w:rPr>
                <w:color w:val="auto"/>
                <w:highlight w:val="none"/>
              </w:rPr>
              <w:t>填筑，</w:t>
            </w:r>
            <w:r>
              <w:rPr>
                <w:rFonts w:hint="eastAsia"/>
                <w:color w:val="auto"/>
                <w:highlight w:val="none"/>
              </w:rPr>
              <w:t>内设</w:t>
            </w:r>
            <w:r>
              <w:rPr>
                <w:color w:val="auto"/>
                <w:highlight w:val="none"/>
              </w:rPr>
              <w:t>土工膜</w:t>
            </w:r>
            <w:r>
              <w:rPr>
                <w:rFonts w:hint="eastAsia"/>
                <w:color w:val="auto"/>
                <w:highlight w:val="none"/>
              </w:rPr>
              <w:t>防渗</w:t>
            </w:r>
            <w:r>
              <w:rPr>
                <w:rFonts w:hint="eastAsia" w:ascii="宋体" w:hAnsi="宋体" w:eastAsia="宋体"/>
                <w:color w:val="auto"/>
                <w:sz w:val="24"/>
                <w:szCs w:val="24"/>
                <w:highlight w:val="none"/>
              </w:rPr>
              <w:t>。</w:t>
            </w:r>
            <w:r>
              <w:rPr>
                <w:rFonts w:hint="eastAsia"/>
                <w:color w:val="auto"/>
                <w:highlight w:val="none"/>
              </w:rPr>
              <w:t>福兴段导流时将河堰口拦河坝拆除，待堤防结构施工完成后二郎段拦河坝进行恢复。</w:t>
            </w:r>
          </w:p>
          <w:p w14:paraId="2C4477B1">
            <w:pPr>
              <w:ind w:firstLine="480"/>
              <w:rPr>
                <w:rFonts w:hint="eastAsia"/>
                <w:color w:val="auto"/>
                <w:highlight w:val="none"/>
              </w:rPr>
            </w:pPr>
            <w:r>
              <w:rPr>
                <w:rFonts w:hint="eastAsia"/>
                <w:color w:val="auto"/>
                <w:highlight w:val="none"/>
                <w:lang w:val="en-US" w:eastAsia="zh-CN"/>
              </w:rPr>
              <w:t>石河镇石河镇段、双拱场段：</w:t>
            </w:r>
            <w:r>
              <w:rPr>
                <w:rFonts w:hint="eastAsia"/>
                <w:color w:val="auto"/>
                <w:highlight w:val="none"/>
              </w:rPr>
              <w:t>考虑两处河段工程下部均设有C20砼挡墙，其一期施工控制高程高于1</w:t>
            </w:r>
            <w:r>
              <w:rPr>
                <w:color w:val="auto"/>
                <w:highlight w:val="none"/>
              </w:rPr>
              <w:t>2</w:t>
            </w:r>
            <w:r>
              <w:rPr>
                <w:rFonts w:hint="eastAsia"/>
                <w:color w:val="auto"/>
                <w:highlight w:val="none"/>
              </w:rPr>
              <w:t>月～次年3月在5年一遇枯期洪水位相对高程；一期施工时，两处河段施工导流均采用纵向围堰导流；待河道两侧施工完成砼挡墙后，对纵向围堰进行拆除，利用河道进行导流即可；二期施工主要为上部护坡及堤顶等项目，导流时段为4-5月，利用下部河道已成型断面导流能满足施工期要求。石河镇段导流时石梁子拦河坝拆除缺口（3.0m×2.5m×2.2m、长×厚×高），待下部结构施工完成后进行恢复。</w:t>
            </w:r>
            <w:r>
              <w:rPr>
                <w:rFonts w:hint="eastAsia"/>
                <w:color w:val="auto"/>
                <w:sz w:val="24"/>
                <w:szCs w:val="24"/>
                <w:highlight w:val="none"/>
              </w:rPr>
              <w:t>在基坑开挖时，利用开挖弃土填筑围堰。围堰迎水面坡比为1:1，背坡坡比为1:1，迎水面设防渗土工膜及50cm厚渣料编织袋进行防护。</w:t>
            </w:r>
            <w:r>
              <w:rPr>
                <w:rFonts w:hint="eastAsia"/>
                <w:color w:val="auto"/>
                <w:highlight w:val="none"/>
              </w:rPr>
              <w:t>双拱场段导流时江水大桥石河堰拆除缺口（4.0m×2.0m×2.0m、长×厚×高，坝后岩石开挖15.0m×5.0m×1.5m、长×厚×高），控制底高程300.00m，待下部结构施工完成后进行恢复。</w:t>
            </w:r>
          </w:p>
          <w:p w14:paraId="265E6D11">
            <w:pPr>
              <w:spacing w:beforeLines="0" w:afterLines="0"/>
              <w:jc w:val="left"/>
              <w:rPr>
                <w:rFonts w:hint="eastAsia" w:ascii="宋体" w:hAnsi="宋体" w:eastAsia="宋体"/>
                <w:color w:val="auto"/>
                <w:sz w:val="24"/>
                <w:szCs w:val="24"/>
                <w:highlight w:val="none"/>
              </w:rPr>
            </w:pPr>
            <w:r>
              <w:rPr>
                <w:rFonts w:hint="eastAsia" w:ascii="宋体" w:hAnsi="宋体"/>
                <w:color w:val="auto"/>
                <w:sz w:val="24"/>
                <w:szCs w:val="24"/>
                <w:highlight w:val="none"/>
                <w:lang w:val="en-US" w:eastAsia="zh-CN"/>
              </w:rPr>
              <w:t>本项目</w:t>
            </w:r>
            <w:r>
              <w:rPr>
                <w:rFonts w:hint="eastAsia" w:ascii="宋体" w:hAnsi="宋体" w:eastAsia="宋体"/>
                <w:color w:val="auto"/>
                <w:sz w:val="24"/>
                <w:szCs w:val="24"/>
                <w:highlight w:val="none"/>
              </w:rPr>
              <w:t>采用流水线作业，水上开挖一段，利用开挖料填筑一段围堰，再进行基础砂砾石开挖和基础砼浇筑工作，最后拆除围堰。本项目围堰建设不会造成河流断流，对下游水文情势不会产生影响。</w:t>
            </w:r>
            <w:r>
              <w:rPr>
                <w:rFonts w:hint="eastAsia" w:ascii="宋体" w:hAnsi="宋体"/>
                <w:color w:val="auto"/>
                <w:sz w:val="24"/>
                <w:szCs w:val="24"/>
                <w:highlight w:val="none"/>
                <w:lang w:val="en-US" w:eastAsia="zh-CN"/>
              </w:rPr>
              <w:t>墩子河</w:t>
            </w:r>
            <w:r>
              <w:rPr>
                <w:rFonts w:hint="eastAsia" w:ascii="宋体" w:hAnsi="宋体" w:eastAsia="宋体"/>
                <w:color w:val="auto"/>
                <w:sz w:val="24"/>
                <w:szCs w:val="24"/>
                <w:highlight w:val="none"/>
              </w:rPr>
              <w:t>因此，</w:t>
            </w:r>
            <w:r>
              <w:rPr>
                <w:rFonts w:hint="eastAsia" w:ascii="宋体" w:hAnsi="宋体"/>
                <w:color w:val="auto"/>
                <w:sz w:val="24"/>
                <w:szCs w:val="24"/>
                <w:highlight w:val="none"/>
                <w:lang w:eastAsia="zh-CN"/>
              </w:rPr>
              <w:t>本项目</w:t>
            </w:r>
            <w:r>
              <w:rPr>
                <w:rFonts w:hint="eastAsia" w:ascii="宋体" w:hAnsi="宋体" w:eastAsia="宋体"/>
                <w:color w:val="auto"/>
                <w:sz w:val="24"/>
                <w:szCs w:val="24"/>
                <w:highlight w:val="none"/>
              </w:rPr>
              <w:t>的建设对河流水文情势、河道行洪及稳定影响均较小。</w:t>
            </w:r>
          </w:p>
          <w:p w14:paraId="52B1B63A">
            <w:pPr>
              <w:ind w:left="0" w:leftChars="0" w:firstLine="0" w:firstLineChars="0"/>
              <w:rPr>
                <w:rFonts w:hint="default"/>
                <w:b/>
                <w:bCs/>
                <w:color w:val="auto"/>
                <w:highlight w:val="none"/>
                <w:lang w:val="en-US" w:eastAsia="zh-CN"/>
              </w:rPr>
            </w:pPr>
            <w:r>
              <w:rPr>
                <w:rFonts w:hint="eastAsia"/>
                <w:b/>
                <w:bCs/>
                <w:color w:val="auto"/>
                <w:highlight w:val="none"/>
                <w:lang w:val="en-US" w:eastAsia="zh-CN"/>
              </w:rPr>
              <w:t>4.1.5.2 清河镇段及杨家镇段</w:t>
            </w:r>
          </w:p>
          <w:p w14:paraId="77E91F10">
            <w:pPr>
              <w:spacing w:beforeLines="0" w:afterLines="0"/>
              <w:jc w:val="left"/>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根据调查，项目施工期涉水施工采取了围堰导流措施。目前，围堰已拆除，河道恢复。</w:t>
            </w:r>
          </w:p>
          <w:p w14:paraId="1DFBE572">
            <w:pPr>
              <w:tabs>
                <w:tab w:val="left" w:pos="1260"/>
              </w:tabs>
              <w:wordWrap w:val="0"/>
              <w:adjustRightInd w:val="0"/>
              <w:snapToGrid w:val="0"/>
              <w:ind w:firstLine="480"/>
              <w:rPr>
                <w:rFonts w:hint="eastAsia" w:ascii="宋体" w:hAnsi="宋体" w:eastAsia="宋体"/>
                <w:color w:val="auto"/>
                <w:sz w:val="24"/>
                <w:szCs w:val="24"/>
                <w:highlight w:val="none"/>
                <w:lang w:val="en-US" w:eastAsia="zh-CN"/>
              </w:rPr>
            </w:pPr>
            <w:r>
              <w:rPr>
                <w:rFonts w:hint="eastAsia"/>
                <w:color w:val="auto"/>
                <w:highlight w:val="none"/>
                <w:lang w:val="en-US" w:eastAsia="zh-CN"/>
              </w:rPr>
              <w:t>综上，项目生态评价范围内不涉及</w:t>
            </w:r>
            <w:r>
              <w:rPr>
                <w:rFonts w:hint="default" w:ascii="Times New Roman" w:hAnsi="Times New Roman" w:cs="Times New Roman"/>
                <w:bCs/>
                <w:color w:val="auto"/>
                <w:szCs w:val="24"/>
                <w:highlight w:val="none"/>
              </w:rPr>
              <w:t>国家保护野生植物</w:t>
            </w:r>
            <w:r>
              <w:rPr>
                <w:rFonts w:hint="eastAsia" w:cs="Times New Roman"/>
                <w:bCs/>
                <w:color w:val="auto"/>
                <w:szCs w:val="24"/>
                <w:highlight w:val="none"/>
                <w:lang w:eastAsia="zh-CN"/>
              </w:rPr>
              <w:t>、</w:t>
            </w:r>
            <w:r>
              <w:rPr>
                <w:rFonts w:hint="default" w:ascii="Times New Roman" w:hAnsi="Times New Roman" w:cs="Times New Roman"/>
                <w:bCs/>
                <w:color w:val="auto"/>
                <w:szCs w:val="24"/>
                <w:highlight w:val="none"/>
              </w:rPr>
              <w:t>国家保护野生</w:t>
            </w:r>
            <w:r>
              <w:rPr>
                <w:rFonts w:hint="eastAsia" w:cs="Times New Roman"/>
                <w:bCs/>
                <w:color w:val="auto"/>
                <w:szCs w:val="24"/>
                <w:highlight w:val="none"/>
                <w:lang w:val="en-US" w:eastAsia="zh-CN"/>
              </w:rPr>
              <w:t>动物</w:t>
            </w:r>
            <w:r>
              <w:rPr>
                <w:rFonts w:hint="eastAsia" w:cs="Times New Roman"/>
                <w:bCs/>
                <w:color w:val="auto"/>
                <w:szCs w:val="24"/>
                <w:highlight w:val="none"/>
                <w:lang w:eastAsia="zh-CN"/>
              </w:rPr>
              <w:t>。</w:t>
            </w:r>
            <w:r>
              <w:rPr>
                <w:rFonts w:hint="default" w:ascii="Times New Roman" w:hAnsi="Times New Roman" w:cs="Times New Roman"/>
                <w:color w:val="auto"/>
                <w:highlight w:val="none"/>
              </w:rPr>
              <w:t>在工程建设过程中，施工地带的现有植被</w:t>
            </w:r>
            <w:r>
              <w:rPr>
                <w:rFonts w:hint="eastAsia" w:cs="Times New Roman"/>
                <w:color w:val="auto"/>
                <w:highlight w:val="none"/>
                <w:lang w:eastAsia="zh-CN"/>
              </w:rPr>
              <w:t>、</w:t>
            </w:r>
            <w:r>
              <w:rPr>
                <w:rFonts w:hint="eastAsia" w:cs="Times New Roman"/>
                <w:color w:val="auto"/>
                <w:highlight w:val="none"/>
                <w:lang w:val="en-US" w:eastAsia="zh-CN"/>
              </w:rPr>
              <w:t>动物、水生生物虽</w:t>
            </w:r>
            <w:r>
              <w:rPr>
                <w:rFonts w:hint="default" w:ascii="Times New Roman" w:hAnsi="Times New Roman" w:cs="Times New Roman"/>
                <w:color w:val="auto"/>
                <w:highlight w:val="none"/>
              </w:rPr>
              <w:t>受到</w:t>
            </w:r>
            <w:r>
              <w:rPr>
                <w:rFonts w:hint="eastAsia" w:cs="Times New Roman"/>
                <w:color w:val="auto"/>
                <w:highlight w:val="none"/>
                <w:lang w:val="en-US" w:eastAsia="zh-CN"/>
              </w:rPr>
              <w:t>影响</w:t>
            </w:r>
            <w:r>
              <w:rPr>
                <w:rFonts w:hint="eastAsia" w:cs="Times New Roman"/>
                <w:color w:val="auto"/>
                <w:highlight w:val="none"/>
                <w:lang w:eastAsia="zh-CN"/>
              </w:rPr>
              <w:t>；</w:t>
            </w:r>
            <w:r>
              <w:rPr>
                <w:rFonts w:hint="default" w:ascii="Times New Roman" w:hAnsi="Times New Roman" w:cs="Times New Roman"/>
                <w:color w:val="auto"/>
                <w:highlight w:val="none"/>
              </w:rPr>
              <w:t>但</w:t>
            </w:r>
            <w:r>
              <w:rPr>
                <w:rFonts w:hint="eastAsia" w:cs="Times New Roman"/>
                <w:color w:val="auto"/>
                <w:highlight w:val="none"/>
                <w:lang w:val="en-US" w:eastAsia="zh-CN"/>
              </w:rPr>
              <w:t>项目工程量小，且</w:t>
            </w:r>
            <w:r>
              <w:rPr>
                <w:rFonts w:hint="default" w:ascii="Times New Roman" w:hAnsi="Times New Roman" w:cs="Times New Roman"/>
                <w:color w:val="auto"/>
                <w:highlight w:val="none"/>
              </w:rPr>
              <w:t>施工期短，本项目建设不会对沿线植被产生长远的破坏性影响</w:t>
            </w:r>
            <w:r>
              <w:rPr>
                <w:rFonts w:hint="eastAsia" w:cs="Times New Roman"/>
                <w:color w:val="auto"/>
                <w:highlight w:val="none"/>
                <w:lang w:eastAsia="zh-CN"/>
              </w:rPr>
              <w:t>，</w:t>
            </w:r>
            <w:r>
              <w:rPr>
                <w:rFonts w:hint="eastAsia" w:cs="Times New Roman"/>
                <w:color w:val="auto"/>
                <w:highlight w:val="none"/>
                <w:lang w:val="en-US" w:eastAsia="zh-CN"/>
              </w:rPr>
              <w:t>对动物、水生生物的影响是暂时的</w:t>
            </w:r>
            <w:r>
              <w:rPr>
                <w:rFonts w:hint="eastAsia" w:cs="Times New Roman"/>
                <w:color w:val="auto"/>
                <w:highlight w:val="none"/>
                <w:lang w:eastAsia="zh-CN"/>
              </w:rPr>
              <w:t>。</w:t>
            </w:r>
            <w:r>
              <w:rPr>
                <w:rFonts w:hint="default" w:ascii="Times New Roman" w:hAnsi="Times New Roman" w:cs="Times New Roman"/>
                <w:color w:val="auto"/>
                <w:highlight w:val="none"/>
              </w:rPr>
              <w:t>工程实施后，通过堤防护坡工程、水土保持措施及完工后临时占地区的植被恢复措施和耕地复垦措施，可以使工程影响区内的植被在较短时间内得到较好的恢复。随着区域植被的逐步恢复，施工占地区内的动物</w:t>
            </w:r>
            <w:r>
              <w:rPr>
                <w:rFonts w:hint="eastAsia" w:cs="Times New Roman"/>
                <w:color w:val="auto"/>
                <w:highlight w:val="none"/>
                <w:lang w:eastAsia="zh-CN"/>
              </w:rPr>
              <w:t>、</w:t>
            </w:r>
            <w:r>
              <w:rPr>
                <w:rFonts w:hint="eastAsia" w:cs="Times New Roman"/>
                <w:color w:val="auto"/>
                <w:highlight w:val="none"/>
                <w:lang w:val="en-US" w:eastAsia="zh-CN"/>
              </w:rPr>
              <w:t>水生生物</w:t>
            </w:r>
            <w:r>
              <w:rPr>
                <w:rFonts w:hint="default" w:ascii="Times New Roman" w:hAnsi="Times New Roman" w:cs="Times New Roman"/>
                <w:color w:val="auto"/>
                <w:highlight w:val="none"/>
              </w:rPr>
              <w:t>也将逐步恢复至现状水平。</w:t>
            </w:r>
            <w:r>
              <w:rPr>
                <w:rFonts w:hint="eastAsia" w:ascii="宋体" w:hAnsi="宋体"/>
                <w:color w:val="auto"/>
                <w:sz w:val="24"/>
                <w:szCs w:val="24"/>
                <w:highlight w:val="none"/>
                <w:lang w:eastAsia="zh-CN"/>
              </w:rPr>
              <w:t>本项目</w:t>
            </w:r>
            <w:r>
              <w:rPr>
                <w:rFonts w:hint="eastAsia" w:ascii="宋体" w:hAnsi="宋体" w:eastAsia="宋体"/>
                <w:color w:val="auto"/>
                <w:sz w:val="24"/>
                <w:szCs w:val="24"/>
                <w:highlight w:val="none"/>
              </w:rPr>
              <w:t>采用分段导流</w:t>
            </w:r>
            <w:r>
              <w:rPr>
                <w:rFonts w:hint="eastAsia" w:ascii="宋体" w:hAnsi="宋体"/>
                <w:color w:val="auto"/>
                <w:sz w:val="24"/>
                <w:szCs w:val="24"/>
                <w:highlight w:val="none"/>
                <w:lang w:eastAsia="zh-CN"/>
              </w:rPr>
              <w:t>，</w:t>
            </w:r>
            <w:r>
              <w:rPr>
                <w:rFonts w:hint="default" w:ascii="Times New Roman" w:hAnsi="Times New Roman" w:cs="Times New Roman"/>
                <w:color w:val="auto"/>
                <w:sz w:val="24"/>
                <w:szCs w:val="24"/>
                <w:highlight w:val="none"/>
              </w:rPr>
              <w:t>采取土石围堰导流</w:t>
            </w:r>
            <w:r>
              <w:rPr>
                <w:rFonts w:hint="eastAsia" w:cs="Times New Roman"/>
                <w:color w:val="auto"/>
                <w:sz w:val="24"/>
                <w:szCs w:val="24"/>
                <w:highlight w:val="none"/>
                <w:lang w:eastAsia="zh-CN"/>
              </w:rPr>
              <w:t>，</w:t>
            </w:r>
            <w:r>
              <w:rPr>
                <w:rFonts w:hint="eastAsia" w:ascii="宋体" w:hAnsi="宋体" w:eastAsia="宋体"/>
                <w:color w:val="auto"/>
                <w:sz w:val="24"/>
                <w:szCs w:val="24"/>
                <w:highlight w:val="none"/>
              </w:rPr>
              <w:t>对河流水文情势、河道行洪及稳定影响均较小。</w:t>
            </w:r>
            <w:r>
              <w:rPr>
                <w:rFonts w:hint="eastAsia" w:ascii="宋体" w:hAnsi="宋体"/>
                <w:color w:val="auto"/>
                <w:sz w:val="24"/>
                <w:szCs w:val="24"/>
                <w:highlight w:val="none"/>
                <w:lang w:val="en-US" w:eastAsia="zh-CN"/>
              </w:rPr>
              <w:t>因此，本</w:t>
            </w:r>
            <w:r>
              <w:rPr>
                <w:rFonts w:hint="eastAsia"/>
                <w:color w:val="auto"/>
                <w:highlight w:val="none"/>
                <w:lang w:val="en-US" w:eastAsia="zh-CN"/>
              </w:rPr>
              <w:t>项目施工期对生态环境影响小，可接受。</w:t>
            </w:r>
          </w:p>
          <w:p w14:paraId="51B1C307">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4.2 施工期污染影响分析</w:t>
            </w:r>
          </w:p>
          <w:p w14:paraId="0F8CF500">
            <w:pPr>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4.2.1施工期环境空气影响分析</w:t>
            </w:r>
          </w:p>
          <w:p w14:paraId="2C163CC6">
            <w:pPr>
              <w:ind w:left="0" w:leftChars="0" w:firstLine="0" w:firstLineChars="0"/>
              <w:rPr>
                <w:rFonts w:hint="default"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 xml:space="preserve">4.2.1.1 </w:t>
            </w:r>
            <w:r>
              <w:rPr>
                <w:rFonts w:hint="eastAsia" w:cs="Times New Roman"/>
                <w:b w:val="0"/>
                <w:bCs w:val="0"/>
                <w:color w:val="auto"/>
                <w:highlight w:val="none"/>
                <w:lang w:val="en-US" w:eastAsia="zh-CN"/>
              </w:rPr>
              <w:t>二郎及福兴段、石河镇段及双拱场段</w:t>
            </w:r>
          </w:p>
          <w:p w14:paraId="64B57BD7">
            <w:pPr>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本项目施工期大气污染物主要是扬尘（施工场地产生的扬尘、</w:t>
            </w:r>
            <w:r>
              <w:rPr>
                <w:rFonts w:hint="default" w:ascii="Times New Roman" w:hAnsi="Times New Roman" w:cs="Times New Roman"/>
                <w:color w:val="auto"/>
                <w:highlight w:val="none"/>
              </w:rPr>
              <w:t>车辆运输扬尘、堆料场扬尘）</w:t>
            </w:r>
            <w:r>
              <w:rPr>
                <w:rFonts w:hint="default" w:ascii="Times New Roman" w:hAnsi="Times New Roman" w:cs="Times New Roman"/>
                <w:bCs/>
                <w:color w:val="auto"/>
                <w:highlight w:val="none"/>
              </w:rPr>
              <w:t>、混凝土</w:t>
            </w:r>
            <w:r>
              <w:rPr>
                <w:rFonts w:hint="eastAsia" w:cs="Times New Roman"/>
                <w:bCs/>
                <w:color w:val="auto"/>
                <w:highlight w:val="none"/>
                <w:lang w:eastAsia="zh-CN"/>
              </w:rPr>
              <w:t>拌和</w:t>
            </w:r>
            <w:r>
              <w:rPr>
                <w:rFonts w:hint="default" w:ascii="Times New Roman" w:hAnsi="Times New Roman" w:cs="Times New Roman"/>
                <w:bCs/>
                <w:color w:val="auto"/>
                <w:highlight w:val="none"/>
              </w:rPr>
              <w:t>粉尘、</w:t>
            </w:r>
            <w:r>
              <w:rPr>
                <w:rFonts w:hint="eastAsia" w:cs="Times New Roman"/>
                <w:bCs/>
                <w:color w:val="auto"/>
                <w:highlight w:val="none"/>
                <w:lang w:eastAsia="zh-CN"/>
              </w:rPr>
              <w:t>燃油施工机具和车辆尾气、</w:t>
            </w:r>
            <w:r>
              <w:rPr>
                <w:rFonts w:hint="eastAsia" w:cs="Times New Roman"/>
                <w:bCs/>
                <w:color w:val="auto"/>
                <w:highlight w:val="none"/>
                <w:lang w:val="en-US" w:eastAsia="zh-CN"/>
              </w:rPr>
              <w:t>底泥干化、堆存恶臭</w:t>
            </w:r>
            <w:r>
              <w:rPr>
                <w:rFonts w:hint="default" w:ascii="Times New Roman" w:hAnsi="Times New Roman" w:cs="Times New Roman"/>
                <w:bCs/>
                <w:color w:val="auto"/>
                <w:highlight w:val="none"/>
              </w:rPr>
              <w:t>。</w:t>
            </w:r>
          </w:p>
          <w:p w14:paraId="6D8C3095">
            <w:pPr>
              <w:numPr>
                <w:ilvl w:val="0"/>
                <w:numId w:val="6"/>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施工扬尘</w:t>
            </w:r>
          </w:p>
          <w:p w14:paraId="194E586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随着工程开展，主体工程区施工等引起的空气和地面的振动都是导致粉尘、扬尘污染的主要途径，且对长期处于粉尘、扬尘浓度较高的施工环境中施工人员的呼吸道带来一定不利影响。粉尘、扬尘污染程度与工程施工区风速、道路积尘量等因素有直接关系，污染的防治可通过对各因素的控制降低污染影响。</w:t>
            </w:r>
          </w:p>
          <w:p w14:paraId="1F71DC2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建设产生的粉尘、扬尘将使施工区周边空气质量下降。工程废气的排放特性为间歇性、流动性排放，每天的排放量较小，在排放的同时就得以不断稀释。扬尘则属于较容易沉降的污染物，其影响在扩散的过程当中就已经开始消减，无法形成积累，且扬尘主要源于部分施工区域和工程运输道路附近，影响范围较有限。</w:t>
            </w:r>
          </w:p>
          <w:p w14:paraId="371A36D5">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抑制扬尘的一个简捷有效的措施是洒水。如果在施工期内对车辆行驶的路面实施洒水抑尘，每天洒水4～5次，可使扬尘减少70%左右。下表为施工场地洒水抑尘的试验结果。由该表数据可看出对施工场地实施每天洒水4～5次进行抑尘，可有效地控制施工扬尘，并可将TSP污染距离缩小到20～50m范围。</w:t>
            </w:r>
          </w:p>
          <w:p w14:paraId="49F8244B">
            <w:pPr>
              <w:ind w:firstLine="482"/>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表4.2-1 </w:t>
            </w:r>
            <w:r>
              <w:rPr>
                <w:rFonts w:hint="default" w:ascii="Times New Roman" w:hAnsi="Times New Roman" w:cs="Times New Roman"/>
                <w:b/>
                <w:bCs/>
                <w:color w:val="auto"/>
                <w:highlight w:val="none"/>
                <w:lang w:bidi="ar"/>
              </w:rPr>
              <w:t>施工场地洒水抑尘试验结果单位：mg/m</w:t>
            </w:r>
            <w:r>
              <w:rPr>
                <w:rFonts w:hint="default" w:ascii="Times New Roman" w:hAnsi="Times New Roman" w:cs="Times New Roman"/>
                <w:b/>
                <w:bCs/>
                <w:color w:val="auto"/>
                <w:highlight w:val="none"/>
                <w:vertAlign w:val="superscript"/>
                <w:lang w:bidi="ar"/>
              </w:rPr>
              <w:t>3</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8"/>
              <w:gridCol w:w="1344"/>
              <w:gridCol w:w="1195"/>
              <w:gridCol w:w="1365"/>
              <w:gridCol w:w="1182"/>
              <w:gridCol w:w="1195"/>
            </w:tblGrid>
            <w:tr w14:paraId="7D4A7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49" w:type="pct"/>
                  <w:gridSpan w:val="2"/>
                  <w:noWrap w:val="0"/>
                  <w:vAlign w:val="center"/>
                </w:tcPr>
                <w:p w14:paraId="6F28966C">
                  <w:pPr>
                    <w:pStyle w:val="10"/>
                    <w:spacing w:beforeAutospacing="0" w:afterAutospacing="0" w:line="240" w:lineRule="auto"/>
                    <w:ind w:firstLine="0" w:firstLineChars="0"/>
                    <w:jc w:val="center"/>
                    <w:rPr>
                      <w:rFonts w:hint="default" w:ascii="Times New Roman" w:hAnsi="Times New Roman" w:cs="Times New Roman"/>
                      <w:b/>
                      <w:color w:val="auto"/>
                      <w:kern w:val="2"/>
                      <w:sz w:val="21"/>
                      <w:szCs w:val="21"/>
                      <w:highlight w:val="none"/>
                    </w:rPr>
                  </w:pPr>
                  <w:r>
                    <w:rPr>
                      <w:rFonts w:hint="default" w:ascii="Times New Roman" w:hAnsi="Times New Roman" w:cs="Times New Roman"/>
                      <w:b/>
                      <w:color w:val="auto"/>
                      <w:kern w:val="2"/>
                      <w:sz w:val="21"/>
                      <w:szCs w:val="21"/>
                      <w:highlight w:val="none"/>
                      <w:lang w:bidi="ar"/>
                    </w:rPr>
                    <w:t>距离</w:t>
                  </w:r>
                </w:p>
              </w:tc>
              <w:tc>
                <w:tcPr>
                  <w:tcW w:w="690" w:type="pct"/>
                  <w:noWrap w:val="0"/>
                  <w:vAlign w:val="center"/>
                </w:tcPr>
                <w:p w14:paraId="6E9F7618">
                  <w:pPr>
                    <w:pStyle w:val="10"/>
                    <w:spacing w:beforeAutospacing="0" w:afterAutospacing="0" w:line="240" w:lineRule="auto"/>
                    <w:ind w:firstLine="0" w:firstLineChars="0"/>
                    <w:jc w:val="center"/>
                    <w:rPr>
                      <w:rFonts w:hint="default" w:ascii="Times New Roman" w:hAnsi="Times New Roman" w:cs="Times New Roman"/>
                      <w:b/>
                      <w:color w:val="auto"/>
                      <w:kern w:val="2"/>
                      <w:sz w:val="21"/>
                      <w:szCs w:val="21"/>
                      <w:highlight w:val="none"/>
                    </w:rPr>
                  </w:pPr>
                  <w:r>
                    <w:rPr>
                      <w:rFonts w:hint="default" w:ascii="Times New Roman" w:hAnsi="Times New Roman" w:cs="Times New Roman"/>
                      <w:b/>
                      <w:color w:val="auto"/>
                      <w:kern w:val="2"/>
                      <w:sz w:val="21"/>
                      <w:szCs w:val="21"/>
                      <w:highlight w:val="none"/>
                      <w:lang w:bidi="ar"/>
                    </w:rPr>
                    <w:t>5m</w:t>
                  </w:r>
                </w:p>
              </w:tc>
              <w:tc>
                <w:tcPr>
                  <w:tcW w:w="788" w:type="pct"/>
                  <w:noWrap w:val="0"/>
                  <w:vAlign w:val="center"/>
                </w:tcPr>
                <w:p w14:paraId="090D8517">
                  <w:pPr>
                    <w:pStyle w:val="10"/>
                    <w:spacing w:beforeAutospacing="0" w:afterAutospacing="0" w:line="240" w:lineRule="auto"/>
                    <w:ind w:firstLine="0" w:firstLineChars="0"/>
                    <w:jc w:val="center"/>
                    <w:rPr>
                      <w:rFonts w:hint="default" w:ascii="Times New Roman" w:hAnsi="Times New Roman" w:cs="Times New Roman"/>
                      <w:b/>
                      <w:color w:val="auto"/>
                      <w:kern w:val="2"/>
                      <w:sz w:val="21"/>
                      <w:szCs w:val="21"/>
                      <w:highlight w:val="none"/>
                    </w:rPr>
                  </w:pPr>
                  <w:r>
                    <w:rPr>
                      <w:rFonts w:hint="default" w:ascii="Times New Roman" w:hAnsi="Times New Roman" w:cs="Times New Roman"/>
                      <w:b/>
                      <w:color w:val="auto"/>
                      <w:kern w:val="2"/>
                      <w:sz w:val="21"/>
                      <w:szCs w:val="21"/>
                      <w:highlight w:val="none"/>
                      <w:lang w:bidi="ar"/>
                    </w:rPr>
                    <w:t>20m</w:t>
                  </w:r>
                </w:p>
              </w:tc>
              <w:tc>
                <w:tcPr>
                  <w:tcW w:w="683" w:type="pct"/>
                  <w:noWrap w:val="0"/>
                  <w:vAlign w:val="center"/>
                </w:tcPr>
                <w:p w14:paraId="18D4575E">
                  <w:pPr>
                    <w:pStyle w:val="10"/>
                    <w:spacing w:beforeAutospacing="0" w:afterAutospacing="0" w:line="240" w:lineRule="auto"/>
                    <w:ind w:firstLine="0" w:firstLineChars="0"/>
                    <w:jc w:val="center"/>
                    <w:rPr>
                      <w:rFonts w:hint="default" w:ascii="Times New Roman" w:hAnsi="Times New Roman" w:cs="Times New Roman"/>
                      <w:b/>
                      <w:color w:val="auto"/>
                      <w:kern w:val="2"/>
                      <w:sz w:val="21"/>
                      <w:szCs w:val="21"/>
                      <w:highlight w:val="none"/>
                    </w:rPr>
                  </w:pPr>
                  <w:r>
                    <w:rPr>
                      <w:rFonts w:hint="default" w:ascii="Times New Roman" w:hAnsi="Times New Roman" w:cs="Times New Roman"/>
                      <w:b/>
                      <w:color w:val="auto"/>
                      <w:kern w:val="2"/>
                      <w:sz w:val="21"/>
                      <w:szCs w:val="21"/>
                      <w:highlight w:val="none"/>
                      <w:lang w:bidi="ar"/>
                    </w:rPr>
                    <w:t>50m</w:t>
                  </w:r>
                </w:p>
              </w:tc>
              <w:tc>
                <w:tcPr>
                  <w:tcW w:w="690" w:type="pct"/>
                  <w:noWrap w:val="0"/>
                  <w:vAlign w:val="center"/>
                </w:tcPr>
                <w:p w14:paraId="2774931F">
                  <w:pPr>
                    <w:pStyle w:val="10"/>
                    <w:spacing w:beforeAutospacing="0" w:afterAutospacing="0" w:line="240" w:lineRule="auto"/>
                    <w:ind w:firstLine="0" w:firstLineChars="0"/>
                    <w:jc w:val="center"/>
                    <w:rPr>
                      <w:rFonts w:hint="default" w:ascii="Times New Roman" w:hAnsi="Times New Roman" w:cs="Times New Roman"/>
                      <w:b/>
                      <w:color w:val="auto"/>
                      <w:kern w:val="2"/>
                      <w:sz w:val="21"/>
                      <w:szCs w:val="21"/>
                      <w:highlight w:val="none"/>
                    </w:rPr>
                  </w:pPr>
                  <w:r>
                    <w:rPr>
                      <w:rFonts w:hint="default" w:ascii="Times New Roman" w:hAnsi="Times New Roman" w:cs="Times New Roman"/>
                      <w:b/>
                      <w:color w:val="auto"/>
                      <w:kern w:val="2"/>
                      <w:sz w:val="21"/>
                      <w:szCs w:val="21"/>
                      <w:highlight w:val="none"/>
                      <w:lang w:bidi="ar"/>
                    </w:rPr>
                    <w:t>100m</w:t>
                  </w:r>
                </w:p>
              </w:tc>
            </w:tr>
            <w:tr w14:paraId="415B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73" w:type="pct"/>
                  <w:vMerge w:val="restart"/>
                  <w:noWrap w:val="0"/>
                  <w:vAlign w:val="center"/>
                </w:tcPr>
                <w:p w14:paraId="67219B19">
                  <w:pPr>
                    <w:pStyle w:val="10"/>
                    <w:spacing w:beforeAutospacing="0" w:afterAutospacing="0" w:line="24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TSP小时平均浓度</w:t>
                  </w:r>
                </w:p>
              </w:tc>
              <w:tc>
                <w:tcPr>
                  <w:tcW w:w="776" w:type="pct"/>
                  <w:noWrap w:val="0"/>
                  <w:vAlign w:val="center"/>
                </w:tcPr>
                <w:p w14:paraId="10327308">
                  <w:pPr>
                    <w:pStyle w:val="10"/>
                    <w:spacing w:beforeAutospacing="0" w:afterAutospacing="0" w:line="24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不洒水</w:t>
                  </w:r>
                </w:p>
              </w:tc>
              <w:tc>
                <w:tcPr>
                  <w:tcW w:w="690" w:type="pct"/>
                  <w:noWrap w:val="0"/>
                  <w:vAlign w:val="center"/>
                </w:tcPr>
                <w:p w14:paraId="5B69DFC4">
                  <w:pPr>
                    <w:pStyle w:val="10"/>
                    <w:spacing w:beforeAutospacing="0" w:afterAutospacing="0" w:line="24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10.14</w:t>
                  </w:r>
                </w:p>
              </w:tc>
              <w:tc>
                <w:tcPr>
                  <w:tcW w:w="788" w:type="pct"/>
                  <w:noWrap w:val="0"/>
                  <w:vAlign w:val="center"/>
                </w:tcPr>
                <w:p w14:paraId="45BB93D8">
                  <w:pPr>
                    <w:pStyle w:val="10"/>
                    <w:spacing w:beforeAutospacing="0" w:afterAutospacing="0" w:line="24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3.19</w:t>
                  </w:r>
                </w:p>
              </w:tc>
              <w:tc>
                <w:tcPr>
                  <w:tcW w:w="683" w:type="pct"/>
                  <w:noWrap w:val="0"/>
                  <w:vAlign w:val="center"/>
                </w:tcPr>
                <w:p w14:paraId="797101C8">
                  <w:pPr>
                    <w:pStyle w:val="10"/>
                    <w:spacing w:beforeAutospacing="0" w:afterAutospacing="0" w:line="24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1.35</w:t>
                  </w:r>
                </w:p>
              </w:tc>
              <w:tc>
                <w:tcPr>
                  <w:tcW w:w="690" w:type="pct"/>
                  <w:noWrap w:val="0"/>
                  <w:vAlign w:val="center"/>
                </w:tcPr>
                <w:p w14:paraId="3E19D5DB">
                  <w:pPr>
                    <w:pStyle w:val="10"/>
                    <w:spacing w:beforeAutospacing="0" w:afterAutospacing="0" w:line="24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0.86</w:t>
                  </w:r>
                </w:p>
              </w:tc>
            </w:tr>
            <w:tr w14:paraId="0ADB6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73" w:type="pct"/>
                  <w:vMerge w:val="continue"/>
                  <w:noWrap w:val="0"/>
                  <w:vAlign w:val="center"/>
                </w:tcPr>
                <w:p w14:paraId="2C32E2EE">
                  <w:pPr>
                    <w:spacing w:line="240" w:lineRule="auto"/>
                    <w:ind w:firstLine="0" w:firstLineChars="0"/>
                    <w:jc w:val="center"/>
                    <w:rPr>
                      <w:rFonts w:hint="default" w:ascii="Times New Roman" w:hAnsi="Times New Roman" w:cs="Times New Roman"/>
                      <w:color w:val="auto"/>
                      <w:sz w:val="21"/>
                      <w:szCs w:val="21"/>
                      <w:highlight w:val="none"/>
                    </w:rPr>
                  </w:pPr>
                </w:p>
              </w:tc>
              <w:tc>
                <w:tcPr>
                  <w:tcW w:w="776" w:type="pct"/>
                  <w:noWrap w:val="0"/>
                  <w:vAlign w:val="center"/>
                </w:tcPr>
                <w:p w14:paraId="655EE396">
                  <w:pPr>
                    <w:pStyle w:val="10"/>
                    <w:spacing w:beforeAutospacing="0" w:afterAutospacing="0" w:line="24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洒水</w:t>
                  </w:r>
                </w:p>
              </w:tc>
              <w:tc>
                <w:tcPr>
                  <w:tcW w:w="690" w:type="pct"/>
                  <w:noWrap w:val="0"/>
                  <w:vAlign w:val="center"/>
                </w:tcPr>
                <w:p w14:paraId="25698873">
                  <w:pPr>
                    <w:pStyle w:val="10"/>
                    <w:spacing w:beforeAutospacing="0" w:afterAutospacing="0" w:line="24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3.01</w:t>
                  </w:r>
                </w:p>
              </w:tc>
              <w:tc>
                <w:tcPr>
                  <w:tcW w:w="788" w:type="pct"/>
                  <w:noWrap w:val="0"/>
                  <w:vAlign w:val="center"/>
                </w:tcPr>
                <w:p w14:paraId="5E01B20B">
                  <w:pPr>
                    <w:pStyle w:val="10"/>
                    <w:spacing w:beforeAutospacing="0" w:afterAutospacing="0" w:line="24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2.60</w:t>
                  </w:r>
                </w:p>
              </w:tc>
              <w:tc>
                <w:tcPr>
                  <w:tcW w:w="683" w:type="pct"/>
                  <w:noWrap w:val="0"/>
                  <w:vAlign w:val="center"/>
                </w:tcPr>
                <w:p w14:paraId="002A2EFB">
                  <w:pPr>
                    <w:pStyle w:val="10"/>
                    <w:spacing w:beforeAutospacing="0" w:afterAutospacing="0" w:line="24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0.87</w:t>
                  </w:r>
                </w:p>
              </w:tc>
              <w:tc>
                <w:tcPr>
                  <w:tcW w:w="690" w:type="pct"/>
                  <w:noWrap w:val="0"/>
                  <w:vAlign w:val="center"/>
                </w:tcPr>
                <w:p w14:paraId="60DBA68F">
                  <w:pPr>
                    <w:pStyle w:val="10"/>
                    <w:spacing w:beforeAutospacing="0" w:afterAutospacing="0" w:line="240" w:lineRule="auto"/>
                    <w:ind w:firstLine="0" w:firstLineChars="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bidi="ar"/>
                    </w:rPr>
                    <w:t>0.60</w:t>
                  </w:r>
                </w:p>
              </w:tc>
            </w:tr>
          </w:tbl>
          <w:p w14:paraId="0E9EF07A">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为了将产生的影响减小到最小，施工中应严格按照有关规定执行，采取切实有效的措施做到：</w:t>
            </w:r>
          </w:p>
          <w:p w14:paraId="7B29778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w:t>
            </w:r>
            <w:r>
              <w:rPr>
                <w:rFonts w:hint="eastAsia" w:cs="Times New Roman"/>
                <w:color w:val="auto"/>
                <w:highlight w:val="none"/>
                <w:lang w:eastAsia="zh-CN"/>
              </w:rPr>
              <w:t>露天堆放易产生扬尘的材料，采取遮盖措施</w:t>
            </w:r>
            <w:r>
              <w:rPr>
                <w:rFonts w:hint="default" w:ascii="Times New Roman" w:hAnsi="Times New Roman" w:cs="Times New Roman"/>
                <w:color w:val="auto"/>
                <w:highlight w:val="none"/>
              </w:rPr>
              <w:t>，以减少扬尘对环境空气的影响；</w:t>
            </w:r>
          </w:p>
          <w:p w14:paraId="39931E5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②施工中尽量减少建筑材料运输过程中的洒漏，运输车辆装截量适当、限制进场车辆的行驶速度，尽量降低物料输运过程中的落差，适当洒水降尘，及时清除路面渣土；</w:t>
            </w:r>
          </w:p>
          <w:p w14:paraId="07EEA50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③清理运输车辆轮胎；</w:t>
            </w:r>
          </w:p>
          <w:p w14:paraId="5E0AB890">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④材料运输车辆</w:t>
            </w:r>
            <w:r>
              <w:rPr>
                <w:rFonts w:hint="default" w:ascii="Times New Roman" w:hAnsi="Times New Roman" w:cs="Times New Roman"/>
                <w:color w:val="auto"/>
                <w:highlight w:val="none"/>
                <w:lang w:val="en-US" w:eastAsia="zh-CN"/>
              </w:rPr>
              <w:t>和弃渣运输车辆</w:t>
            </w:r>
            <w:r>
              <w:rPr>
                <w:rFonts w:hint="default" w:ascii="Times New Roman" w:hAnsi="Times New Roman" w:cs="Times New Roman"/>
                <w:color w:val="auto"/>
                <w:highlight w:val="none"/>
              </w:rPr>
              <w:t>密闭运输。</w:t>
            </w:r>
          </w:p>
          <w:p w14:paraId="14E18D9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采取以上扬尘治理措施后，其浓度可得到有效控制，能够实现达标排放，对区域大气环境影响不大。</w:t>
            </w:r>
          </w:p>
          <w:p w14:paraId="44442875">
            <w:pPr>
              <w:numPr>
                <w:ilvl w:val="0"/>
                <w:numId w:val="6"/>
              </w:numPr>
              <w:ind w:firstLine="480"/>
              <w:rPr>
                <w:rFonts w:hint="default" w:ascii="Times New Roman" w:hAnsi="Times New Roman" w:cs="Times New Roman"/>
                <w:color w:val="auto"/>
                <w:highlight w:val="none"/>
              </w:rPr>
            </w:pPr>
            <w:r>
              <w:rPr>
                <w:rFonts w:hint="eastAsia" w:cs="Times New Roman"/>
                <w:color w:val="auto"/>
                <w:highlight w:val="none"/>
                <w:lang w:eastAsia="zh-CN"/>
              </w:rPr>
              <w:t>拌和</w:t>
            </w:r>
            <w:r>
              <w:rPr>
                <w:rFonts w:hint="default" w:ascii="Times New Roman" w:hAnsi="Times New Roman" w:cs="Times New Roman"/>
                <w:color w:val="auto"/>
                <w:highlight w:val="none"/>
              </w:rPr>
              <w:t>扬尘</w:t>
            </w:r>
          </w:p>
          <w:p w14:paraId="111A3E6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本项目设有混凝土</w:t>
            </w:r>
            <w:r>
              <w:rPr>
                <w:rFonts w:hint="eastAsia" w:cs="Times New Roman"/>
                <w:color w:val="auto"/>
                <w:highlight w:val="none"/>
                <w:lang w:eastAsia="zh-CN"/>
              </w:rPr>
              <w:t>拌和站</w:t>
            </w:r>
            <w:r>
              <w:rPr>
                <w:rFonts w:hint="default" w:ascii="Times New Roman" w:hAnsi="Times New Roman" w:cs="Times New Roman"/>
                <w:color w:val="auto"/>
                <w:highlight w:val="none"/>
              </w:rPr>
              <w:t>，采用站拌的方式</w:t>
            </w:r>
            <w:r>
              <w:rPr>
                <w:rFonts w:hint="eastAsia" w:cs="Times New Roman"/>
                <w:color w:val="auto"/>
                <w:highlight w:val="none"/>
                <w:lang w:eastAsia="zh-CN"/>
              </w:rPr>
              <w:t>。</w:t>
            </w:r>
            <w:r>
              <w:rPr>
                <w:rFonts w:hint="default" w:ascii="Times New Roman" w:hAnsi="Times New Roman" w:cs="Times New Roman"/>
                <w:color w:val="auto"/>
                <w:highlight w:val="none"/>
              </w:rPr>
              <w:t>站拌引起的粉尘污染集中在拌和站周围。</w:t>
            </w:r>
          </w:p>
          <w:p w14:paraId="66439458">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影响时段为上料环节，特别是水泥、石粉投放期间，产生的粉尘较多易扩散，环境影响较大。拌和、出料期间基本无粉尘产生。</w:t>
            </w:r>
            <w:r>
              <w:rPr>
                <w:rFonts w:hint="eastAsia" w:cs="Times New Roman"/>
                <w:color w:val="auto"/>
                <w:highlight w:val="none"/>
                <w:lang w:eastAsia="zh-CN"/>
              </w:rPr>
              <w:t>拌和站</w:t>
            </w:r>
            <w:r>
              <w:rPr>
                <w:rFonts w:hint="default" w:ascii="Times New Roman" w:hAnsi="Times New Roman" w:cs="Times New Roman"/>
                <w:color w:val="auto"/>
                <w:highlight w:val="none"/>
              </w:rPr>
              <w:t>位于</w:t>
            </w:r>
            <w:r>
              <w:rPr>
                <w:rFonts w:hint="eastAsia" w:cs="Times New Roman"/>
                <w:color w:val="auto"/>
                <w:highlight w:val="none"/>
                <w:lang w:eastAsia="zh-CN"/>
              </w:rPr>
              <w:t>施工场地</w:t>
            </w:r>
            <w:r>
              <w:rPr>
                <w:rFonts w:hint="default" w:ascii="Times New Roman" w:hAnsi="Times New Roman" w:cs="Times New Roman"/>
                <w:color w:val="auto"/>
                <w:highlight w:val="none"/>
              </w:rPr>
              <w:t>设置的专用工棚内，投料口</w:t>
            </w:r>
            <w:r>
              <w:rPr>
                <w:rFonts w:hint="eastAsia" w:cs="Times New Roman"/>
                <w:color w:val="auto"/>
                <w:highlight w:val="none"/>
                <w:lang w:val="en-US" w:eastAsia="zh-CN"/>
              </w:rPr>
              <w:t>附近</w:t>
            </w:r>
            <w:r>
              <w:rPr>
                <w:rFonts w:hint="default" w:ascii="Times New Roman" w:hAnsi="Times New Roman" w:cs="Times New Roman"/>
                <w:color w:val="auto"/>
                <w:highlight w:val="none"/>
              </w:rPr>
              <w:t>设置喷雾降尘装置，在开启喷淋装置后，方可进行水泥、石粉投放，投放时降低投放高度。采取以上措施后，</w:t>
            </w:r>
            <w:r>
              <w:rPr>
                <w:rFonts w:hint="eastAsia" w:cs="Times New Roman"/>
                <w:color w:val="auto"/>
                <w:highlight w:val="none"/>
                <w:lang w:eastAsia="zh-CN"/>
              </w:rPr>
              <w:t>拌和站</w:t>
            </w:r>
            <w:r>
              <w:rPr>
                <w:rFonts w:hint="default" w:ascii="Times New Roman" w:hAnsi="Times New Roman" w:cs="Times New Roman"/>
                <w:color w:val="auto"/>
                <w:highlight w:val="none"/>
              </w:rPr>
              <w:t>粉尘对外界环境的影响可将有所减轻。</w:t>
            </w:r>
          </w:p>
          <w:p w14:paraId="0175FDEE">
            <w:pPr>
              <w:numPr>
                <w:ilvl w:val="0"/>
                <w:numId w:val="6"/>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燃油施工机具和车辆尾气</w:t>
            </w:r>
          </w:p>
          <w:p w14:paraId="0EBD9663">
            <w:p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施工区的燃油设备主要是施工机械和运输车辆，其排放的尾气在施工期间对施工作业点和交通道路附近的大气环境会造成一定程度污染，产生CO、碳氢化合物、NO</w:t>
            </w:r>
            <w:r>
              <w:rPr>
                <w:rFonts w:hint="default" w:ascii="Times New Roman" w:hAnsi="Times New Roman" w:cs="Times New Roman"/>
                <w:color w:val="auto"/>
                <w:szCs w:val="24"/>
                <w:highlight w:val="none"/>
                <w:vertAlign w:val="subscript"/>
              </w:rPr>
              <w:t>2</w:t>
            </w:r>
            <w:r>
              <w:rPr>
                <w:rFonts w:hint="default" w:ascii="Times New Roman" w:hAnsi="Times New Roman" w:cs="Times New Roman"/>
                <w:color w:val="auto"/>
                <w:szCs w:val="24"/>
                <w:highlight w:val="none"/>
              </w:rPr>
              <w:t>等污染物。运输车辆的废气是沿交通路线沿程排放，施工机械的废气基本是以点源形式排放。施工期间加强设备维护，禁止超负荷运行，且施工区场地开阔，空气流通性好，废气中的各项污染物能够很快扩散，不会引起局部大气环境质量的恶化，加之施工时间短，施工废气会随着施工期的结束而消失，因此排放的废气对区域环境空气质量影响可以接受。</w:t>
            </w:r>
          </w:p>
          <w:p w14:paraId="38E3BE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（4）底泥干化、堆存恶臭</w:t>
            </w:r>
          </w:p>
          <w:p w14:paraId="5799AB2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河道清淤产生的底泥，在受到扰动和堆置地面时会产生恶臭，本项目淤泥主要为河道清淤产生的淤泥，以砂石为主，含腐殖性底泥较少，排放的臭气强度较低。</w:t>
            </w:r>
          </w:p>
          <w:p w14:paraId="0886B15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为减少淤泥开挖及治理过程中产生的恶臭，拟采取以下污染防治措施：避开高温天气和大风天气，选取温度较低的天气作业，从而减少臭气的产生。同时喷洒生物除臭剂，减少临时堆存的时间等措施。</w:t>
            </w:r>
          </w:p>
          <w:p w14:paraId="4A4596B4">
            <w:pPr>
              <w:widowControl/>
              <w:ind w:firstLine="480"/>
              <w:jc w:val="left"/>
              <w:rPr>
                <w:rFonts w:hint="default" w:ascii="Times New Roman" w:hAnsi="Times New Roman" w:cs="Times New Roman"/>
                <w:color w:val="auto"/>
                <w:szCs w:val="24"/>
                <w:highlight w:val="none"/>
              </w:rPr>
            </w:pPr>
            <w:r>
              <w:rPr>
                <w:rFonts w:hint="eastAsia" w:ascii="宋体" w:hAnsi="宋体" w:eastAsia="宋体" w:cs="宋体"/>
                <w:color w:val="auto"/>
                <w:kern w:val="0"/>
                <w:sz w:val="24"/>
                <w:szCs w:val="24"/>
                <w:highlight w:val="none"/>
                <w:lang w:val="en-US" w:eastAsia="zh-CN" w:bidi="ar"/>
              </w:rPr>
              <w:t>清淤阶段的恶臭影响是暂时的，随着清淤工程的结束而消失。通过采取上述措施后，很大程度上减轻恶臭气体对周围环境的影响，不会改变建设项目所在地周围空气环境质量现状。</w:t>
            </w:r>
          </w:p>
          <w:p w14:paraId="35999A53">
            <w:pPr>
              <w:ind w:left="0" w:leftChars="0" w:firstLine="0" w:firstLineChars="0"/>
              <w:rPr>
                <w:rFonts w:hint="eastAsia" w:cs="Times New Roman"/>
                <w:b/>
                <w:bCs/>
                <w:color w:val="auto"/>
                <w:szCs w:val="24"/>
                <w:highlight w:val="none"/>
                <w:lang w:val="en-US" w:eastAsia="zh-CN"/>
              </w:rPr>
            </w:pPr>
            <w:r>
              <w:rPr>
                <w:rFonts w:hint="eastAsia" w:cs="Times New Roman"/>
                <w:b/>
                <w:bCs/>
                <w:color w:val="auto"/>
                <w:szCs w:val="24"/>
                <w:highlight w:val="none"/>
                <w:lang w:val="en-US" w:eastAsia="zh-CN"/>
              </w:rPr>
              <w:t>4.2.1.2 清河镇段及杨家镇段</w:t>
            </w:r>
          </w:p>
          <w:p w14:paraId="44E13A56">
            <w:pPr>
              <w:ind w:left="0" w:leftChars="0" w:firstLine="480" w:firstLineChars="200"/>
              <w:rPr>
                <w:rFonts w:hint="default" w:cs="Times New Roman"/>
                <w:color w:val="auto"/>
                <w:szCs w:val="24"/>
                <w:highlight w:val="none"/>
                <w:lang w:val="en-US" w:eastAsia="zh-CN"/>
              </w:rPr>
            </w:pPr>
            <w:r>
              <w:rPr>
                <w:rFonts w:hint="default" w:cs="Times New Roman"/>
                <w:color w:val="auto"/>
                <w:szCs w:val="24"/>
                <w:highlight w:val="none"/>
                <w:lang w:val="en-US" w:eastAsia="zh-CN"/>
              </w:rPr>
              <w:t>施工期废气包括扬尘（施工场地产生的扬尘、车辆运输扬尘、堆料场扬尘）、混凝土拌合粉尘、</w:t>
            </w:r>
            <w:r>
              <w:rPr>
                <w:rFonts w:hint="eastAsia" w:cs="Times New Roman"/>
                <w:color w:val="auto"/>
                <w:szCs w:val="24"/>
                <w:highlight w:val="none"/>
                <w:lang w:val="en-US" w:eastAsia="zh-CN"/>
              </w:rPr>
              <w:t>燃油施工机具和车辆尾气</w:t>
            </w:r>
            <w:r>
              <w:rPr>
                <w:rFonts w:hint="default" w:cs="Times New Roman"/>
                <w:color w:val="auto"/>
                <w:szCs w:val="24"/>
                <w:highlight w:val="none"/>
                <w:lang w:val="en-US" w:eastAsia="zh-CN"/>
              </w:rPr>
              <w:t>。</w:t>
            </w:r>
          </w:p>
          <w:p w14:paraId="03F68B47">
            <w:pPr>
              <w:spacing w:line="360" w:lineRule="auto"/>
              <w:ind w:firstLine="480" w:firstLineChars="200"/>
              <w:rPr>
                <w:rFonts w:hint="eastAsia"/>
                <w:color w:val="auto"/>
                <w:sz w:val="24"/>
                <w:highlight w:val="none"/>
                <w:lang w:val="en-US" w:eastAsia="zh-CN"/>
              </w:rPr>
            </w:pPr>
            <w:r>
              <w:rPr>
                <w:rFonts w:hint="eastAsia" w:cs="Times New Roman"/>
                <w:color w:val="auto"/>
                <w:szCs w:val="24"/>
                <w:highlight w:val="none"/>
                <w:lang w:val="en-US" w:eastAsia="zh-CN"/>
              </w:rPr>
              <w:t>根据调查，</w:t>
            </w:r>
            <w:r>
              <w:rPr>
                <w:rFonts w:hint="eastAsia"/>
                <w:color w:val="auto"/>
                <w:sz w:val="24"/>
                <w:highlight w:val="none"/>
                <w:lang w:val="en-US" w:eastAsia="zh-CN"/>
              </w:rPr>
              <w:t>项目施工期采取了分段施工、围挡施工、洒水抑尘、运输车辆限速（遮盖）、散料遮盖等扬尘控制措施；项目将拌和设置在专用工棚内，并在上料口附近设置喷雾降尘系统，拌和粉尘得到了有效控制。根据当前施工经验，项目采取的扬尘控制措施，是有效可行的措施。此外，经调查，项目施工期未发废气污染事件及环保投诉。</w:t>
            </w:r>
          </w:p>
          <w:p w14:paraId="11E51BE9">
            <w:pPr>
              <w:ind w:left="0" w:leftChars="0" w:firstLine="480" w:firstLineChars="200"/>
              <w:rPr>
                <w:rFonts w:hint="default" w:cs="Times New Roman"/>
                <w:color w:val="auto"/>
                <w:szCs w:val="24"/>
                <w:highlight w:val="none"/>
                <w:lang w:val="en-US" w:eastAsia="zh-CN"/>
              </w:rPr>
            </w:pPr>
            <w:r>
              <w:rPr>
                <w:rFonts w:hint="eastAsia"/>
                <w:bCs/>
                <w:color w:val="auto"/>
                <w:sz w:val="24"/>
                <w:highlight w:val="none"/>
                <w:lang w:val="en-US" w:eastAsia="zh-CN"/>
              </w:rPr>
              <w:t>综上，项目采取了扬尘控制措施后，施工期扬尘可得到有效控制，其对环境的影响在可接受范围内。</w:t>
            </w:r>
            <w:r>
              <w:rPr>
                <w:rFonts w:hint="eastAsia"/>
                <w:color w:val="auto"/>
                <w:sz w:val="24"/>
                <w:highlight w:val="none"/>
                <w:lang w:val="en-US" w:eastAsia="zh-CN"/>
              </w:rPr>
              <w:t>项目施工期短，扬尘影响是短期的。此外，根据调查，项目施工期未发废气污染事件及环保投诉。</w:t>
            </w:r>
            <w:r>
              <w:rPr>
                <w:rFonts w:hint="eastAsia"/>
                <w:bCs/>
                <w:color w:val="auto"/>
                <w:sz w:val="24"/>
                <w:highlight w:val="none"/>
                <w:lang w:val="en-US" w:eastAsia="zh-CN"/>
              </w:rPr>
              <w:t>因此，评价认为项目施工期采取的废气污染控制措施是合理、有效的，施工期废气对环境影响小，环境可接受。</w:t>
            </w:r>
          </w:p>
          <w:p w14:paraId="60D617F7">
            <w:pPr>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4.2.2 施工期水环境影响分析</w:t>
            </w:r>
          </w:p>
          <w:p w14:paraId="3188A21D">
            <w:pPr>
              <w:ind w:left="0" w:leftChars="0" w:firstLine="0" w:firstLineChars="0"/>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4.2.2.1 二郎及福兴段、石河镇段及双拱场段</w:t>
            </w:r>
          </w:p>
          <w:p w14:paraId="0D7F917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eastAsia" w:cs="Times New Roman"/>
                <w:color w:val="auto"/>
                <w:highlight w:val="none"/>
                <w:lang w:val="en-US" w:eastAsia="zh-CN"/>
              </w:rPr>
              <w:t>施工期废水</w:t>
            </w:r>
            <w:r>
              <w:rPr>
                <w:rFonts w:hint="default" w:ascii="Times New Roman" w:hAnsi="Times New Roman" w:cs="Times New Roman"/>
                <w:color w:val="auto"/>
                <w:highlight w:val="none"/>
              </w:rPr>
              <w:t>影响</w:t>
            </w:r>
          </w:p>
          <w:p w14:paraId="4E4550FD">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本项目施工期产生的废水主要为施工废水</w:t>
            </w:r>
            <w:r>
              <w:rPr>
                <w:rFonts w:hint="eastAsia" w:cs="Times New Roman"/>
                <w:color w:val="auto"/>
                <w:highlight w:val="none"/>
                <w:lang w:eastAsia="zh-CN"/>
              </w:rPr>
              <w:t>（</w:t>
            </w:r>
            <w:r>
              <w:rPr>
                <w:rFonts w:hint="default" w:ascii="Times New Roman" w:hAnsi="Times New Roman" w:cs="Times New Roman"/>
                <w:color w:val="auto"/>
                <w:highlight w:val="none"/>
              </w:rPr>
              <w:t>施工机械和运输车辆冲洗废水</w:t>
            </w: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拌和</w:t>
            </w:r>
            <w:r>
              <w:rPr>
                <w:rFonts w:hint="default" w:ascii="Times New Roman" w:hAnsi="Times New Roman" w:cs="Times New Roman"/>
                <w:color w:val="auto"/>
                <w:szCs w:val="24"/>
                <w:highlight w:val="none"/>
              </w:rPr>
              <w:t>系统冲洗废水</w:t>
            </w:r>
            <w:r>
              <w:rPr>
                <w:rFonts w:hint="eastAsia"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基坑渗水</w:t>
            </w:r>
            <w:r>
              <w:rPr>
                <w:rFonts w:hint="eastAsia" w:cs="Times New Roman"/>
                <w:color w:val="auto"/>
                <w:highlight w:val="none"/>
                <w:lang w:eastAsia="zh-CN"/>
              </w:rPr>
              <w:t>）、</w:t>
            </w:r>
            <w:r>
              <w:rPr>
                <w:rFonts w:hint="eastAsia"/>
                <w:color w:val="auto"/>
                <w:highlight w:val="none"/>
                <w:lang w:val="fr-FR"/>
              </w:rPr>
              <w:t>疏浚</w:t>
            </w:r>
            <w:r>
              <w:rPr>
                <w:rFonts w:hint="eastAsia"/>
                <w:color w:val="auto"/>
                <w:highlight w:val="none"/>
                <w:lang w:val="en-US" w:eastAsia="zh-CN"/>
              </w:rPr>
              <w:t>淤泥</w:t>
            </w:r>
            <w:r>
              <w:rPr>
                <w:rFonts w:hint="eastAsia"/>
                <w:color w:val="auto"/>
                <w:highlight w:val="none"/>
                <w:lang w:val="fr-FR"/>
              </w:rPr>
              <w:t>渗滤废水</w:t>
            </w:r>
            <w:r>
              <w:rPr>
                <w:rFonts w:hint="default" w:ascii="Times New Roman" w:hAnsi="Times New Roman" w:cs="Times New Roman"/>
                <w:color w:val="auto"/>
                <w:highlight w:val="none"/>
              </w:rPr>
              <w:t>以及施工人员生活污水。</w:t>
            </w:r>
          </w:p>
          <w:p w14:paraId="7E82F5C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①施工废水</w:t>
            </w:r>
          </w:p>
          <w:p w14:paraId="71144D8E">
            <w:pPr>
              <w:adjustRightInd w:val="0"/>
              <w:snapToGrid w:val="0"/>
              <w:ind w:firstLine="480"/>
              <w:rPr>
                <w:rFonts w:hint="eastAsia"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rPr>
              <w:t>项目不设置机修区，设备维修就近利用周边场镇维修点，不涉及机修含油废水。施工废水主要为</w:t>
            </w:r>
            <w:r>
              <w:rPr>
                <w:rFonts w:hint="default" w:ascii="Times New Roman" w:hAnsi="Times New Roman" w:cs="Times New Roman"/>
                <w:color w:val="auto"/>
                <w:highlight w:val="none"/>
              </w:rPr>
              <w:t>围堰基坑渗水、运输车辆冲洗、施工器械养护清洁、</w:t>
            </w:r>
            <w:r>
              <w:rPr>
                <w:rFonts w:hint="eastAsia" w:cs="Times New Roman"/>
                <w:color w:val="auto"/>
                <w:highlight w:val="none"/>
                <w:lang w:eastAsia="zh-CN"/>
              </w:rPr>
              <w:t>拌和</w:t>
            </w:r>
            <w:r>
              <w:rPr>
                <w:rFonts w:hint="default" w:ascii="Times New Roman" w:hAnsi="Times New Roman" w:cs="Times New Roman"/>
                <w:color w:val="auto"/>
                <w:highlight w:val="none"/>
              </w:rPr>
              <w:t>系统冲洗等产生的废水</w:t>
            </w:r>
            <w:r>
              <w:rPr>
                <w:rFonts w:hint="default" w:ascii="Times New Roman" w:hAnsi="Times New Roman" w:cs="Times New Roman"/>
                <w:bCs/>
                <w:color w:val="auto"/>
                <w:highlight w:val="none"/>
              </w:rPr>
              <w:t>，主要污染物为SS。</w:t>
            </w:r>
          </w:p>
          <w:p w14:paraId="10ED4B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t>施工机械和运输车辆冲洗废水：燃油动力机械以及运输车辆是施工作业的主要工具，在维护和冲洗时，将产生一定量的清洗废水。类比同类工程，</w:t>
            </w:r>
            <w:r>
              <w:rPr>
                <w:rFonts w:hint="eastAsia" w:cs="Times New Roman"/>
                <w:color w:val="auto"/>
                <w:highlight w:val="none"/>
                <w:lang w:val="en-US" w:eastAsia="zh-CN"/>
              </w:rPr>
              <w:t>各工程河段</w:t>
            </w:r>
            <w:r>
              <w:rPr>
                <w:rFonts w:hint="default" w:ascii="Times New Roman" w:hAnsi="Times New Roman" w:cs="Times New Roman"/>
                <w:color w:val="auto"/>
                <w:highlight w:val="none"/>
              </w:rPr>
              <w:t>施工区运输车辆、施工设备清洗产生的冲洗废水产生量约5m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/d。本项目在</w:t>
            </w:r>
            <w:r>
              <w:rPr>
                <w:rFonts w:hint="eastAsia" w:cs="Times New Roman"/>
                <w:color w:val="auto"/>
                <w:highlight w:val="none"/>
                <w:lang w:val="en-US" w:eastAsia="zh-CN"/>
              </w:rPr>
              <w:t>1#</w:t>
            </w:r>
            <w:r>
              <w:rPr>
                <w:rFonts w:hint="default" w:ascii="Times New Roman" w:hAnsi="Times New Roman" w:cs="Times New Roman"/>
                <w:color w:val="auto"/>
                <w:highlight w:val="none"/>
              </w:rPr>
              <w:t>施</w:t>
            </w:r>
            <w:r>
              <w:rPr>
                <w:rFonts w:hint="default" w:ascii="Times New Roman" w:hAnsi="Times New Roman" w:cs="Times New Roman"/>
                <w:color w:val="auto"/>
                <w:szCs w:val="24"/>
                <w:highlight w:val="none"/>
              </w:rPr>
              <w:t>工场地</w:t>
            </w:r>
            <w:r>
              <w:rPr>
                <w:rFonts w:hint="eastAsia" w:cs="Times New Roman"/>
                <w:color w:val="auto"/>
                <w:szCs w:val="24"/>
                <w:highlight w:val="none"/>
                <w:lang w:val="en-US" w:eastAsia="zh-CN"/>
              </w:rPr>
              <w:t>内</w:t>
            </w:r>
            <w:r>
              <w:rPr>
                <w:rFonts w:hint="default" w:ascii="Times New Roman" w:hAnsi="Times New Roman" w:cs="Times New Roman"/>
                <w:color w:val="auto"/>
                <w:szCs w:val="24"/>
                <w:highlight w:val="none"/>
              </w:rPr>
              <w:t>设置</w:t>
            </w:r>
            <w:r>
              <w:rPr>
                <w:rFonts w:hint="eastAsia" w:cs="Times New Roman"/>
                <w:color w:val="auto"/>
                <w:szCs w:val="24"/>
                <w:highlight w:val="none"/>
                <w:lang w:val="en-US" w:eastAsia="zh-CN"/>
              </w:rPr>
              <w:t>1个</w:t>
            </w:r>
            <w:r>
              <w:rPr>
                <w:rFonts w:hint="default" w:ascii="Times New Roman" w:hAnsi="Times New Roman" w:cs="Times New Roman"/>
                <w:color w:val="auto"/>
                <w:szCs w:val="24"/>
                <w:highlight w:val="none"/>
              </w:rPr>
              <w:t>沉淀池</w:t>
            </w:r>
            <w:r>
              <w:rPr>
                <w:rFonts w:hint="eastAsia" w:cs="Times New Roman"/>
                <w:color w:val="auto"/>
                <w:szCs w:val="24"/>
                <w:highlight w:val="none"/>
                <w:lang w:eastAsia="zh-CN"/>
              </w:rPr>
              <w:t>，</w:t>
            </w:r>
            <w:r>
              <w:rPr>
                <w:rFonts w:hint="eastAsia" w:cs="Times New Roman"/>
                <w:color w:val="auto"/>
                <w:szCs w:val="24"/>
                <w:highlight w:val="none"/>
                <w:lang w:val="en-US" w:eastAsia="zh-CN"/>
              </w:rPr>
              <w:t>处理规模为12</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/d，施工机械、运输车辆冲洗废水经沉淀处理后</w:t>
            </w:r>
            <w:r>
              <w:rPr>
                <w:rFonts w:hint="eastAsia" w:cs="Times New Roman"/>
                <w:color w:val="auto"/>
                <w:szCs w:val="24"/>
                <w:highlight w:val="none"/>
                <w:lang w:val="en-US" w:eastAsia="zh-CN"/>
              </w:rPr>
              <w:t>均</w:t>
            </w:r>
            <w:r>
              <w:rPr>
                <w:rFonts w:hint="default" w:ascii="Times New Roman" w:hAnsi="Times New Roman" w:cs="Times New Roman"/>
                <w:color w:val="auto"/>
                <w:szCs w:val="24"/>
                <w:highlight w:val="none"/>
              </w:rPr>
              <w:t>用于</w:t>
            </w:r>
            <w:r>
              <w:rPr>
                <w:rFonts w:hint="default" w:ascii="Times New Roman" w:hAnsi="Times New Roman" w:cs="Times New Roman"/>
                <w:color w:val="auto"/>
                <w:sz w:val="24"/>
                <w:szCs w:val="24"/>
                <w:highlight w:val="none"/>
              </w:rPr>
              <w:t>施工场地洒水降尘，不外排，对地表水环境影响较小。</w:t>
            </w:r>
          </w:p>
          <w:p w14:paraId="4DB66921">
            <w:pPr>
              <w:pStyle w:val="26"/>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default"/>
                <w:color w:val="auto"/>
                <w:sz w:val="24"/>
                <w:szCs w:val="24"/>
                <w:highlight w:val="none"/>
              </w:rPr>
            </w:pPr>
            <w:r>
              <w:rPr>
                <w:rFonts w:hint="default" w:ascii="Times New Roman" w:hAnsi="Times New Roman" w:cs="Times New Roman"/>
                <w:color w:val="auto"/>
                <w:sz w:val="24"/>
                <w:szCs w:val="24"/>
                <w:highlight w:val="none"/>
              </w:rPr>
              <w:t>基坑渗水：本项目</w:t>
            </w:r>
            <w:r>
              <w:rPr>
                <w:rFonts w:hint="eastAsia" w:cs="Times New Roman"/>
                <w:color w:val="auto"/>
                <w:sz w:val="24"/>
                <w:szCs w:val="24"/>
                <w:highlight w:val="none"/>
                <w:lang w:val="en-US" w:eastAsia="zh-CN"/>
              </w:rPr>
              <w:t>采取土石围堰导流</w:t>
            </w:r>
            <w:r>
              <w:rPr>
                <w:rFonts w:hint="default" w:ascii="Times New Roman" w:hAnsi="Times New Roman" w:cs="Times New Roman"/>
                <w:color w:val="auto"/>
                <w:sz w:val="24"/>
                <w:szCs w:val="24"/>
                <w:highlight w:val="none"/>
              </w:rPr>
              <w:t>，施工过程中产生一定基坑废水。本项目涉水施工安排在枯水期，围堰基坑废水主要为围堰渗水，主要污染物及浓度为SS 2000mg/L，浓度较高，扩散距离较远，不采取沉淀措施，基坑废水将造成本河道积淤、水质变差，直接影响水生生态环境，对地表水环境影响较大。本项目</w:t>
            </w:r>
            <w:r>
              <w:rPr>
                <w:rFonts w:hint="eastAsia" w:cs="Times New Roman"/>
                <w:color w:val="auto"/>
                <w:sz w:val="24"/>
                <w:szCs w:val="24"/>
                <w:highlight w:val="none"/>
                <w:lang w:val="en-US" w:eastAsia="zh-CN"/>
              </w:rPr>
              <w:t>在每段围堰下游各设置1个集水井</w:t>
            </w:r>
            <w:r>
              <w:rPr>
                <w:rFonts w:hint="default" w:ascii="Times New Roman" w:hAnsi="Times New Roman" w:cs="Times New Roman"/>
                <w:color w:val="auto"/>
                <w:sz w:val="24"/>
                <w:szCs w:val="24"/>
                <w:highlight w:val="none"/>
                <w:lang w:val="en-US" w:eastAsia="zh-CN"/>
              </w:rPr>
              <w:t>、1个沉淀池，</w:t>
            </w:r>
            <w:r>
              <w:rPr>
                <w:rFonts w:hint="default" w:ascii="Times New Roman" w:hAnsi="Times New Roman" w:cs="Times New Roman"/>
                <w:color w:val="auto"/>
                <w:sz w:val="24"/>
                <w:szCs w:val="24"/>
                <w:highlight w:val="none"/>
              </w:rPr>
              <w:t>每个集水</w:t>
            </w:r>
            <w:r>
              <w:rPr>
                <w:rFonts w:hint="default" w:ascii="Times New Roman" w:hAnsi="Times New Roman" w:cs="Times New Roman"/>
                <w:color w:val="auto"/>
                <w:sz w:val="24"/>
                <w:szCs w:val="24"/>
                <w:highlight w:val="none"/>
                <w:lang w:val="en-US" w:eastAsia="zh-CN"/>
              </w:rPr>
              <w:t>井</w:t>
            </w:r>
            <w:r>
              <w:rPr>
                <w:rFonts w:hint="default" w:ascii="Times New Roman" w:hAnsi="Times New Roman" w:cs="Times New Roman"/>
                <w:color w:val="auto"/>
                <w:sz w:val="24"/>
                <w:szCs w:val="24"/>
                <w:highlight w:val="none"/>
              </w:rPr>
              <w:t>选用潜污泵1台</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基坑渗水经</w:t>
            </w:r>
            <w:r>
              <w:rPr>
                <w:rFonts w:hint="default" w:ascii="Times New Roman" w:hAnsi="Times New Roman" w:cs="Times New Roman"/>
                <w:color w:val="auto"/>
                <w:sz w:val="24"/>
                <w:szCs w:val="24"/>
                <w:highlight w:val="none"/>
              </w:rPr>
              <w:t>集水井收集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之</w:t>
            </w:r>
            <w:r>
              <w:rPr>
                <w:rFonts w:hint="default" w:ascii="Times New Roman" w:hAnsi="Times New Roman" w:cs="Times New Roman"/>
                <w:color w:val="auto"/>
                <w:sz w:val="24"/>
                <w:szCs w:val="24"/>
                <w:highlight w:val="none"/>
              </w:rPr>
              <w:t>后由潜污泵抽排至沉淀池</w:t>
            </w:r>
            <w:r>
              <w:rPr>
                <w:rFonts w:hint="default" w:ascii="Times New Roman" w:hAnsi="Times New Roman" w:cs="Times New Roman"/>
                <w:color w:val="auto"/>
                <w:sz w:val="24"/>
                <w:szCs w:val="24"/>
                <w:highlight w:val="none"/>
                <w:lang w:val="en-US" w:eastAsia="zh-CN"/>
              </w:rPr>
              <w:t>处理</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处理</w:t>
            </w:r>
            <w:r>
              <w:rPr>
                <w:rFonts w:hint="default" w:ascii="Times New Roman" w:hAnsi="Times New Roman" w:cs="Times New Roman"/>
                <w:color w:val="auto"/>
                <w:sz w:val="24"/>
                <w:szCs w:val="24"/>
                <w:highlight w:val="none"/>
                <w:lang w:val="fr-FR" w:eastAsia="zh-CN"/>
              </w:rPr>
              <w:t>后</w:t>
            </w:r>
            <w:r>
              <w:rPr>
                <w:rFonts w:hint="default" w:ascii="Times New Roman" w:hAnsi="Times New Roman" w:cs="Times New Roman"/>
                <w:color w:val="auto"/>
                <w:sz w:val="24"/>
                <w:szCs w:val="24"/>
                <w:highlight w:val="none"/>
                <w:lang w:val="en-US" w:eastAsia="zh-CN"/>
              </w:rPr>
              <w:t>再由</w:t>
            </w:r>
            <w:r>
              <w:rPr>
                <w:rFonts w:hint="default" w:ascii="Times New Roman" w:hAnsi="Times New Roman" w:cs="Times New Roman"/>
                <w:color w:val="auto"/>
                <w:sz w:val="24"/>
                <w:szCs w:val="24"/>
                <w:highlight w:val="none"/>
                <w:lang w:val="fr-FR" w:eastAsia="zh-CN"/>
              </w:rPr>
              <w:t>清水泵排入河流</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石河镇二郎段、福兴段、双拱场段均设2个沉淀池，石河镇段1个沉淀池，处理规模均为5m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lang w:val="en-US" w:eastAsia="zh-CN"/>
              </w:rPr>
              <w:t>。</w:t>
            </w:r>
          </w:p>
          <w:p w14:paraId="3745B8D3">
            <w:pPr>
              <w:ind w:firstLine="480"/>
              <w:rPr>
                <w:rFonts w:hint="default" w:ascii="Times New Roman" w:hAnsi="Times New Roman" w:cs="Times New Roman"/>
                <w:color w:val="auto"/>
                <w:highlight w:val="none"/>
              </w:rPr>
            </w:pPr>
            <w:r>
              <w:rPr>
                <w:rFonts w:hint="eastAsia" w:cs="Times New Roman"/>
                <w:color w:val="auto"/>
                <w:szCs w:val="24"/>
                <w:highlight w:val="none"/>
                <w:lang w:eastAsia="zh-CN"/>
              </w:rPr>
              <w:t>拌和</w:t>
            </w:r>
            <w:r>
              <w:rPr>
                <w:rFonts w:hint="default" w:ascii="Times New Roman" w:hAnsi="Times New Roman" w:cs="Times New Roman"/>
                <w:color w:val="auto"/>
                <w:szCs w:val="24"/>
                <w:highlight w:val="none"/>
              </w:rPr>
              <w:t>系统冲洗废水</w:t>
            </w:r>
            <w:r>
              <w:rPr>
                <w:rFonts w:hint="default" w:ascii="Times New Roman" w:hAnsi="Times New Roman" w:cs="Times New Roman"/>
                <w:color w:val="auto"/>
                <w:highlight w:val="none"/>
              </w:rPr>
              <w:t>：本项目</w:t>
            </w:r>
            <w:r>
              <w:rPr>
                <w:rFonts w:hint="eastAsia" w:cs="Times New Roman"/>
                <w:color w:val="auto"/>
                <w:highlight w:val="none"/>
                <w:lang w:val="en-US" w:eastAsia="zh-CN"/>
              </w:rPr>
              <w:t>1#施工场地内的</w:t>
            </w:r>
            <w:r>
              <w:rPr>
                <w:rFonts w:hint="eastAsia" w:cs="Times New Roman"/>
                <w:color w:val="auto"/>
                <w:highlight w:val="none"/>
                <w:lang w:eastAsia="zh-CN"/>
              </w:rPr>
              <w:t>拌和站</w:t>
            </w:r>
            <w:r>
              <w:rPr>
                <w:rFonts w:hint="default" w:ascii="Times New Roman" w:hAnsi="Times New Roman" w:cs="Times New Roman"/>
                <w:color w:val="auto"/>
                <w:szCs w:val="24"/>
                <w:highlight w:val="none"/>
              </w:rPr>
              <w:t>布置有</w:t>
            </w:r>
            <w:r>
              <w:rPr>
                <w:rFonts w:hint="eastAsia" w:cs="Times New Roman"/>
                <w:color w:val="auto"/>
                <w:szCs w:val="24"/>
                <w:highlight w:val="none"/>
                <w:lang w:val="en-US" w:eastAsia="zh-CN"/>
              </w:rPr>
              <w:t>1</w:t>
            </w:r>
            <w:r>
              <w:rPr>
                <w:rFonts w:hint="default" w:ascii="Times New Roman" w:hAnsi="Times New Roman" w:cs="Times New Roman"/>
                <w:color w:val="auto"/>
                <w:szCs w:val="24"/>
                <w:highlight w:val="none"/>
              </w:rPr>
              <w:t>台混凝土</w:t>
            </w:r>
            <w:r>
              <w:rPr>
                <w:rFonts w:hint="eastAsia" w:cs="Times New Roman"/>
                <w:color w:val="auto"/>
                <w:szCs w:val="24"/>
                <w:highlight w:val="none"/>
                <w:lang w:eastAsia="zh-CN"/>
              </w:rPr>
              <w:t>拌和机</w:t>
            </w:r>
            <w:r>
              <w:rPr>
                <w:rFonts w:hint="default" w:ascii="Times New Roman" w:hAnsi="Times New Roman" w:cs="Times New Roman"/>
                <w:color w:val="auto"/>
                <w:highlight w:val="none"/>
              </w:rPr>
              <w:t>（单机工作容量400L）</w:t>
            </w:r>
            <w:r>
              <w:rPr>
                <w:rFonts w:hint="default" w:ascii="Times New Roman" w:hAnsi="Times New Roman" w:cs="Times New Roman"/>
                <w:color w:val="auto"/>
                <w:szCs w:val="24"/>
                <w:highlight w:val="none"/>
              </w:rPr>
              <w:t>。</w:t>
            </w:r>
            <w:r>
              <w:rPr>
                <w:rFonts w:hint="default" w:ascii="Times New Roman" w:hAnsi="Times New Roman" w:cs="Times New Roman"/>
                <w:color w:val="auto"/>
                <w:highlight w:val="none"/>
              </w:rPr>
              <w:t>每天施工结束后进行1次清洗，避免</w:t>
            </w:r>
            <w:r>
              <w:rPr>
                <w:rFonts w:hint="eastAsia" w:cs="Times New Roman"/>
                <w:color w:val="auto"/>
                <w:highlight w:val="none"/>
                <w:lang w:eastAsia="zh-CN"/>
              </w:rPr>
              <w:t>拌和机</w:t>
            </w:r>
            <w:r>
              <w:rPr>
                <w:rFonts w:hint="default" w:ascii="Times New Roman" w:hAnsi="Times New Roman" w:cs="Times New Roman"/>
                <w:color w:val="auto"/>
                <w:highlight w:val="none"/>
              </w:rPr>
              <w:t>内残留混凝土硬化，影响</w:t>
            </w:r>
            <w:r>
              <w:rPr>
                <w:rFonts w:hint="eastAsia" w:cs="Times New Roman"/>
                <w:color w:val="auto"/>
                <w:highlight w:val="none"/>
                <w:lang w:eastAsia="zh-CN"/>
              </w:rPr>
              <w:t>拌和机</w:t>
            </w:r>
            <w:r>
              <w:rPr>
                <w:rFonts w:hint="default" w:ascii="Times New Roman" w:hAnsi="Times New Roman" w:cs="Times New Roman"/>
                <w:color w:val="auto"/>
                <w:highlight w:val="none"/>
              </w:rPr>
              <w:t>下次运行。根据施工经验，</w:t>
            </w:r>
            <w:r>
              <w:rPr>
                <w:rFonts w:hint="eastAsia" w:cs="Times New Roman"/>
                <w:color w:val="auto"/>
                <w:highlight w:val="none"/>
                <w:lang w:eastAsia="zh-CN"/>
              </w:rPr>
              <w:t>拌和</w:t>
            </w:r>
            <w:r>
              <w:rPr>
                <w:rFonts w:hint="default" w:ascii="Times New Roman" w:hAnsi="Times New Roman" w:cs="Times New Roman"/>
                <w:color w:val="auto"/>
                <w:highlight w:val="none"/>
              </w:rPr>
              <w:t>系统冲洗水约占单机工作容量的一半，本项目</w:t>
            </w:r>
            <w:r>
              <w:rPr>
                <w:rFonts w:hint="eastAsia" w:cs="Times New Roman"/>
                <w:color w:val="auto"/>
                <w:highlight w:val="none"/>
                <w:lang w:val="en-US" w:eastAsia="zh-CN"/>
              </w:rPr>
              <w:t>1#施工场地</w:t>
            </w:r>
            <w:r>
              <w:rPr>
                <w:rFonts w:hint="default" w:ascii="Times New Roman" w:hAnsi="Times New Roman" w:cs="Times New Roman"/>
                <w:color w:val="auto"/>
                <w:highlight w:val="none"/>
              </w:rPr>
              <w:t>内</w:t>
            </w:r>
            <w:r>
              <w:rPr>
                <w:rFonts w:hint="eastAsia" w:cs="Times New Roman"/>
                <w:color w:val="auto"/>
                <w:highlight w:val="none"/>
                <w:lang w:eastAsia="zh-CN"/>
              </w:rPr>
              <w:t>拌和</w:t>
            </w:r>
            <w:r>
              <w:rPr>
                <w:rFonts w:hint="default" w:ascii="Times New Roman" w:hAnsi="Times New Roman" w:cs="Times New Roman"/>
                <w:color w:val="auto"/>
                <w:highlight w:val="none"/>
              </w:rPr>
              <w:t>系统冲洗废水约0.</w:t>
            </w:r>
            <w:r>
              <w:rPr>
                <w:rFonts w:hint="eastAsia" w:cs="Times New Roman"/>
                <w:color w:val="auto"/>
                <w:highlight w:val="none"/>
                <w:lang w:val="en-US" w:eastAsia="zh-CN"/>
              </w:rPr>
              <w:t>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eastAsia="zh-CN"/>
              </w:rPr>
              <w:t>拌和</w:t>
            </w:r>
            <w:r>
              <w:rPr>
                <w:rFonts w:hint="default" w:ascii="Times New Roman" w:hAnsi="Times New Roman" w:cs="Times New Roman"/>
                <w:color w:val="auto"/>
                <w:highlight w:val="none"/>
              </w:rPr>
              <w:t>系统冲洗废水中污染物及浓度为SS 3000mg/L，经排水沟</w:t>
            </w:r>
            <w:r>
              <w:rPr>
                <w:rFonts w:hint="eastAsia" w:cs="Times New Roman"/>
                <w:color w:val="auto"/>
                <w:szCs w:val="24"/>
                <w:highlight w:val="none"/>
                <w:lang w:val="en-US" w:eastAsia="zh-CN"/>
              </w:rPr>
              <w:t>收集，与施工场地内的</w:t>
            </w:r>
            <w:r>
              <w:rPr>
                <w:rFonts w:hint="default" w:ascii="Times New Roman" w:hAnsi="Times New Roman" w:cs="Times New Roman"/>
                <w:color w:val="auto"/>
                <w:highlight w:val="none"/>
              </w:rPr>
              <w:t>施工机械和运输车辆冲洗废水</w:t>
            </w:r>
            <w:r>
              <w:rPr>
                <w:rFonts w:hint="eastAsia" w:cs="Times New Roman"/>
                <w:color w:val="auto"/>
                <w:highlight w:val="none"/>
                <w:lang w:val="en-US" w:eastAsia="zh-CN"/>
              </w:rPr>
              <w:t>一并通过</w:t>
            </w:r>
            <w:r>
              <w:rPr>
                <w:rFonts w:hint="default" w:ascii="Times New Roman" w:hAnsi="Times New Roman" w:cs="Times New Roman"/>
                <w:color w:val="auto"/>
                <w:szCs w:val="24"/>
                <w:highlight w:val="none"/>
              </w:rPr>
              <w:t>沉淀池（</w:t>
            </w:r>
            <w:r>
              <w:rPr>
                <w:rFonts w:hint="eastAsia" w:cs="Times New Roman"/>
                <w:color w:val="auto"/>
                <w:szCs w:val="24"/>
                <w:highlight w:val="none"/>
                <w:lang w:val="en-US" w:eastAsia="zh-CN"/>
              </w:rPr>
              <w:t>12</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w:t>
            </w:r>
            <w:r>
              <w:rPr>
                <w:rFonts w:hint="default" w:ascii="Times New Roman" w:hAnsi="Times New Roman" w:cs="Times New Roman"/>
                <w:color w:val="auto"/>
                <w:highlight w:val="none"/>
              </w:rPr>
              <w:t>处理后回用于洒水降尘，不外排，对地表水环境影响较小。</w:t>
            </w:r>
          </w:p>
          <w:p w14:paraId="67A1B8D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b w:val="0"/>
                <w:bCs w:val="0"/>
                <w:color w:val="auto"/>
                <w:highlight w:val="none"/>
                <w:lang w:val="en-US" w:eastAsia="zh-CN"/>
              </w:rPr>
            </w:pPr>
            <w:r>
              <w:rPr>
                <w:rFonts w:hint="default" w:ascii="Times New Roman" w:hAnsi="Times New Roman" w:cs="Times New Roman"/>
                <w:color w:val="auto"/>
                <w:highlight w:val="none"/>
              </w:rPr>
              <w:t>②</w:t>
            </w:r>
            <w:r>
              <w:rPr>
                <w:rFonts w:hint="eastAsia"/>
                <w:b w:val="0"/>
                <w:bCs w:val="0"/>
                <w:color w:val="auto"/>
                <w:highlight w:val="none"/>
                <w:lang w:val="en-US" w:eastAsia="zh-CN"/>
              </w:rPr>
              <w:t>疏浚淤泥渗滤废水</w:t>
            </w:r>
          </w:p>
          <w:p w14:paraId="7118B63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highlight w:val="none"/>
              </w:rPr>
            </w:pPr>
            <w:r>
              <w:rPr>
                <w:rFonts w:hint="eastAsia"/>
                <w:b w:val="0"/>
                <w:bCs w:val="0"/>
                <w:color w:val="auto"/>
                <w:highlight w:val="none"/>
                <w:lang w:val="en-US" w:eastAsia="zh-CN"/>
              </w:rPr>
              <w:t>本项目石河镇双拱场段设有1处疏浚淤泥干化场，疏浚淤泥在堆放过程中会产生渗滤水。在干化场设置1个5m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/d的沉淀池。渗滤水经沉淀池处理后通过河道岸坡自流本河道，对河道水质基本无影响。</w:t>
            </w:r>
          </w:p>
          <w:p w14:paraId="43C2D238">
            <w:pPr>
              <w:ind w:firstLine="480"/>
              <w:rPr>
                <w:rFonts w:hint="default" w:ascii="Times New Roman" w:hAnsi="Times New Roman" w:cs="Times New Roman"/>
                <w:color w:val="auto"/>
                <w:highlight w:val="none"/>
              </w:rPr>
            </w:pPr>
            <w:r>
              <w:rPr>
                <w:rFonts w:hint="eastAsia"/>
                <w:b w:val="0"/>
                <w:bCs w:val="0"/>
                <w:color w:val="auto"/>
                <w:highlight w:val="none"/>
                <w:lang w:val="en-US" w:eastAsia="zh-CN"/>
              </w:rPr>
              <w:t>③</w:t>
            </w:r>
            <w:r>
              <w:rPr>
                <w:rFonts w:hint="default" w:ascii="Times New Roman" w:hAnsi="Times New Roman" w:cs="Times New Roman"/>
                <w:color w:val="auto"/>
                <w:highlight w:val="none"/>
              </w:rPr>
              <w:t>生活污水</w:t>
            </w:r>
          </w:p>
          <w:p w14:paraId="074E41C4">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本项目生活污水依托附近居民现有旱厕收集做农肥。</w:t>
            </w:r>
          </w:p>
          <w:p w14:paraId="05BEC56D">
            <w:pPr>
              <w:ind w:firstLine="48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（2）施工期对河道扰动的影响</w:t>
            </w:r>
          </w:p>
          <w:p w14:paraId="584B3267">
            <w:pPr>
              <w:pStyle w:val="30"/>
              <w:spacing w:line="360" w:lineRule="auto"/>
              <w:ind w:firstLine="480" w:firstLineChars="20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①围堰建设、拆除对下游水质影响分析</w:t>
            </w:r>
          </w:p>
          <w:p w14:paraId="58BE7562">
            <w:pPr>
              <w:pStyle w:val="30"/>
              <w:spacing w:line="360" w:lineRule="auto"/>
              <w:ind w:firstLine="480" w:firstLineChars="200"/>
              <w:rPr>
                <w:rFonts w:hint="default" w:ascii="Times New Roman" w:hAnsi="Times New Roman" w:cs="Times New Roman"/>
                <w:b w:val="0"/>
                <w:bCs w:val="0"/>
                <w:color w:val="auto"/>
                <w:highlight w:val="none"/>
              </w:rPr>
            </w:pPr>
            <w:r>
              <w:rPr>
                <w:rFonts w:hint="eastAsia" w:ascii="Times New Roman" w:cs="Times New Roman"/>
                <w:b w:val="0"/>
                <w:bCs w:val="0"/>
                <w:color w:val="auto"/>
                <w:highlight w:val="none"/>
                <w:lang w:val="en-US" w:eastAsia="zh-CN"/>
              </w:rPr>
              <w:t>根据现场调查，</w:t>
            </w:r>
            <w:r>
              <w:rPr>
                <w:rFonts w:hint="default" w:ascii="Times New Roman" w:hAnsi="Times New Roman" w:cs="Times New Roman"/>
                <w:b w:val="0"/>
                <w:bCs w:val="0"/>
                <w:color w:val="auto"/>
                <w:highlight w:val="none"/>
              </w:rPr>
              <w:t>本项目修筑土石围堰</w:t>
            </w:r>
            <w:r>
              <w:rPr>
                <w:rFonts w:hint="eastAsia" w:ascii="Times New Roman" w:cs="Times New Roman"/>
                <w:b w:val="0"/>
                <w:bCs w:val="0"/>
                <w:color w:val="auto"/>
                <w:highlight w:val="none"/>
                <w:lang w:val="en-US" w:eastAsia="zh-CN"/>
              </w:rPr>
              <w:t>时</w:t>
            </w:r>
            <w:r>
              <w:rPr>
                <w:rFonts w:hint="default" w:ascii="Times New Roman" w:hAnsi="Times New Roman" w:cs="Times New Roman"/>
                <w:b w:val="0"/>
                <w:bCs w:val="0"/>
                <w:color w:val="auto"/>
                <w:highlight w:val="none"/>
              </w:rPr>
              <w:t>，在围堰防护下完成</w:t>
            </w:r>
            <w:r>
              <w:rPr>
                <w:rFonts w:hint="default" w:ascii="Times New Roman" w:hAnsi="Times New Roman" w:cs="Times New Roman"/>
                <w:b w:val="0"/>
                <w:bCs/>
                <w:color w:val="auto"/>
                <w:highlight w:val="none"/>
              </w:rPr>
              <w:t>相应堤段工程</w:t>
            </w:r>
            <w:r>
              <w:rPr>
                <w:rFonts w:hint="eastAsia" w:ascii="Times New Roman" w:cs="Times New Roman"/>
                <w:b w:val="0"/>
                <w:bCs/>
                <w:color w:val="auto"/>
                <w:highlight w:val="none"/>
                <w:lang w:eastAsia="zh-CN"/>
              </w:rPr>
              <w:t>。</w:t>
            </w:r>
            <w:r>
              <w:rPr>
                <w:rFonts w:hint="default" w:ascii="Times New Roman" w:hAnsi="Times New Roman" w:cs="Times New Roman"/>
                <w:b w:val="0"/>
                <w:bCs/>
                <w:color w:val="auto"/>
                <w:highlight w:val="none"/>
              </w:rPr>
              <w:t>围堰采用土石围堰，开挖料作为堰体，土工膜铺设防渗，编织袋装开挖土石料压实。围堰施工的工程结束后</w:t>
            </w:r>
            <w:r>
              <w:rPr>
                <w:rFonts w:hint="default" w:ascii="Times New Roman" w:hAnsi="Times New Roman" w:cs="Times New Roman"/>
                <w:b w:val="0"/>
                <w:bCs w:val="0"/>
                <w:color w:val="auto"/>
                <w:highlight w:val="none"/>
              </w:rPr>
              <w:t>，围堰全部拆除用于堤背、堤脚回填。</w:t>
            </w:r>
          </w:p>
          <w:p w14:paraId="7AEF3057">
            <w:pPr>
              <w:rPr>
                <w:rFonts w:hint="default" w:ascii="Times New Roman" w:hAnsi="Times New Roman" w:cs="Times New Roman"/>
                <w:b w:val="0"/>
                <w:bCs/>
                <w:color w:val="auto"/>
                <w:highlight w:val="none"/>
              </w:rPr>
            </w:pPr>
            <w:r>
              <w:rPr>
                <w:rFonts w:hint="default" w:ascii="Times New Roman" w:hAnsi="Times New Roman" w:cs="Times New Roman"/>
                <w:b w:val="0"/>
                <w:bCs w:val="0"/>
                <w:color w:val="auto"/>
                <w:highlight w:val="none"/>
                <w:u w:val="none"/>
                <w:lang w:val="en-US" w:eastAsia="zh-CN"/>
              </w:rPr>
              <w:t>工程施工</w:t>
            </w:r>
            <w:r>
              <w:rPr>
                <w:rFonts w:hint="default" w:ascii="Times New Roman" w:hAnsi="Times New Roman" w:eastAsia="宋体" w:cs="Times New Roman"/>
                <w:b w:val="0"/>
                <w:color w:val="auto"/>
                <w:sz w:val="24"/>
                <w:szCs w:val="24"/>
                <w:highlight w:val="none"/>
              </w:rPr>
              <w:t>对下游墩子河</w:t>
            </w:r>
            <w:r>
              <w:rPr>
                <w:rFonts w:hint="default" w:ascii="Times New Roman" w:hAnsi="Times New Roman" w:cs="Times New Roman"/>
                <w:b w:val="0"/>
                <w:bCs w:val="0"/>
                <w:color w:val="auto"/>
                <w:highlight w:val="none"/>
                <w:u w:val="none"/>
                <w:lang w:val="en-US" w:eastAsia="zh-CN"/>
              </w:rPr>
              <w:t>控制断面</w:t>
            </w:r>
            <w:r>
              <w:rPr>
                <w:rFonts w:hint="default" w:ascii="Times New Roman" w:hAnsi="Times New Roman" w:eastAsia="宋体" w:cs="Times New Roman"/>
                <w:b w:val="0"/>
                <w:color w:val="auto"/>
                <w:sz w:val="24"/>
                <w:szCs w:val="24"/>
                <w:highlight w:val="none"/>
              </w:rPr>
              <w:t>及河长制考核断面</w:t>
            </w:r>
            <w:r>
              <w:rPr>
                <w:rFonts w:hint="default" w:ascii="Times New Roman" w:hAnsi="Times New Roman" w:cs="Times New Roman"/>
                <w:b w:val="0"/>
                <w:bCs w:val="0"/>
                <w:color w:val="auto"/>
                <w:highlight w:val="none"/>
                <w:u w:val="none"/>
                <w:lang w:val="en-US" w:eastAsia="zh-CN"/>
              </w:rPr>
              <w:t>的水质影响主要集中在围堰修筑及拆除过程，</w:t>
            </w:r>
            <w:r>
              <w:rPr>
                <w:rFonts w:hint="default" w:ascii="Times New Roman" w:cs="Times New Roman"/>
                <w:b w:val="0"/>
                <w:bCs w:val="0"/>
                <w:color w:val="auto"/>
                <w:highlight w:val="none"/>
                <w:u w:val="none"/>
                <w:lang w:val="en-US" w:eastAsia="zh-CN"/>
              </w:rPr>
              <w:t>本项目</w:t>
            </w:r>
            <w:r>
              <w:rPr>
                <w:rFonts w:hint="default" w:ascii="Times New Roman" w:hAnsi="Times New Roman" w:cs="Times New Roman"/>
                <w:b w:val="0"/>
                <w:bCs w:val="0"/>
                <w:color w:val="auto"/>
                <w:highlight w:val="none"/>
                <w:u w:val="none"/>
                <w:lang w:val="en-US" w:eastAsia="zh-CN"/>
              </w:rPr>
              <w:t>利用枯水期晴天进行围堰施工，</w:t>
            </w:r>
            <w:r>
              <w:rPr>
                <w:rFonts w:hint="default" w:ascii="Times New Roman" w:cs="Times New Roman"/>
                <w:b w:val="0"/>
                <w:bCs w:val="0"/>
                <w:color w:val="auto"/>
                <w:highlight w:val="none"/>
                <w:u w:val="none"/>
                <w:lang w:val="en-US" w:eastAsia="zh-CN"/>
              </w:rPr>
              <w:t>不在雨天施工，</w:t>
            </w:r>
            <w:r>
              <w:rPr>
                <w:rFonts w:hint="default" w:ascii="Times New Roman" w:hAnsi="Times New Roman" w:cs="Times New Roman"/>
                <w:b w:val="0"/>
                <w:bCs w:val="0"/>
                <w:color w:val="auto"/>
                <w:highlight w:val="none"/>
                <w:u w:val="none"/>
                <w:lang w:val="en-US" w:eastAsia="zh-CN"/>
              </w:rPr>
              <w:t>控制施工时长。</w:t>
            </w:r>
            <w:r>
              <w:rPr>
                <w:rFonts w:hint="eastAsia" w:ascii="Times New Roman" w:cs="Times New Roman"/>
                <w:b w:val="0"/>
                <w:bCs/>
                <w:color w:val="auto"/>
                <w:highlight w:val="none"/>
                <w:lang w:val="en-US" w:eastAsia="zh-CN"/>
              </w:rPr>
              <w:t>施工期内，</w:t>
            </w:r>
            <w:r>
              <w:rPr>
                <w:rFonts w:hint="default" w:ascii="Times New Roman" w:hAnsi="Times New Roman" w:cs="Times New Roman"/>
                <w:b w:val="0"/>
                <w:bCs w:val="0"/>
                <w:color w:val="auto"/>
                <w:highlight w:val="none"/>
              </w:rPr>
              <w:t>围</w:t>
            </w:r>
            <w:r>
              <w:rPr>
                <w:rFonts w:hint="default" w:ascii="Times New Roman" w:hAnsi="Times New Roman" w:cs="Times New Roman"/>
                <w:b w:val="0"/>
                <w:bCs/>
                <w:color w:val="auto"/>
                <w:highlight w:val="none"/>
              </w:rPr>
              <w:t>堰施工和拆除活动可能会引起水体中SS增加，</w:t>
            </w:r>
            <w:r>
              <w:rPr>
                <w:rFonts w:hint="eastAsia" w:ascii="Times New Roman" w:cs="Times New Roman"/>
                <w:b w:val="0"/>
                <w:bCs/>
                <w:color w:val="auto"/>
                <w:highlight w:val="none"/>
                <w:lang w:val="en-US" w:eastAsia="zh-CN"/>
              </w:rPr>
              <w:t>可能会</w:t>
            </w:r>
            <w:r>
              <w:rPr>
                <w:rFonts w:hint="default" w:ascii="Times New Roman" w:hAnsi="Times New Roman" w:eastAsia="宋体" w:cs="Times New Roman"/>
                <w:b w:val="0"/>
                <w:color w:val="auto"/>
                <w:sz w:val="24"/>
                <w:szCs w:val="24"/>
                <w:highlight w:val="none"/>
              </w:rPr>
              <w:t>对下游墩子河</w:t>
            </w:r>
            <w:r>
              <w:rPr>
                <w:rFonts w:hint="default" w:ascii="Times New Roman" w:hAnsi="Times New Roman" w:eastAsia="宋体" w:cs="Times New Roman"/>
                <w:b w:val="0"/>
                <w:bCs w:val="0"/>
                <w:color w:val="auto"/>
                <w:highlight w:val="none"/>
                <w:u w:val="none"/>
                <w:lang w:val="en-US" w:eastAsia="zh-CN"/>
              </w:rPr>
              <w:t>控制断面</w:t>
            </w:r>
            <w:r>
              <w:rPr>
                <w:rFonts w:hint="default" w:ascii="Times New Roman" w:hAnsi="Times New Roman" w:eastAsia="宋体" w:cs="Times New Roman"/>
                <w:b w:val="0"/>
                <w:color w:val="auto"/>
                <w:sz w:val="24"/>
                <w:szCs w:val="24"/>
                <w:highlight w:val="none"/>
              </w:rPr>
              <w:t>及河长制考核断面</w:t>
            </w:r>
            <w:r>
              <w:rPr>
                <w:rFonts w:hint="default" w:ascii="Times New Roman" w:hAnsi="Times New Roman" w:eastAsia="宋体" w:cs="Times New Roman"/>
                <w:b w:val="0"/>
                <w:bCs w:val="0"/>
                <w:color w:val="auto"/>
                <w:highlight w:val="none"/>
                <w:u w:val="none"/>
                <w:lang w:val="en-US" w:eastAsia="zh-CN"/>
              </w:rPr>
              <w:t>的水质</w:t>
            </w:r>
            <w:r>
              <w:rPr>
                <w:rFonts w:hint="eastAsia" w:ascii="Times New Roman" w:hAnsi="Times New Roman" w:eastAsia="宋体" w:cs="Times New Roman"/>
                <w:b w:val="0"/>
                <w:bCs w:val="0"/>
                <w:color w:val="auto"/>
                <w:highlight w:val="none"/>
                <w:u w:val="none"/>
                <w:lang w:val="en-US" w:eastAsia="zh-CN"/>
              </w:rPr>
              <w:t>产生影响，但</w:t>
            </w:r>
            <w:r>
              <w:rPr>
                <w:rFonts w:hint="default" w:ascii="Times New Roman" w:hAnsi="Times New Roman" w:cs="Times New Roman"/>
                <w:b w:val="0"/>
                <w:bCs/>
                <w:color w:val="auto"/>
                <w:highlight w:val="none"/>
              </w:rPr>
              <w:t>由于围堰建设和拆除的施工时间较短，因此工程涉及水下施工活动不会对</w:t>
            </w:r>
            <w:r>
              <w:rPr>
                <w:rFonts w:hint="default" w:ascii="Times New Roman" w:hAnsi="Times New Roman" w:eastAsia="宋体" w:cs="Times New Roman"/>
                <w:b w:val="0"/>
                <w:color w:val="auto"/>
                <w:sz w:val="24"/>
                <w:szCs w:val="24"/>
                <w:highlight w:val="none"/>
              </w:rPr>
              <w:t>下游墩子河</w:t>
            </w:r>
            <w:r>
              <w:rPr>
                <w:rFonts w:hint="default" w:ascii="Times New Roman" w:hAnsi="Times New Roman" w:eastAsia="宋体" w:cs="Times New Roman"/>
                <w:b w:val="0"/>
                <w:bCs w:val="0"/>
                <w:color w:val="auto"/>
                <w:highlight w:val="none"/>
                <w:u w:val="none"/>
                <w:lang w:val="en-US" w:eastAsia="zh-CN"/>
              </w:rPr>
              <w:t>控制断面</w:t>
            </w:r>
            <w:r>
              <w:rPr>
                <w:rFonts w:hint="default" w:ascii="Times New Roman" w:hAnsi="Times New Roman" w:eastAsia="宋体" w:cs="Times New Roman"/>
                <w:b w:val="0"/>
                <w:color w:val="auto"/>
                <w:sz w:val="24"/>
                <w:szCs w:val="24"/>
                <w:highlight w:val="none"/>
              </w:rPr>
              <w:t>及河长制考核断面</w:t>
            </w:r>
            <w:r>
              <w:rPr>
                <w:rFonts w:hint="default" w:ascii="Times New Roman" w:hAnsi="Times New Roman" w:eastAsia="宋体" w:cs="Times New Roman"/>
                <w:b w:val="0"/>
                <w:bCs w:val="0"/>
                <w:color w:val="auto"/>
                <w:highlight w:val="none"/>
                <w:u w:val="none"/>
                <w:lang w:val="en-US" w:eastAsia="zh-CN"/>
              </w:rPr>
              <w:t>的水质</w:t>
            </w:r>
            <w:r>
              <w:rPr>
                <w:rFonts w:hint="default" w:ascii="Times New Roman" w:hAnsi="Times New Roman" w:cs="Times New Roman"/>
                <w:b w:val="0"/>
                <w:bCs/>
                <w:color w:val="auto"/>
                <w:highlight w:val="none"/>
              </w:rPr>
              <w:t>造成明显影响。</w:t>
            </w:r>
          </w:p>
          <w:p w14:paraId="51A003CB">
            <w:pPr>
              <w:pStyle w:val="30"/>
              <w:spacing w:line="360" w:lineRule="auto"/>
              <w:ind w:firstLine="480" w:firstLineChars="200"/>
              <w:rPr>
                <w:rFonts w:hint="default" w:ascii="Times New Roman" w:hAnsi="Times New Roman" w:cs="Times New Roman"/>
                <w:b w:val="0"/>
                <w:bCs/>
                <w:color w:val="auto"/>
                <w:highlight w:val="none"/>
              </w:rPr>
            </w:pPr>
            <w:r>
              <w:rPr>
                <w:rFonts w:hint="default" w:ascii="Times New Roman" w:hAnsi="Times New Roman" w:cs="Times New Roman"/>
                <w:b w:val="0"/>
                <w:bCs/>
                <w:color w:val="auto"/>
                <w:highlight w:val="none"/>
              </w:rPr>
              <w:t>②河道疏浚对下游水质影响分析</w:t>
            </w:r>
          </w:p>
          <w:p w14:paraId="0C18641F">
            <w:pPr>
              <w:pStyle w:val="33"/>
              <w:ind w:firstLine="480"/>
              <w:rPr>
                <w:rFonts w:hint="eastAsia"/>
                <w:color w:val="auto"/>
                <w:szCs w:val="22"/>
                <w:highlight w:val="none"/>
              </w:rPr>
            </w:pPr>
            <w:r>
              <w:rPr>
                <w:rFonts w:hint="default" w:ascii="Times New Roman" w:hAnsi="Times New Roman" w:cs="Times New Roman"/>
                <w:b w:val="0"/>
                <w:bCs/>
                <w:color w:val="auto"/>
                <w:highlight w:val="none"/>
              </w:rPr>
              <w:t>本项目</w:t>
            </w:r>
            <w:r>
              <w:rPr>
                <w:rFonts w:hint="eastAsia" w:ascii="Times New Roman" w:hAnsi="Times New Roman" w:cs="Times New Roman"/>
                <w:b w:val="0"/>
                <w:bCs/>
                <w:color w:val="auto"/>
                <w:highlight w:val="none"/>
              </w:rPr>
              <w:t>对</w:t>
            </w:r>
            <w:r>
              <w:rPr>
                <w:rFonts w:hint="eastAsia" w:cs="Times New Roman"/>
                <w:b w:val="0"/>
                <w:bCs/>
                <w:color w:val="auto"/>
                <w:highlight w:val="none"/>
                <w:lang w:val="en-US" w:eastAsia="zh-CN"/>
              </w:rPr>
              <w:t>各工程</w:t>
            </w:r>
            <w:r>
              <w:rPr>
                <w:rFonts w:hint="eastAsia" w:ascii="Times New Roman" w:hAnsi="Times New Roman" w:cs="Times New Roman"/>
                <w:b w:val="0"/>
                <w:bCs/>
                <w:color w:val="auto"/>
                <w:highlight w:val="none"/>
              </w:rPr>
              <w:t>河段实施清淤。</w:t>
            </w:r>
            <w:r>
              <w:rPr>
                <w:rFonts w:hint="eastAsia"/>
                <w:color w:val="auto"/>
                <w:szCs w:val="22"/>
                <w:highlight w:val="none"/>
              </w:rPr>
              <w:t>清淤河段主要为二郎整治k</w:t>
            </w:r>
            <w:r>
              <w:rPr>
                <w:rFonts w:ascii="Times New Roman" w:hAnsi="Times New Roman" w:eastAsia="宋体" w:cs="Times New Roman"/>
                <w:color w:val="auto"/>
                <w:highlight w:val="none"/>
              </w:rPr>
              <w:t>0+000~k</w:t>
            </w:r>
            <w:r>
              <w:rPr>
                <w:rFonts w:hint="default" w:ascii="Times New Roman" w:hAnsi="Times New Roman" w:eastAsia="宋体" w:cs="Times New Roman"/>
                <w:color w:val="auto"/>
                <w:highlight w:val="none"/>
              </w:rPr>
              <w:t>5+</w:t>
            </w:r>
            <w:r>
              <w:rPr>
                <w:rFonts w:hint="default" w:ascii="Times New Roman" w:hAnsi="Times New Roman" w:eastAsia="宋体" w:cs="Times New Roman"/>
                <w:color w:val="auto"/>
                <w:highlight w:val="none"/>
                <w:lang w:val="en-US" w:eastAsia="zh-CN"/>
              </w:rPr>
              <w:t>634</w:t>
            </w:r>
            <w:r>
              <w:rPr>
                <w:rFonts w:hint="eastAsia"/>
                <w:color w:val="auto"/>
                <w:szCs w:val="22"/>
                <w:highlight w:val="none"/>
                <w:lang w:eastAsia="zh-CN"/>
              </w:rPr>
              <w:t>、福兴整治k0+000~k1+795、石0+000~石2+450、双0+000~双2+150</w:t>
            </w:r>
            <w:r>
              <w:rPr>
                <w:rFonts w:hint="eastAsia"/>
                <w:color w:val="auto"/>
                <w:szCs w:val="22"/>
                <w:highlight w:val="none"/>
              </w:rPr>
              <w:t>。</w:t>
            </w:r>
          </w:p>
          <w:p w14:paraId="19F6A84E">
            <w:pPr>
              <w:pStyle w:val="30"/>
              <w:spacing w:line="360" w:lineRule="auto"/>
              <w:ind w:firstLine="480" w:firstLineChars="200"/>
              <w:rPr>
                <w:rFonts w:hint="default" w:ascii="Times New Roman" w:hAnsi="Times New Roman" w:cs="Times New Roman"/>
                <w:b w:val="0"/>
                <w:bCs/>
                <w:color w:val="auto"/>
                <w:highlight w:val="none"/>
              </w:rPr>
            </w:pPr>
            <w:r>
              <w:rPr>
                <w:rFonts w:hint="eastAsia" w:ascii="Times New Roman" w:hAnsi="Times New Roman" w:cs="Times New Roman"/>
                <w:b w:val="0"/>
                <w:bCs/>
                <w:color w:val="auto"/>
                <w:highlight w:val="none"/>
              </w:rPr>
              <w:t>本次清淤清除河道内阻洪滩地，顺直河道。</w:t>
            </w:r>
            <w:r>
              <w:rPr>
                <w:rFonts w:hint="eastAsia" w:ascii="Times New Roman" w:cs="Times New Roman"/>
                <w:b w:val="0"/>
                <w:bCs/>
                <w:color w:val="auto"/>
                <w:highlight w:val="none"/>
                <w:lang w:val="en-US" w:eastAsia="zh-CN"/>
              </w:rPr>
              <w:t>二郎、福兴</w:t>
            </w:r>
            <w:r>
              <w:rPr>
                <w:rFonts w:hint="eastAsia" w:ascii="Times New Roman" w:hAnsi="Times New Roman" w:cs="Times New Roman"/>
                <w:b w:val="0"/>
                <w:bCs/>
                <w:color w:val="auto"/>
                <w:highlight w:val="none"/>
              </w:rPr>
              <w:t>段河床清淤纵向坡比1:10，横向坡比1:2.5~1:3</w:t>
            </w:r>
            <w:r>
              <w:rPr>
                <w:rFonts w:hint="eastAsia" w:ascii="Times New Roman" w:cs="Times New Roman"/>
                <w:b w:val="0"/>
                <w:bCs/>
                <w:color w:val="auto"/>
                <w:highlight w:val="none"/>
                <w:lang w:eastAsia="zh-CN"/>
              </w:rPr>
              <w:t>，</w:t>
            </w:r>
            <w:r>
              <w:rPr>
                <w:rFonts w:hint="eastAsia" w:ascii="Times New Roman" w:cs="Times New Roman"/>
                <w:b w:val="0"/>
                <w:bCs/>
                <w:color w:val="auto"/>
                <w:highlight w:val="none"/>
                <w:lang w:val="en-US" w:eastAsia="zh-CN"/>
              </w:rPr>
              <w:t>石河镇段、双拱场段</w:t>
            </w:r>
            <w:r>
              <w:rPr>
                <w:rFonts w:hint="eastAsia" w:ascii="Times New Roman" w:hAnsi="Times New Roman" w:eastAsia="宋体" w:cs="Times New Roman"/>
                <w:b w:val="0"/>
                <w:bCs/>
                <w:snapToGrid w:val="0"/>
                <w:color w:val="auto"/>
                <w:sz w:val="24"/>
                <w:szCs w:val="22"/>
                <w:highlight w:val="none"/>
                <w:lang w:val="en-US" w:eastAsia="zh-CN" w:bidi="ar-SA"/>
              </w:rPr>
              <w:t>河床疏浚边坡坡比不陡于1:3.0</w:t>
            </w:r>
            <w:r>
              <w:rPr>
                <w:rFonts w:hint="eastAsia" w:ascii="Times New Roman" w:hAnsi="Times New Roman" w:cs="Times New Roman"/>
                <w:b w:val="0"/>
                <w:bCs/>
                <w:color w:val="auto"/>
                <w:highlight w:val="none"/>
                <w:lang w:eastAsia="zh-CN"/>
              </w:rPr>
              <w:t>。</w:t>
            </w:r>
            <w:r>
              <w:rPr>
                <w:rFonts w:hint="default" w:ascii="Times New Roman" w:hAnsi="Times New Roman" w:cs="Times New Roman"/>
                <w:b w:val="0"/>
                <w:bCs/>
                <w:color w:val="auto"/>
                <w:highlight w:val="none"/>
              </w:rPr>
              <w:t>河道疏浚会使施工段水体暂时变浑浊，水流运动一段时间后，水体会变得澄清，不会对河流下游水质造成影响。</w:t>
            </w:r>
          </w:p>
          <w:p w14:paraId="3D266C1C">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（3）水文要素影响分析</w:t>
            </w:r>
          </w:p>
          <w:p w14:paraId="72033FC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项目河道清淤过程中对局部河道水文及水质有一定影响。</w:t>
            </w:r>
            <w:r>
              <w:rPr>
                <w:rFonts w:hint="eastAsia" w:cs="Times New Roman"/>
                <w:color w:val="auto"/>
                <w:highlight w:val="none"/>
                <w:lang w:val="en-US" w:eastAsia="zh-CN"/>
              </w:rPr>
              <w:t>根据现场调查，</w:t>
            </w:r>
            <w:r>
              <w:rPr>
                <w:rFonts w:hint="default" w:ascii="Times New Roman" w:hAnsi="Times New Roman" w:cs="Times New Roman"/>
                <w:color w:val="auto"/>
                <w:highlight w:val="none"/>
              </w:rPr>
              <w:t>项目采取分段施工、围挡及导流施工，可将施工对水文影响降至最小。施工周期短，且项目施工结束后，将恢复河道水文，并对河道水质有改善作用。</w:t>
            </w:r>
          </w:p>
          <w:p w14:paraId="05065787">
            <w:pPr>
              <w:ind w:left="0" w:leftChars="0" w:firstLine="0" w:firstLineChars="0"/>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4.2.2.2 清河镇段及杨家镇段</w:t>
            </w:r>
          </w:p>
          <w:p w14:paraId="50B0B42D">
            <w:pPr>
              <w:ind w:firstLine="480"/>
              <w:rPr>
                <w:rFonts w:hint="eastAsia"/>
                <w:color w:val="auto"/>
                <w:highlight w:val="none"/>
                <w:lang w:val="en-US" w:eastAsia="zh-CN"/>
              </w:rPr>
            </w:pPr>
            <w:r>
              <w:rPr>
                <w:rFonts w:hint="eastAsia" w:cs="Times New Roman"/>
                <w:color w:val="auto"/>
                <w:highlight w:val="none"/>
                <w:lang w:val="en-US" w:eastAsia="zh-CN"/>
              </w:rPr>
              <w:t>施工期该段未设置施工营地，租赁周边农户住房。施工人员</w:t>
            </w:r>
            <w:r>
              <w:rPr>
                <w:rFonts w:hAnsi="Times New Roman"/>
                <w:color w:val="auto"/>
                <w:highlight w:val="none"/>
              </w:rPr>
              <w:t>大部</w:t>
            </w:r>
            <w:r>
              <w:rPr>
                <w:rFonts w:hint="eastAsia" w:hAnsi="Times New Roman"/>
                <w:color w:val="auto"/>
                <w:highlight w:val="none"/>
                <w:lang w:val="en-US" w:eastAsia="zh-CN"/>
              </w:rPr>
              <w:t>来自于</w:t>
            </w:r>
            <w:r>
              <w:rPr>
                <w:rFonts w:hAnsi="Times New Roman"/>
                <w:color w:val="auto"/>
                <w:highlight w:val="none"/>
              </w:rPr>
              <w:t>当地，食宿均依托当地</w:t>
            </w:r>
            <w:r>
              <w:rPr>
                <w:rFonts w:hint="eastAsia" w:hAnsi="Times New Roman"/>
                <w:color w:val="auto"/>
                <w:highlight w:val="none"/>
                <w:lang w:val="en-US" w:eastAsia="zh-CN"/>
              </w:rPr>
              <w:t>现有设施</w:t>
            </w:r>
            <w:r>
              <w:rPr>
                <w:rFonts w:hint="eastAsia"/>
                <w:color w:val="auto"/>
                <w:highlight w:val="none"/>
                <w:lang w:val="en-US" w:eastAsia="zh-CN"/>
              </w:rPr>
              <w:t>。生活污水依托当地居民现有设施。</w:t>
            </w:r>
          </w:p>
          <w:p w14:paraId="246BE9A3">
            <w:pPr>
              <w:ind w:firstLine="480"/>
              <w:rPr>
                <w:rFonts w:hint="eastAsia"/>
                <w:color w:val="auto"/>
                <w:highlight w:val="none"/>
                <w:lang w:val="en-US" w:eastAsia="zh-CN"/>
              </w:rPr>
            </w:pPr>
            <w:r>
              <w:rPr>
                <w:rFonts w:hint="eastAsia"/>
                <w:color w:val="auto"/>
                <w:highlight w:val="none"/>
                <w:lang w:val="en-US" w:eastAsia="zh-CN"/>
              </w:rPr>
              <w:t>施工场地车辆冲洗废水及拌和系统冲洗废水、基坑渗水，经沉淀后回用抑尘洒水。项目疏浚淤泥堆放在岸坡上，下游采取编织袋围挡。编织袋渗滤出来的水直接排入地表水体。施</w:t>
            </w:r>
            <w:r>
              <w:rPr>
                <w:rFonts w:hint="eastAsia" w:ascii="Times New Roman" w:cs="Times New Roman"/>
                <w:b w:val="0"/>
                <w:bCs/>
                <w:color w:val="auto"/>
                <w:highlight w:val="none"/>
                <w:lang w:val="en-US" w:eastAsia="zh-CN"/>
              </w:rPr>
              <w:t>工期内，</w:t>
            </w:r>
            <w:r>
              <w:rPr>
                <w:rFonts w:hint="default" w:ascii="Times New Roman" w:hAnsi="Times New Roman" w:eastAsia="宋体" w:cs="Times New Roman"/>
                <w:b w:val="0"/>
                <w:bCs w:val="0"/>
                <w:color w:val="auto"/>
                <w:highlight w:val="none"/>
              </w:rPr>
              <w:t>围</w:t>
            </w:r>
            <w:r>
              <w:rPr>
                <w:rFonts w:hint="default" w:ascii="Times New Roman" w:hAnsi="Times New Roman" w:cs="Times New Roman"/>
                <w:b w:val="0"/>
                <w:bCs/>
                <w:color w:val="auto"/>
                <w:highlight w:val="none"/>
              </w:rPr>
              <w:t>堰施工和拆除活动可能会引起水体中SS增加，</w:t>
            </w:r>
            <w:r>
              <w:rPr>
                <w:rFonts w:hint="eastAsia" w:ascii="Times New Roman" w:cs="Times New Roman"/>
                <w:b w:val="0"/>
                <w:bCs/>
                <w:color w:val="auto"/>
                <w:highlight w:val="none"/>
                <w:lang w:val="en-US" w:eastAsia="zh-CN"/>
              </w:rPr>
              <w:t>可能会</w:t>
            </w:r>
            <w:r>
              <w:rPr>
                <w:rFonts w:hint="default" w:ascii="Times New Roman" w:hAnsi="Times New Roman" w:eastAsia="宋体" w:cs="Times New Roman"/>
                <w:b w:val="0"/>
                <w:color w:val="auto"/>
                <w:sz w:val="24"/>
                <w:szCs w:val="24"/>
                <w:highlight w:val="none"/>
              </w:rPr>
              <w:t>对下游墩子河</w:t>
            </w:r>
            <w:r>
              <w:rPr>
                <w:rFonts w:hint="default" w:ascii="Times New Roman" w:hAnsi="Times New Roman" w:eastAsia="宋体" w:cs="Times New Roman"/>
                <w:b w:val="0"/>
                <w:bCs w:val="0"/>
                <w:color w:val="auto"/>
                <w:highlight w:val="none"/>
                <w:u w:val="none"/>
                <w:lang w:val="en-US" w:eastAsia="zh-CN"/>
              </w:rPr>
              <w:t>控制断面</w:t>
            </w:r>
            <w:r>
              <w:rPr>
                <w:rFonts w:hint="default" w:ascii="Times New Roman" w:hAnsi="Times New Roman" w:eastAsia="宋体" w:cs="Times New Roman"/>
                <w:b w:val="0"/>
                <w:color w:val="auto"/>
                <w:sz w:val="24"/>
                <w:szCs w:val="24"/>
                <w:highlight w:val="none"/>
              </w:rPr>
              <w:t>及河长制考核断面</w:t>
            </w:r>
            <w:r>
              <w:rPr>
                <w:rFonts w:hint="default" w:ascii="Times New Roman" w:hAnsi="Times New Roman" w:eastAsia="宋体" w:cs="Times New Roman"/>
                <w:b w:val="0"/>
                <w:bCs w:val="0"/>
                <w:color w:val="auto"/>
                <w:highlight w:val="none"/>
                <w:u w:val="none"/>
                <w:lang w:val="en-US" w:eastAsia="zh-CN"/>
              </w:rPr>
              <w:t>的水质</w:t>
            </w:r>
            <w:r>
              <w:rPr>
                <w:rFonts w:hint="eastAsia" w:ascii="Times New Roman" w:hAnsi="Times New Roman" w:eastAsia="宋体" w:cs="Times New Roman"/>
                <w:b w:val="0"/>
                <w:bCs w:val="0"/>
                <w:color w:val="auto"/>
                <w:highlight w:val="none"/>
                <w:u w:val="none"/>
                <w:lang w:val="en-US" w:eastAsia="zh-CN"/>
              </w:rPr>
              <w:t>产生短暂影响。</w:t>
            </w:r>
          </w:p>
          <w:p w14:paraId="517D545F">
            <w:pPr>
              <w:ind w:firstLine="480"/>
              <w:rPr>
                <w:rFonts w:hint="default"/>
                <w:color w:val="auto"/>
                <w:highlight w:val="none"/>
                <w:lang w:val="en-US" w:eastAsia="zh-CN"/>
              </w:rPr>
            </w:pPr>
            <w:r>
              <w:rPr>
                <w:rFonts w:hint="eastAsia"/>
                <w:color w:val="auto"/>
                <w:highlight w:val="none"/>
                <w:lang w:val="en-US" w:eastAsia="zh-CN"/>
              </w:rPr>
              <w:t>根据现场调查，河道水质清澈。项目施工期未发生水污染事件及环保投诉。</w:t>
            </w:r>
          </w:p>
          <w:p w14:paraId="5E686D21">
            <w:pPr>
              <w:ind w:firstLine="480"/>
              <w:rPr>
                <w:rFonts w:hint="default" w:ascii="Times New Roman" w:hAnsi="Times New Roman" w:cs="Times New Roman"/>
                <w:color w:val="auto"/>
                <w:highlight w:val="none"/>
              </w:rPr>
            </w:pPr>
            <w:r>
              <w:rPr>
                <w:rFonts w:hint="default" w:ascii="Times New Roman" w:hAnsi="Times New Roman" w:cs="Times New Roman"/>
                <w:b w:val="0"/>
                <w:bCs/>
                <w:color w:val="auto"/>
                <w:highlight w:val="none"/>
              </w:rPr>
              <w:t>综上，本项目施工期对项目区域的水环境有一定的影响，随着施工活动结束，影响将消除。项目施工期产生的各类废水得到合理有效的治理，本项目施工期废水对下游影响较小</w:t>
            </w:r>
            <w:r>
              <w:rPr>
                <w:rFonts w:hint="default" w:ascii="Times New Roman" w:hAnsi="Times New Roman" w:cs="Times New Roman"/>
                <w:color w:val="auto"/>
                <w:highlight w:val="none"/>
              </w:rPr>
              <w:t>。</w:t>
            </w:r>
          </w:p>
          <w:p w14:paraId="46A6DCB8">
            <w:pPr>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4.2.3 施工期噪声污染影响分析</w:t>
            </w:r>
          </w:p>
          <w:p w14:paraId="4C122468">
            <w:pPr>
              <w:spacing w:beforeLines="0" w:afterLines="0"/>
              <w:ind w:left="0" w:leftChars="0" w:firstLine="0" w:firstLineChars="0"/>
              <w:jc w:val="left"/>
              <w:rPr>
                <w:rFonts w:hint="default" w:ascii="宋体" w:hAnsi="宋体"/>
                <w:color w:val="auto"/>
                <w:sz w:val="24"/>
                <w:szCs w:val="24"/>
                <w:highlight w:val="none"/>
                <w:lang w:val="en-US" w:eastAsia="zh-CN"/>
              </w:rPr>
            </w:pPr>
            <w:r>
              <w:rPr>
                <w:rFonts w:hint="eastAsia" w:cs="Times New Roman"/>
                <w:b/>
                <w:bCs/>
                <w:color w:val="auto"/>
                <w:highlight w:val="none"/>
                <w:lang w:val="en-US" w:eastAsia="zh-CN"/>
              </w:rPr>
              <w:t>4.2.3.1 二郎及福兴段、石河镇段及双拱场段</w:t>
            </w:r>
          </w:p>
          <w:p w14:paraId="153A27FF">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4.2.3.1</w:t>
            </w:r>
            <w:r>
              <w:rPr>
                <w:rFonts w:hint="eastAsia" w:cs="Times New Roman"/>
                <w:b/>
                <w:bCs/>
                <w:color w:val="auto"/>
                <w:highlight w:val="none"/>
                <w:lang w:val="en-US" w:eastAsia="zh-CN"/>
              </w:rPr>
              <w:t>.1</w:t>
            </w:r>
            <w:r>
              <w:rPr>
                <w:rFonts w:hint="default" w:ascii="Times New Roman" w:hAnsi="Times New Roman" w:cs="Times New Roman"/>
                <w:b/>
                <w:bCs/>
                <w:color w:val="auto"/>
                <w:highlight w:val="none"/>
              </w:rPr>
              <w:t xml:space="preserve"> 噪声污染源分析</w:t>
            </w:r>
          </w:p>
          <w:p w14:paraId="737A3B92">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施工期噪声影响主要表现为施工机械噪声对附近居民的影响，其次是物料运输车辆和弃渣运输车辆的交通噪声。施工期噪声污染源主要由施工作业机械产生，根据常用机械的实测资料，其污染源强</w:t>
            </w:r>
            <w:r>
              <w:rPr>
                <w:rFonts w:hint="eastAsia" w:ascii="Times New Roman" w:hAnsi="Times New Roman" w:cs="Times New Roman"/>
                <w:color w:val="auto"/>
                <w:highlight w:val="none"/>
                <w:lang w:val="en-US" w:eastAsia="zh-CN"/>
              </w:rPr>
              <w:t>详</w:t>
            </w:r>
            <w:r>
              <w:rPr>
                <w:rFonts w:hint="default" w:ascii="Times New Roman" w:hAnsi="Times New Roman" w:cs="Times New Roman"/>
                <w:color w:val="auto"/>
                <w:highlight w:val="none"/>
              </w:rPr>
              <w:t>见下表。</w:t>
            </w:r>
          </w:p>
          <w:p w14:paraId="2A46A1D4">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表4.2-2 项目施工机械噪声值单位：dB(A)</w:t>
            </w:r>
          </w:p>
          <w:tbl>
            <w:tblPr>
              <w:tblStyle w:val="12"/>
              <w:tblW w:w="86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935"/>
              <w:gridCol w:w="2291"/>
              <w:gridCol w:w="3177"/>
            </w:tblGrid>
            <w:tr w14:paraId="6DC4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shd w:val="clear" w:color="auto" w:fill="auto"/>
                  <w:vAlign w:val="center"/>
                </w:tcPr>
                <w:p w14:paraId="450B9DDB">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cs="Times New Roman"/>
                      <w:b/>
                      <w:bCs/>
                      <w:color w:val="auto"/>
                      <w:sz w:val="21"/>
                      <w:szCs w:val="21"/>
                      <w:highlight w:val="none"/>
                    </w:rPr>
                    <w:t>序号</w:t>
                  </w:r>
                </w:p>
              </w:tc>
              <w:tc>
                <w:tcPr>
                  <w:tcW w:w="1935" w:type="dxa"/>
                  <w:shd w:val="clear" w:color="auto" w:fill="auto"/>
                  <w:vAlign w:val="center"/>
                </w:tcPr>
                <w:p w14:paraId="58EEED9A">
                  <w:pPr>
                    <w:keepNext w:val="0"/>
                    <w:keepLines w:val="0"/>
                    <w:pageBreakBefore w:val="0"/>
                    <w:wordWrap/>
                    <w:topLinePunct w:val="0"/>
                    <w:autoSpaceDE/>
                    <w:autoSpaceDN/>
                    <w:bidi w:val="0"/>
                    <w:adjustRightInd/>
                    <w:snapToGrid/>
                    <w:spacing w:line="240" w:lineRule="auto"/>
                    <w:ind w:firstLine="0" w:firstLineChars="0"/>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施工场地</w:t>
                  </w:r>
                </w:p>
              </w:tc>
              <w:tc>
                <w:tcPr>
                  <w:tcW w:w="2291" w:type="dxa"/>
                  <w:shd w:val="clear" w:color="auto" w:fill="auto"/>
                  <w:vAlign w:val="center"/>
                </w:tcPr>
                <w:p w14:paraId="21D587C2">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cs="Times New Roman"/>
                      <w:b/>
                      <w:bCs/>
                      <w:color w:val="auto"/>
                      <w:sz w:val="21"/>
                      <w:szCs w:val="21"/>
                      <w:highlight w:val="none"/>
                    </w:rPr>
                    <w:t>机械类型</w:t>
                  </w:r>
                </w:p>
              </w:tc>
              <w:tc>
                <w:tcPr>
                  <w:tcW w:w="3177" w:type="dxa"/>
                  <w:shd w:val="clear" w:color="auto" w:fill="auto"/>
                  <w:vAlign w:val="center"/>
                </w:tcPr>
                <w:p w14:paraId="00ECBEF7">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cs="Times New Roman"/>
                      <w:b/>
                      <w:bCs/>
                      <w:color w:val="auto"/>
                      <w:sz w:val="21"/>
                      <w:szCs w:val="21"/>
                      <w:highlight w:val="none"/>
                    </w:rPr>
                    <w:t>等效声级（距离源强1m处）</w:t>
                  </w:r>
                </w:p>
              </w:tc>
            </w:tr>
            <w:tr w14:paraId="6FB4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shd w:val="clear" w:color="auto" w:fill="auto"/>
                  <w:vAlign w:val="center"/>
                </w:tcPr>
                <w:p w14:paraId="6FAB34FA">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1</w:t>
                  </w:r>
                </w:p>
              </w:tc>
              <w:tc>
                <w:tcPr>
                  <w:tcW w:w="1935" w:type="dxa"/>
                  <w:vMerge w:val="restart"/>
                  <w:shd w:val="clear" w:color="auto" w:fill="auto"/>
                  <w:vAlign w:val="center"/>
                </w:tcPr>
                <w:p w14:paraId="5419494E">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1#施工场地</w:t>
                  </w:r>
                </w:p>
              </w:tc>
              <w:tc>
                <w:tcPr>
                  <w:tcW w:w="2291" w:type="dxa"/>
                  <w:shd w:val="clear" w:color="auto" w:fill="auto"/>
                  <w:vAlign w:val="center"/>
                </w:tcPr>
                <w:p w14:paraId="79B20891">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单斗挖掘机</w:t>
                  </w:r>
                </w:p>
              </w:tc>
              <w:tc>
                <w:tcPr>
                  <w:tcW w:w="3177" w:type="dxa"/>
                  <w:shd w:val="clear" w:color="auto" w:fill="auto"/>
                  <w:vAlign w:val="center"/>
                </w:tcPr>
                <w:p w14:paraId="62EB6874">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i w:val="0"/>
                      <w:iCs w:val="0"/>
                      <w:snapToGrid w:val="0"/>
                      <w:color w:val="auto"/>
                      <w:kern w:val="0"/>
                      <w:sz w:val="21"/>
                      <w:szCs w:val="21"/>
                      <w:highlight w:val="none"/>
                      <w:u w:val="none"/>
                      <w:lang w:val="en-US" w:eastAsia="zh-CN" w:bidi="ar"/>
                    </w:rPr>
                    <w:t>90</w:t>
                  </w:r>
                </w:p>
              </w:tc>
            </w:tr>
            <w:tr w14:paraId="29CE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shd w:val="clear" w:color="auto" w:fill="auto"/>
                  <w:vAlign w:val="center"/>
                </w:tcPr>
                <w:p w14:paraId="5AC0CD99">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2</w:t>
                  </w:r>
                </w:p>
              </w:tc>
              <w:tc>
                <w:tcPr>
                  <w:tcW w:w="1935" w:type="dxa"/>
                  <w:vMerge w:val="continue"/>
                  <w:shd w:val="clear" w:color="auto" w:fill="auto"/>
                  <w:vAlign w:val="center"/>
                </w:tcPr>
                <w:p w14:paraId="4F260241">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2291" w:type="dxa"/>
                  <w:shd w:val="clear" w:color="auto" w:fill="auto"/>
                  <w:vAlign w:val="center"/>
                </w:tcPr>
                <w:p w14:paraId="685FEA15">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挖掘机</w:t>
                  </w:r>
                </w:p>
              </w:tc>
              <w:tc>
                <w:tcPr>
                  <w:tcW w:w="3177" w:type="dxa"/>
                  <w:shd w:val="clear" w:color="auto" w:fill="auto"/>
                  <w:vAlign w:val="center"/>
                </w:tcPr>
                <w:p w14:paraId="766DB628">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i w:val="0"/>
                      <w:iCs w:val="0"/>
                      <w:snapToGrid w:val="0"/>
                      <w:color w:val="auto"/>
                      <w:kern w:val="0"/>
                      <w:sz w:val="21"/>
                      <w:szCs w:val="21"/>
                      <w:highlight w:val="none"/>
                      <w:u w:val="none"/>
                      <w:lang w:val="en-US" w:eastAsia="zh-CN" w:bidi="ar"/>
                    </w:rPr>
                    <w:t>90</w:t>
                  </w:r>
                </w:p>
              </w:tc>
            </w:tr>
            <w:tr w14:paraId="00FB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shd w:val="clear" w:color="auto" w:fill="auto"/>
                  <w:vAlign w:val="center"/>
                </w:tcPr>
                <w:p w14:paraId="09653AC7">
                  <w:pPr>
                    <w:keepNext w:val="0"/>
                    <w:keepLines w:val="0"/>
                    <w:pageBreakBefore w:val="0"/>
                    <w:wordWrap/>
                    <w:topLinePunct w:val="0"/>
                    <w:autoSpaceDE/>
                    <w:autoSpaceDN/>
                    <w:bidi w:val="0"/>
                    <w:adjustRightInd/>
                    <w:snapToGrid/>
                    <w:spacing w:line="240" w:lineRule="auto"/>
                    <w:ind w:firstLine="0" w:firstLineChars="0"/>
                    <w:jc w:val="center"/>
                    <w:rPr>
                      <w:rFonts w:hint="eastAsia"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3</w:t>
                  </w:r>
                </w:p>
              </w:tc>
              <w:tc>
                <w:tcPr>
                  <w:tcW w:w="1935" w:type="dxa"/>
                  <w:vMerge w:val="continue"/>
                  <w:shd w:val="clear" w:color="auto" w:fill="auto"/>
                  <w:vAlign w:val="center"/>
                </w:tcPr>
                <w:p w14:paraId="40E10540">
                  <w:pPr>
                    <w:keepNext w:val="0"/>
                    <w:keepLines w:val="0"/>
                    <w:pageBreakBefore w:val="0"/>
                    <w:wordWrap/>
                    <w:topLinePunct w:val="0"/>
                    <w:autoSpaceDE/>
                    <w:autoSpaceDN/>
                    <w:bidi w:val="0"/>
                    <w:adjustRightInd/>
                    <w:snapToGrid/>
                    <w:spacing w:line="240" w:lineRule="auto"/>
                    <w:ind w:firstLine="0" w:firstLineChars="0"/>
                    <w:jc w:val="center"/>
                    <w:rPr>
                      <w:rFonts w:hint="eastAsia" w:cs="Times New Roman"/>
                      <w:color w:val="auto"/>
                      <w:sz w:val="21"/>
                      <w:szCs w:val="21"/>
                      <w:highlight w:val="none"/>
                      <w:lang w:val="en-US" w:eastAsia="zh-CN"/>
                    </w:rPr>
                  </w:pPr>
                </w:p>
              </w:tc>
              <w:tc>
                <w:tcPr>
                  <w:tcW w:w="2291" w:type="dxa"/>
                  <w:shd w:val="clear" w:color="auto" w:fill="auto"/>
                  <w:vAlign w:val="center"/>
                </w:tcPr>
                <w:p w14:paraId="56DE9B3F">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推土机</w:t>
                  </w:r>
                </w:p>
              </w:tc>
              <w:tc>
                <w:tcPr>
                  <w:tcW w:w="3177" w:type="dxa"/>
                  <w:shd w:val="clear" w:color="auto" w:fill="auto"/>
                  <w:vAlign w:val="center"/>
                </w:tcPr>
                <w:p w14:paraId="2AEB121C">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85</w:t>
                  </w:r>
                </w:p>
              </w:tc>
            </w:tr>
            <w:tr w14:paraId="76FF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shd w:val="clear" w:color="auto" w:fill="auto"/>
                  <w:vAlign w:val="center"/>
                </w:tcPr>
                <w:p w14:paraId="597B704A">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4</w:t>
                  </w:r>
                </w:p>
              </w:tc>
              <w:tc>
                <w:tcPr>
                  <w:tcW w:w="1935" w:type="dxa"/>
                  <w:vMerge w:val="continue"/>
                  <w:shd w:val="clear" w:color="auto" w:fill="auto"/>
                  <w:vAlign w:val="center"/>
                </w:tcPr>
                <w:p w14:paraId="605BE5BE">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2291" w:type="dxa"/>
                  <w:shd w:val="clear" w:color="auto" w:fill="auto"/>
                  <w:vAlign w:val="center"/>
                </w:tcPr>
                <w:p w14:paraId="6EBA9A02">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蛙式打夯机</w:t>
                  </w:r>
                </w:p>
              </w:tc>
              <w:tc>
                <w:tcPr>
                  <w:tcW w:w="3177" w:type="dxa"/>
                  <w:shd w:val="clear" w:color="auto" w:fill="auto"/>
                  <w:vAlign w:val="center"/>
                </w:tcPr>
                <w:p w14:paraId="69E23099">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90</w:t>
                  </w:r>
                </w:p>
              </w:tc>
            </w:tr>
            <w:tr w14:paraId="53D1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shd w:val="clear" w:color="auto" w:fill="auto"/>
                  <w:vAlign w:val="center"/>
                </w:tcPr>
                <w:p w14:paraId="25530F6A">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5</w:t>
                  </w:r>
                </w:p>
              </w:tc>
              <w:tc>
                <w:tcPr>
                  <w:tcW w:w="1935" w:type="dxa"/>
                  <w:vMerge w:val="continue"/>
                  <w:shd w:val="clear" w:color="auto" w:fill="auto"/>
                  <w:vAlign w:val="center"/>
                </w:tcPr>
                <w:p w14:paraId="41CE7246">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2291" w:type="dxa"/>
                  <w:shd w:val="clear" w:color="auto" w:fill="auto"/>
                  <w:vAlign w:val="center"/>
                </w:tcPr>
                <w:p w14:paraId="2A8E9A93">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水泵</w:t>
                  </w:r>
                </w:p>
              </w:tc>
              <w:tc>
                <w:tcPr>
                  <w:tcW w:w="3177" w:type="dxa"/>
                  <w:shd w:val="clear" w:color="auto" w:fill="auto"/>
                  <w:vAlign w:val="center"/>
                </w:tcPr>
                <w:p w14:paraId="7A43E9A0">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85</w:t>
                  </w:r>
                </w:p>
              </w:tc>
            </w:tr>
            <w:tr w14:paraId="3A54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shd w:val="clear" w:color="auto" w:fill="auto"/>
                  <w:vAlign w:val="center"/>
                </w:tcPr>
                <w:p w14:paraId="00A1D2B8">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6</w:t>
                  </w:r>
                </w:p>
              </w:tc>
              <w:tc>
                <w:tcPr>
                  <w:tcW w:w="1935" w:type="dxa"/>
                  <w:vMerge w:val="continue"/>
                  <w:shd w:val="clear" w:color="auto" w:fill="auto"/>
                  <w:vAlign w:val="center"/>
                </w:tcPr>
                <w:p w14:paraId="2A5244B8">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2291" w:type="dxa"/>
                  <w:shd w:val="clear" w:color="auto" w:fill="auto"/>
                  <w:vAlign w:val="center"/>
                </w:tcPr>
                <w:p w14:paraId="6FA819C0">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拖拉机履带式</w:t>
                  </w:r>
                </w:p>
              </w:tc>
              <w:tc>
                <w:tcPr>
                  <w:tcW w:w="3177" w:type="dxa"/>
                  <w:shd w:val="clear" w:color="auto" w:fill="auto"/>
                  <w:vAlign w:val="center"/>
                </w:tcPr>
                <w:p w14:paraId="41C22FCB">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80</w:t>
                  </w:r>
                </w:p>
              </w:tc>
            </w:tr>
            <w:tr w14:paraId="4699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shd w:val="clear" w:color="auto" w:fill="auto"/>
                  <w:vAlign w:val="center"/>
                </w:tcPr>
                <w:p w14:paraId="1A39B134">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7</w:t>
                  </w:r>
                </w:p>
              </w:tc>
              <w:tc>
                <w:tcPr>
                  <w:tcW w:w="1935" w:type="dxa"/>
                  <w:vMerge w:val="continue"/>
                  <w:shd w:val="clear" w:color="auto" w:fill="auto"/>
                  <w:vAlign w:val="center"/>
                </w:tcPr>
                <w:p w14:paraId="25221E3C">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highlight w:val="none"/>
                    </w:rPr>
                  </w:pPr>
                </w:p>
              </w:tc>
              <w:tc>
                <w:tcPr>
                  <w:tcW w:w="2291" w:type="dxa"/>
                  <w:shd w:val="clear" w:color="auto" w:fill="auto"/>
                  <w:vAlign w:val="center"/>
                </w:tcPr>
                <w:p w14:paraId="50EB3FD5">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振动碾</w:t>
                  </w:r>
                </w:p>
              </w:tc>
              <w:tc>
                <w:tcPr>
                  <w:tcW w:w="3177" w:type="dxa"/>
                  <w:shd w:val="clear" w:color="auto" w:fill="auto"/>
                  <w:vAlign w:val="center"/>
                </w:tcPr>
                <w:p w14:paraId="63A608F2">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i w:val="0"/>
                      <w:iCs w:val="0"/>
                      <w:snapToGrid w:val="0"/>
                      <w:color w:val="auto"/>
                      <w:kern w:val="0"/>
                      <w:sz w:val="21"/>
                      <w:szCs w:val="21"/>
                      <w:highlight w:val="none"/>
                      <w:u w:val="none"/>
                      <w:lang w:val="en-US" w:eastAsia="zh-CN" w:bidi="ar"/>
                    </w:rPr>
                    <w:t>80</w:t>
                  </w:r>
                </w:p>
              </w:tc>
            </w:tr>
            <w:tr w14:paraId="442C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shd w:val="clear" w:color="auto" w:fill="auto"/>
                  <w:vAlign w:val="center"/>
                </w:tcPr>
                <w:p w14:paraId="05A185D2">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8</w:t>
                  </w:r>
                </w:p>
              </w:tc>
              <w:tc>
                <w:tcPr>
                  <w:tcW w:w="1935" w:type="dxa"/>
                  <w:vMerge w:val="continue"/>
                  <w:shd w:val="clear" w:color="auto" w:fill="auto"/>
                  <w:vAlign w:val="center"/>
                </w:tcPr>
                <w:p w14:paraId="0DD58265">
                  <w:pPr>
                    <w:keepNext w:val="0"/>
                    <w:keepLines w:val="0"/>
                    <w:pageBreakBefore w:val="0"/>
                    <w:wordWrap/>
                    <w:topLinePunct w:val="0"/>
                    <w:autoSpaceDE/>
                    <w:autoSpaceDN/>
                    <w:bidi w:val="0"/>
                    <w:adjustRightInd/>
                    <w:snapToGrid/>
                    <w:spacing w:line="240" w:lineRule="auto"/>
                    <w:ind w:firstLine="0" w:firstLineChars="0"/>
                    <w:jc w:val="center"/>
                    <w:rPr>
                      <w:rFonts w:hint="eastAsia" w:cs="Times New Roman"/>
                      <w:color w:val="auto"/>
                      <w:sz w:val="21"/>
                      <w:szCs w:val="21"/>
                      <w:highlight w:val="none"/>
                      <w:lang w:val="en-US" w:eastAsia="zh-CN"/>
                    </w:rPr>
                  </w:pPr>
                </w:p>
              </w:tc>
              <w:tc>
                <w:tcPr>
                  <w:tcW w:w="2291" w:type="dxa"/>
                  <w:shd w:val="clear" w:color="auto" w:fill="auto"/>
                  <w:vAlign w:val="center"/>
                </w:tcPr>
                <w:p w14:paraId="2FF784FB">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混凝土</w:t>
                  </w:r>
                  <w:r>
                    <w:rPr>
                      <w:rFonts w:hint="eastAsia" w:cs="Times New Roman"/>
                      <w:color w:val="auto"/>
                      <w:sz w:val="21"/>
                      <w:szCs w:val="21"/>
                      <w:highlight w:val="none"/>
                      <w:lang w:eastAsia="zh-CN"/>
                    </w:rPr>
                    <w:t>拌和机</w:t>
                  </w:r>
                </w:p>
              </w:tc>
              <w:tc>
                <w:tcPr>
                  <w:tcW w:w="3177" w:type="dxa"/>
                  <w:shd w:val="clear" w:color="auto" w:fill="auto"/>
                  <w:vAlign w:val="center"/>
                </w:tcPr>
                <w:p w14:paraId="6CCC6033">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i w:val="0"/>
                      <w:iCs w:val="0"/>
                      <w:snapToGrid w:val="0"/>
                      <w:color w:val="auto"/>
                      <w:kern w:val="0"/>
                      <w:sz w:val="21"/>
                      <w:szCs w:val="21"/>
                      <w:highlight w:val="none"/>
                      <w:u w:val="none"/>
                      <w:lang w:val="en-US" w:eastAsia="zh-CN" w:bidi="ar"/>
                    </w:rPr>
                    <w:t>100</w:t>
                  </w:r>
                </w:p>
              </w:tc>
            </w:tr>
            <w:tr w14:paraId="5D43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center"/>
                </w:tcPr>
                <w:p w14:paraId="70C3CDE1">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color w:val="auto"/>
                      <w:sz w:val="21"/>
                      <w:szCs w:val="21"/>
                      <w:highlight w:val="none"/>
                      <w:lang w:val="en-US" w:eastAsia="zh-CN"/>
                    </w:rPr>
                    <w:t>9</w:t>
                  </w:r>
                </w:p>
              </w:tc>
              <w:tc>
                <w:tcPr>
                  <w:tcW w:w="1935" w:type="dxa"/>
                  <w:vMerge w:val="continue"/>
                  <w:vAlign w:val="center"/>
                </w:tcPr>
                <w:p w14:paraId="627846A3">
                  <w:pPr>
                    <w:keepNext w:val="0"/>
                    <w:keepLines w:val="0"/>
                    <w:pageBreakBefore w:val="0"/>
                    <w:wordWrap/>
                    <w:topLinePunct w:val="0"/>
                    <w:autoSpaceDE/>
                    <w:autoSpaceDN/>
                    <w:bidi w:val="0"/>
                    <w:adjustRightInd/>
                    <w:snapToGrid/>
                    <w:spacing w:line="240" w:lineRule="auto"/>
                    <w:ind w:firstLine="0" w:firstLineChars="0"/>
                    <w:jc w:val="center"/>
                    <w:rPr>
                      <w:rFonts w:hint="eastAsia" w:cs="Times New Roman"/>
                      <w:color w:val="auto"/>
                      <w:sz w:val="21"/>
                      <w:szCs w:val="21"/>
                      <w:highlight w:val="none"/>
                      <w:lang w:val="en-US" w:eastAsia="zh-CN"/>
                    </w:rPr>
                  </w:pPr>
                </w:p>
              </w:tc>
              <w:tc>
                <w:tcPr>
                  <w:tcW w:w="2291" w:type="dxa"/>
                  <w:shd w:val="clear" w:color="auto" w:fill="auto"/>
                  <w:vAlign w:val="center"/>
                </w:tcPr>
                <w:p w14:paraId="5BB86708">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混凝土输送泵</w:t>
                  </w:r>
                </w:p>
              </w:tc>
              <w:tc>
                <w:tcPr>
                  <w:tcW w:w="3177" w:type="dxa"/>
                  <w:shd w:val="clear" w:color="auto" w:fill="auto"/>
                  <w:vAlign w:val="center"/>
                </w:tcPr>
                <w:p w14:paraId="285D3B87">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85</w:t>
                  </w:r>
                </w:p>
              </w:tc>
            </w:tr>
            <w:tr w14:paraId="4CEA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top"/>
                </w:tcPr>
                <w:p w14:paraId="595EF5A6">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10</w:t>
                  </w:r>
                </w:p>
              </w:tc>
              <w:tc>
                <w:tcPr>
                  <w:tcW w:w="1935" w:type="dxa"/>
                  <w:vMerge w:val="continue"/>
                  <w:vAlign w:val="top"/>
                </w:tcPr>
                <w:p w14:paraId="0021C290">
                  <w:pPr>
                    <w:keepNext w:val="0"/>
                    <w:keepLines w:val="0"/>
                    <w:pageBreakBefore w:val="0"/>
                    <w:wordWrap/>
                    <w:topLinePunct w:val="0"/>
                    <w:autoSpaceDE/>
                    <w:autoSpaceDN/>
                    <w:bidi w:val="0"/>
                    <w:adjustRightInd/>
                    <w:snapToGrid/>
                    <w:spacing w:line="240" w:lineRule="auto"/>
                    <w:ind w:firstLine="0" w:firstLineChars="0"/>
                    <w:jc w:val="center"/>
                    <w:rPr>
                      <w:rFonts w:hint="eastAsia" w:cs="Times New Roman"/>
                      <w:snapToGrid w:val="0"/>
                      <w:color w:val="auto"/>
                      <w:sz w:val="21"/>
                      <w:szCs w:val="21"/>
                      <w:highlight w:val="none"/>
                      <w:lang w:val="en-US" w:eastAsia="zh-CN" w:bidi="ar-SA"/>
                    </w:rPr>
                  </w:pPr>
                </w:p>
              </w:tc>
              <w:tc>
                <w:tcPr>
                  <w:tcW w:w="2291" w:type="dxa"/>
                  <w:shd w:val="clear" w:color="auto" w:fill="auto"/>
                  <w:vAlign w:val="center"/>
                </w:tcPr>
                <w:p w14:paraId="756E082B">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插入式振捣器</w:t>
                  </w:r>
                </w:p>
              </w:tc>
              <w:tc>
                <w:tcPr>
                  <w:tcW w:w="3177" w:type="dxa"/>
                  <w:vAlign w:val="top"/>
                </w:tcPr>
                <w:p w14:paraId="4FAE1319">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i w:val="0"/>
                      <w:iCs w:val="0"/>
                      <w:snapToGrid w:val="0"/>
                      <w:color w:val="auto"/>
                      <w:kern w:val="0"/>
                      <w:sz w:val="21"/>
                      <w:szCs w:val="21"/>
                      <w:highlight w:val="none"/>
                      <w:u w:val="none"/>
                      <w:lang w:val="en-US" w:eastAsia="zh-CN" w:bidi="ar"/>
                    </w:rPr>
                    <w:t>100</w:t>
                  </w:r>
                </w:p>
              </w:tc>
            </w:tr>
            <w:tr w14:paraId="140A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top"/>
                </w:tcPr>
                <w:p w14:paraId="0832B659">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11</w:t>
                  </w:r>
                </w:p>
              </w:tc>
              <w:tc>
                <w:tcPr>
                  <w:tcW w:w="1935" w:type="dxa"/>
                  <w:vMerge w:val="continue"/>
                  <w:vAlign w:val="top"/>
                </w:tcPr>
                <w:p w14:paraId="7129AA1E">
                  <w:pPr>
                    <w:keepNext w:val="0"/>
                    <w:keepLines w:val="0"/>
                    <w:pageBreakBefore w:val="0"/>
                    <w:wordWrap/>
                    <w:topLinePunct w:val="0"/>
                    <w:autoSpaceDE/>
                    <w:autoSpaceDN/>
                    <w:bidi w:val="0"/>
                    <w:adjustRightInd/>
                    <w:snapToGrid/>
                    <w:spacing w:line="240" w:lineRule="auto"/>
                    <w:ind w:firstLine="0" w:firstLineChars="0"/>
                    <w:jc w:val="center"/>
                    <w:rPr>
                      <w:rFonts w:hint="eastAsia" w:cs="Times New Roman"/>
                      <w:snapToGrid w:val="0"/>
                      <w:color w:val="auto"/>
                      <w:sz w:val="21"/>
                      <w:szCs w:val="21"/>
                      <w:highlight w:val="none"/>
                      <w:lang w:val="en-US" w:eastAsia="zh-CN" w:bidi="ar-SA"/>
                    </w:rPr>
                  </w:pPr>
                </w:p>
              </w:tc>
              <w:tc>
                <w:tcPr>
                  <w:tcW w:w="2291" w:type="dxa"/>
                  <w:shd w:val="clear" w:color="auto" w:fill="auto"/>
                  <w:vAlign w:val="center"/>
                </w:tcPr>
                <w:p w14:paraId="6E5D60B9">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风(砂)水枪</w:t>
                  </w:r>
                </w:p>
              </w:tc>
              <w:tc>
                <w:tcPr>
                  <w:tcW w:w="3177" w:type="dxa"/>
                  <w:vAlign w:val="top"/>
                </w:tcPr>
                <w:p w14:paraId="7BE1BB88">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75</w:t>
                  </w:r>
                </w:p>
              </w:tc>
            </w:tr>
            <w:tr w14:paraId="1708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top"/>
                </w:tcPr>
                <w:p w14:paraId="2F133019">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12</w:t>
                  </w:r>
                </w:p>
              </w:tc>
              <w:tc>
                <w:tcPr>
                  <w:tcW w:w="1935" w:type="dxa"/>
                  <w:vMerge w:val="continue"/>
                  <w:vAlign w:val="top"/>
                </w:tcPr>
                <w:p w14:paraId="69983F4A">
                  <w:pPr>
                    <w:keepNext w:val="0"/>
                    <w:keepLines w:val="0"/>
                    <w:pageBreakBefore w:val="0"/>
                    <w:wordWrap/>
                    <w:topLinePunct w:val="0"/>
                    <w:autoSpaceDE/>
                    <w:autoSpaceDN/>
                    <w:bidi w:val="0"/>
                    <w:adjustRightInd/>
                    <w:snapToGrid/>
                    <w:spacing w:line="240" w:lineRule="auto"/>
                    <w:ind w:firstLine="0" w:firstLineChars="0"/>
                    <w:jc w:val="center"/>
                    <w:rPr>
                      <w:rFonts w:hint="eastAsia" w:cs="Times New Roman"/>
                      <w:snapToGrid w:val="0"/>
                      <w:color w:val="auto"/>
                      <w:sz w:val="21"/>
                      <w:szCs w:val="21"/>
                      <w:highlight w:val="none"/>
                      <w:lang w:val="en-US" w:eastAsia="zh-CN" w:bidi="ar-SA"/>
                    </w:rPr>
                  </w:pPr>
                </w:p>
              </w:tc>
              <w:tc>
                <w:tcPr>
                  <w:tcW w:w="2291" w:type="dxa"/>
                  <w:shd w:val="clear" w:color="auto" w:fill="auto"/>
                  <w:vAlign w:val="center"/>
                </w:tcPr>
                <w:p w14:paraId="02B2313A">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载重汽车</w:t>
                  </w:r>
                </w:p>
              </w:tc>
              <w:tc>
                <w:tcPr>
                  <w:tcW w:w="3177" w:type="dxa"/>
                  <w:shd w:val="clear" w:color="auto" w:fill="auto"/>
                  <w:vAlign w:val="top"/>
                </w:tcPr>
                <w:p w14:paraId="1EBF691D">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i w:val="0"/>
                      <w:iCs w:val="0"/>
                      <w:snapToGrid w:val="0"/>
                      <w:color w:val="auto"/>
                      <w:kern w:val="0"/>
                      <w:sz w:val="21"/>
                      <w:szCs w:val="21"/>
                      <w:highlight w:val="none"/>
                      <w:u w:val="none"/>
                      <w:lang w:val="en-US" w:eastAsia="zh-CN" w:bidi="ar"/>
                    </w:rPr>
                    <w:t>90</w:t>
                  </w:r>
                </w:p>
              </w:tc>
            </w:tr>
            <w:tr w14:paraId="7893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top"/>
                </w:tcPr>
                <w:p w14:paraId="4FFB478B">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13</w:t>
                  </w:r>
                </w:p>
              </w:tc>
              <w:tc>
                <w:tcPr>
                  <w:tcW w:w="1935" w:type="dxa"/>
                  <w:vMerge w:val="continue"/>
                  <w:vAlign w:val="top"/>
                </w:tcPr>
                <w:p w14:paraId="7CC777A5">
                  <w:pPr>
                    <w:keepNext w:val="0"/>
                    <w:keepLines w:val="0"/>
                    <w:pageBreakBefore w:val="0"/>
                    <w:wordWrap/>
                    <w:topLinePunct w:val="0"/>
                    <w:autoSpaceDE/>
                    <w:autoSpaceDN/>
                    <w:bidi w:val="0"/>
                    <w:adjustRightInd/>
                    <w:snapToGrid/>
                    <w:spacing w:line="240" w:lineRule="auto"/>
                    <w:ind w:firstLine="0" w:firstLineChars="0"/>
                    <w:jc w:val="center"/>
                    <w:rPr>
                      <w:rFonts w:hint="eastAsia" w:cs="Times New Roman"/>
                      <w:snapToGrid w:val="0"/>
                      <w:color w:val="auto"/>
                      <w:sz w:val="21"/>
                      <w:szCs w:val="21"/>
                      <w:highlight w:val="none"/>
                      <w:lang w:val="en-US" w:eastAsia="zh-CN" w:bidi="ar-SA"/>
                    </w:rPr>
                  </w:pPr>
                </w:p>
              </w:tc>
              <w:tc>
                <w:tcPr>
                  <w:tcW w:w="2291" w:type="dxa"/>
                  <w:shd w:val="clear" w:color="auto" w:fill="auto"/>
                  <w:vAlign w:val="center"/>
                </w:tcPr>
                <w:p w14:paraId="702EB236">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自卸汽车</w:t>
                  </w:r>
                </w:p>
              </w:tc>
              <w:tc>
                <w:tcPr>
                  <w:tcW w:w="3177" w:type="dxa"/>
                  <w:vAlign w:val="top"/>
                </w:tcPr>
                <w:p w14:paraId="02DFA5EA">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i w:val="0"/>
                      <w:iCs w:val="0"/>
                      <w:snapToGrid w:val="0"/>
                      <w:color w:val="auto"/>
                      <w:kern w:val="0"/>
                      <w:sz w:val="21"/>
                      <w:szCs w:val="21"/>
                      <w:highlight w:val="none"/>
                      <w:u w:val="none"/>
                      <w:lang w:val="en-US" w:eastAsia="zh-CN" w:bidi="ar"/>
                    </w:rPr>
                    <w:t>90</w:t>
                  </w:r>
                </w:p>
              </w:tc>
            </w:tr>
            <w:tr w14:paraId="7C81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top"/>
                </w:tcPr>
                <w:p w14:paraId="785FF46F">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14</w:t>
                  </w:r>
                </w:p>
              </w:tc>
              <w:tc>
                <w:tcPr>
                  <w:tcW w:w="1935" w:type="dxa"/>
                  <w:vMerge w:val="continue"/>
                  <w:vAlign w:val="top"/>
                </w:tcPr>
                <w:p w14:paraId="054B0037">
                  <w:pPr>
                    <w:keepNext w:val="0"/>
                    <w:keepLines w:val="0"/>
                    <w:pageBreakBefore w:val="0"/>
                    <w:wordWrap/>
                    <w:topLinePunct w:val="0"/>
                    <w:autoSpaceDE/>
                    <w:autoSpaceDN/>
                    <w:bidi w:val="0"/>
                    <w:adjustRightInd/>
                    <w:snapToGrid/>
                    <w:spacing w:line="240" w:lineRule="auto"/>
                    <w:ind w:firstLine="0" w:firstLineChars="0"/>
                    <w:jc w:val="center"/>
                    <w:rPr>
                      <w:rFonts w:hint="eastAsia" w:cs="Times New Roman"/>
                      <w:snapToGrid w:val="0"/>
                      <w:color w:val="auto"/>
                      <w:sz w:val="21"/>
                      <w:szCs w:val="21"/>
                      <w:highlight w:val="none"/>
                      <w:lang w:val="en-US" w:eastAsia="zh-CN" w:bidi="ar-SA"/>
                    </w:rPr>
                  </w:pPr>
                </w:p>
              </w:tc>
              <w:tc>
                <w:tcPr>
                  <w:tcW w:w="2291" w:type="dxa"/>
                  <w:shd w:val="clear" w:color="auto" w:fill="auto"/>
                  <w:vAlign w:val="center"/>
                </w:tcPr>
                <w:p w14:paraId="1F34D949">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胶轮车</w:t>
                  </w:r>
                </w:p>
              </w:tc>
              <w:tc>
                <w:tcPr>
                  <w:tcW w:w="3177" w:type="dxa"/>
                  <w:vAlign w:val="top"/>
                </w:tcPr>
                <w:p w14:paraId="3198F129">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i w:val="0"/>
                      <w:iCs w:val="0"/>
                      <w:snapToGrid w:val="0"/>
                      <w:color w:val="auto"/>
                      <w:kern w:val="0"/>
                      <w:sz w:val="21"/>
                      <w:szCs w:val="21"/>
                      <w:highlight w:val="none"/>
                      <w:u w:val="none"/>
                      <w:lang w:val="en-US" w:eastAsia="zh-CN" w:bidi="ar"/>
                    </w:rPr>
                    <w:t>70</w:t>
                  </w:r>
                </w:p>
              </w:tc>
            </w:tr>
            <w:tr w14:paraId="6418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top"/>
                </w:tcPr>
                <w:p w14:paraId="3D342520">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15</w:t>
                  </w:r>
                </w:p>
              </w:tc>
              <w:tc>
                <w:tcPr>
                  <w:tcW w:w="1935" w:type="dxa"/>
                  <w:vMerge w:val="continue"/>
                  <w:vAlign w:val="top"/>
                </w:tcPr>
                <w:p w14:paraId="004A19A1">
                  <w:pPr>
                    <w:keepNext w:val="0"/>
                    <w:keepLines w:val="0"/>
                    <w:pageBreakBefore w:val="0"/>
                    <w:wordWrap/>
                    <w:topLinePunct w:val="0"/>
                    <w:autoSpaceDE/>
                    <w:autoSpaceDN/>
                    <w:bidi w:val="0"/>
                    <w:adjustRightInd/>
                    <w:snapToGrid/>
                    <w:spacing w:line="240" w:lineRule="auto"/>
                    <w:ind w:firstLine="0" w:firstLineChars="0"/>
                    <w:jc w:val="center"/>
                    <w:rPr>
                      <w:rFonts w:hint="eastAsia" w:cs="Times New Roman"/>
                      <w:snapToGrid w:val="0"/>
                      <w:color w:val="auto"/>
                      <w:sz w:val="21"/>
                      <w:szCs w:val="21"/>
                      <w:highlight w:val="none"/>
                      <w:lang w:val="en-US" w:eastAsia="zh-CN" w:bidi="ar-SA"/>
                    </w:rPr>
                  </w:pPr>
                </w:p>
              </w:tc>
              <w:tc>
                <w:tcPr>
                  <w:tcW w:w="2291" w:type="dxa"/>
                  <w:shd w:val="clear" w:color="auto" w:fill="auto"/>
                  <w:vAlign w:val="center"/>
                </w:tcPr>
                <w:p w14:paraId="0AA6D433">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汽车起重机</w:t>
                  </w:r>
                </w:p>
              </w:tc>
              <w:tc>
                <w:tcPr>
                  <w:tcW w:w="3177" w:type="dxa"/>
                  <w:vAlign w:val="top"/>
                </w:tcPr>
                <w:p w14:paraId="018D9F1C">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85</w:t>
                  </w:r>
                </w:p>
              </w:tc>
            </w:tr>
            <w:tr w14:paraId="7794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top"/>
                </w:tcPr>
                <w:p w14:paraId="6DFB3314">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16</w:t>
                  </w:r>
                </w:p>
              </w:tc>
              <w:tc>
                <w:tcPr>
                  <w:tcW w:w="1935" w:type="dxa"/>
                  <w:vMerge w:val="continue"/>
                  <w:vAlign w:val="top"/>
                </w:tcPr>
                <w:p w14:paraId="5B28F05C">
                  <w:pPr>
                    <w:keepNext w:val="0"/>
                    <w:keepLines w:val="0"/>
                    <w:pageBreakBefore w:val="0"/>
                    <w:wordWrap/>
                    <w:topLinePunct w:val="0"/>
                    <w:autoSpaceDE/>
                    <w:autoSpaceDN/>
                    <w:bidi w:val="0"/>
                    <w:adjustRightInd/>
                    <w:snapToGrid/>
                    <w:spacing w:line="240" w:lineRule="auto"/>
                    <w:ind w:firstLine="0" w:firstLineChars="0"/>
                    <w:jc w:val="center"/>
                    <w:rPr>
                      <w:rFonts w:hint="eastAsia" w:cs="Times New Roman"/>
                      <w:snapToGrid w:val="0"/>
                      <w:color w:val="auto"/>
                      <w:sz w:val="21"/>
                      <w:szCs w:val="21"/>
                      <w:highlight w:val="none"/>
                      <w:lang w:val="en-US" w:eastAsia="zh-CN" w:bidi="ar-SA"/>
                    </w:rPr>
                  </w:pPr>
                </w:p>
              </w:tc>
              <w:tc>
                <w:tcPr>
                  <w:tcW w:w="2291" w:type="dxa"/>
                  <w:shd w:val="clear" w:color="auto" w:fill="auto"/>
                  <w:vAlign w:val="center"/>
                </w:tcPr>
                <w:p w14:paraId="20767CCE">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电动葫芦</w:t>
                  </w:r>
                </w:p>
              </w:tc>
              <w:tc>
                <w:tcPr>
                  <w:tcW w:w="3177" w:type="dxa"/>
                  <w:vAlign w:val="top"/>
                </w:tcPr>
                <w:p w14:paraId="69A2D91B">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70</w:t>
                  </w:r>
                </w:p>
              </w:tc>
            </w:tr>
            <w:tr w14:paraId="3201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top"/>
                </w:tcPr>
                <w:p w14:paraId="5F78A1C9">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17</w:t>
                  </w:r>
                </w:p>
              </w:tc>
              <w:tc>
                <w:tcPr>
                  <w:tcW w:w="1935" w:type="dxa"/>
                  <w:vMerge w:val="continue"/>
                  <w:vAlign w:val="top"/>
                </w:tcPr>
                <w:p w14:paraId="2478570C">
                  <w:pPr>
                    <w:keepNext w:val="0"/>
                    <w:keepLines w:val="0"/>
                    <w:pageBreakBefore w:val="0"/>
                    <w:wordWrap/>
                    <w:topLinePunct w:val="0"/>
                    <w:autoSpaceDE/>
                    <w:autoSpaceDN/>
                    <w:bidi w:val="0"/>
                    <w:adjustRightInd/>
                    <w:snapToGrid/>
                    <w:spacing w:line="240" w:lineRule="auto"/>
                    <w:ind w:firstLine="0" w:firstLineChars="0"/>
                    <w:jc w:val="center"/>
                    <w:rPr>
                      <w:rFonts w:hint="eastAsia" w:cs="Times New Roman"/>
                      <w:snapToGrid w:val="0"/>
                      <w:color w:val="auto"/>
                      <w:sz w:val="21"/>
                      <w:szCs w:val="21"/>
                      <w:highlight w:val="none"/>
                      <w:lang w:val="en-US" w:eastAsia="zh-CN" w:bidi="ar-SA"/>
                    </w:rPr>
                  </w:pPr>
                </w:p>
              </w:tc>
              <w:tc>
                <w:tcPr>
                  <w:tcW w:w="2291" w:type="dxa"/>
                  <w:shd w:val="clear" w:color="auto" w:fill="auto"/>
                  <w:vAlign w:val="center"/>
                </w:tcPr>
                <w:p w14:paraId="15A63319">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电焊机</w:t>
                  </w:r>
                </w:p>
              </w:tc>
              <w:tc>
                <w:tcPr>
                  <w:tcW w:w="3177" w:type="dxa"/>
                  <w:vAlign w:val="top"/>
                </w:tcPr>
                <w:p w14:paraId="651D877E">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85</w:t>
                  </w:r>
                </w:p>
              </w:tc>
            </w:tr>
            <w:tr w14:paraId="7A2E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top"/>
                </w:tcPr>
                <w:p w14:paraId="5BBBFAAD">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18</w:t>
                  </w:r>
                </w:p>
              </w:tc>
              <w:tc>
                <w:tcPr>
                  <w:tcW w:w="1935" w:type="dxa"/>
                  <w:vMerge w:val="continue"/>
                  <w:vAlign w:val="top"/>
                </w:tcPr>
                <w:p w14:paraId="4F1390B3">
                  <w:pPr>
                    <w:keepNext w:val="0"/>
                    <w:keepLines w:val="0"/>
                    <w:pageBreakBefore w:val="0"/>
                    <w:wordWrap/>
                    <w:topLinePunct w:val="0"/>
                    <w:autoSpaceDE/>
                    <w:autoSpaceDN/>
                    <w:bidi w:val="0"/>
                    <w:adjustRightInd/>
                    <w:snapToGrid/>
                    <w:spacing w:line="240" w:lineRule="auto"/>
                    <w:ind w:firstLine="0" w:firstLineChars="0"/>
                    <w:jc w:val="center"/>
                    <w:rPr>
                      <w:rFonts w:hint="eastAsia" w:cs="Times New Roman"/>
                      <w:snapToGrid w:val="0"/>
                      <w:color w:val="auto"/>
                      <w:sz w:val="21"/>
                      <w:szCs w:val="21"/>
                      <w:highlight w:val="none"/>
                      <w:lang w:val="en-US" w:eastAsia="zh-CN" w:bidi="ar-SA"/>
                    </w:rPr>
                  </w:pPr>
                </w:p>
              </w:tc>
              <w:tc>
                <w:tcPr>
                  <w:tcW w:w="2291" w:type="dxa"/>
                  <w:shd w:val="clear" w:color="auto" w:fill="auto"/>
                  <w:vAlign w:val="center"/>
                </w:tcPr>
                <w:p w14:paraId="0B543DE5">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对焊机</w:t>
                  </w:r>
                </w:p>
              </w:tc>
              <w:tc>
                <w:tcPr>
                  <w:tcW w:w="3177" w:type="dxa"/>
                  <w:vAlign w:val="top"/>
                </w:tcPr>
                <w:p w14:paraId="6DA5BCA3">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85</w:t>
                  </w:r>
                </w:p>
              </w:tc>
            </w:tr>
            <w:tr w14:paraId="6883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top"/>
                </w:tcPr>
                <w:p w14:paraId="3A759653">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19</w:t>
                  </w:r>
                </w:p>
              </w:tc>
              <w:tc>
                <w:tcPr>
                  <w:tcW w:w="1935" w:type="dxa"/>
                  <w:vMerge w:val="continue"/>
                  <w:vAlign w:val="top"/>
                </w:tcPr>
                <w:p w14:paraId="254F83E2">
                  <w:pPr>
                    <w:keepNext w:val="0"/>
                    <w:keepLines w:val="0"/>
                    <w:pageBreakBefore w:val="0"/>
                    <w:wordWrap/>
                    <w:topLinePunct w:val="0"/>
                    <w:autoSpaceDE/>
                    <w:autoSpaceDN/>
                    <w:bidi w:val="0"/>
                    <w:adjustRightInd/>
                    <w:snapToGrid/>
                    <w:spacing w:line="240" w:lineRule="auto"/>
                    <w:ind w:firstLine="0" w:firstLineChars="0"/>
                    <w:jc w:val="center"/>
                    <w:rPr>
                      <w:rFonts w:hint="eastAsia" w:cs="Times New Roman"/>
                      <w:snapToGrid w:val="0"/>
                      <w:color w:val="auto"/>
                      <w:sz w:val="21"/>
                      <w:szCs w:val="21"/>
                      <w:highlight w:val="none"/>
                      <w:lang w:val="en-US" w:eastAsia="zh-CN" w:bidi="ar-SA"/>
                    </w:rPr>
                  </w:pPr>
                </w:p>
              </w:tc>
              <w:tc>
                <w:tcPr>
                  <w:tcW w:w="2291" w:type="dxa"/>
                  <w:shd w:val="clear" w:color="auto" w:fill="auto"/>
                  <w:vAlign w:val="center"/>
                </w:tcPr>
                <w:p w14:paraId="0A2379C6">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钢筋弯曲机</w:t>
                  </w:r>
                </w:p>
              </w:tc>
              <w:tc>
                <w:tcPr>
                  <w:tcW w:w="3177" w:type="dxa"/>
                  <w:vAlign w:val="top"/>
                </w:tcPr>
                <w:p w14:paraId="747A2606">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80</w:t>
                  </w:r>
                </w:p>
              </w:tc>
            </w:tr>
            <w:tr w14:paraId="5F79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top"/>
                </w:tcPr>
                <w:p w14:paraId="7CC8A6E6">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20</w:t>
                  </w:r>
                </w:p>
              </w:tc>
              <w:tc>
                <w:tcPr>
                  <w:tcW w:w="1935" w:type="dxa"/>
                  <w:vMerge w:val="continue"/>
                  <w:vAlign w:val="top"/>
                </w:tcPr>
                <w:p w14:paraId="7AB46BD5">
                  <w:pPr>
                    <w:keepNext w:val="0"/>
                    <w:keepLines w:val="0"/>
                    <w:pageBreakBefore w:val="0"/>
                    <w:wordWrap/>
                    <w:topLinePunct w:val="0"/>
                    <w:autoSpaceDE/>
                    <w:autoSpaceDN/>
                    <w:bidi w:val="0"/>
                    <w:adjustRightInd/>
                    <w:snapToGrid/>
                    <w:spacing w:line="240" w:lineRule="auto"/>
                    <w:ind w:firstLine="0" w:firstLineChars="0"/>
                    <w:jc w:val="center"/>
                    <w:rPr>
                      <w:rFonts w:hint="eastAsia" w:cs="Times New Roman"/>
                      <w:snapToGrid w:val="0"/>
                      <w:color w:val="auto"/>
                      <w:sz w:val="21"/>
                      <w:szCs w:val="21"/>
                      <w:highlight w:val="none"/>
                      <w:lang w:val="en-US" w:eastAsia="zh-CN" w:bidi="ar-SA"/>
                    </w:rPr>
                  </w:pPr>
                </w:p>
              </w:tc>
              <w:tc>
                <w:tcPr>
                  <w:tcW w:w="2291" w:type="dxa"/>
                  <w:shd w:val="clear" w:color="auto" w:fill="auto"/>
                  <w:vAlign w:val="center"/>
                </w:tcPr>
                <w:p w14:paraId="779A0051">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钢筋切断机</w:t>
                  </w:r>
                </w:p>
              </w:tc>
              <w:tc>
                <w:tcPr>
                  <w:tcW w:w="3177" w:type="dxa"/>
                  <w:vAlign w:val="top"/>
                </w:tcPr>
                <w:p w14:paraId="2DFEFABC">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90</w:t>
                  </w:r>
                </w:p>
              </w:tc>
            </w:tr>
            <w:tr w14:paraId="3AC3E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top"/>
                </w:tcPr>
                <w:p w14:paraId="6B0E0567">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21</w:t>
                  </w:r>
                </w:p>
              </w:tc>
              <w:tc>
                <w:tcPr>
                  <w:tcW w:w="1935" w:type="dxa"/>
                  <w:vMerge w:val="continue"/>
                  <w:vAlign w:val="top"/>
                </w:tcPr>
                <w:p w14:paraId="15C5BB27">
                  <w:pPr>
                    <w:keepNext w:val="0"/>
                    <w:keepLines w:val="0"/>
                    <w:pageBreakBefore w:val="0"/>
                    <w:wordWrap/>
                    <w:topLinePunct w:val="0"/>
                    <w:autoSpaceDE/>
                    <w:autoSpaceDN/>
                    <w:bidi w:val="0"/>
                    <w:adjustRightInd/>
                    <w:snapToGrid/>
                    <w:spacing w:line="240" w:lineRule="auto"/>
                    <w:ind w:firstLine="0" w:firstLineChars="0"/>
                    <w:jc w:val="center"/>
                    <w:rPr>
                      <w:rFonts w:hint="eastAsia" w:cs="Times New Roman"/>
                      <w:snapToGrid w:val="0"/>
                      <w:color w:val="auto"/>
                      <w:sz w:val="21"/>
                      <w:szCs w:val="21"/>
                      <w:highlight w:val="none"/>
                      <w:lang w:val="en-US" w:eastAsia="zh-CN" w:bidi="ar-SA"/>
                    </w:rPr>
                  </w:pPr>
                </w:p>
              </w:tc>
              <w:tc>
                <w:tcPr>
                  <w:tcW w:w="2291" w:type="dxa"/>
                  <w:shd w:val="clear" w:color="auto" w:fill="auto"/>
                  <w:vAlign w:val="center"/>
                </w:tcPr>
                <w:p w14:paraId="1A96F2E4">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钢筋调直机</w:t>
                  </w:r>
                </w:p>
              </w:tc>
              <w:tc>
                <w:tcPr>
                  <w:tcW w:w="3177" w:type="dxa"/>
                  <w:vAlign w:val="top"/>
                </w:tcPr>
                <w:p w14:paraId="1D58B909">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top"/>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85</w:t>
                  </w:r>
                </w:p>
              </w:tc>
            </w:tr>
            <w:tr w14:paraId="7B42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vAlign w:val="top"/>
                </w:tcPr>
                <w:p w14:paraId="72084E91">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eastAsia" w:cs="Times New Roman"/>
                      <w:snapToGrid w:val="0"/>
                      <w:color w:val="auto"/>
                      <w:sz w:val="21"/>
                      <w:szCs w:val="21"/>
                      <w:highlight w:val="none"/>
                      <w:lang w:val="en-US" w:eastAsia="zh-CN" w:bidi="ar-SA"/>
                    </w:rPr>
                    <w:t>22</w:t>
                  </w:r>
                </w:p>
              </w:tc>
              <w:tc>
                <w:tcPr>
                  <w:tcW w:w="1935" w:type="dxa"/>
                  <w:vMerge w:val="continue"/>
                  <w:vAlign w:val="top"/>
                </w:tcPr>
                <w:p w14:paraId="4FC1ACC1">
                  <w:pPr>
                    <w:keepNext w:val="0"/>
                    <w:keepLines w:val="0"/>
                    <w:pageBreakBefore w:val="0"/>
                    <w:wordWrap/>
                    <w:topLinePunct w:val="0"/>
                    <w:autoSpaceDE/>
                    <w:autoSpaceDN/>
                    <w:bidi w:val="0"/>
                    <w:adjustRightInd/>
                    <w:snapToGrid/>
                    <w:spacing w:line="240" w:lineRule="auto"/>
                    <w:ind w:firstLine="0" w:firstLineChars="0"/>
                    <w:jc w:val="center"/>
                    <w:rPr>
                      <w:rFonts w:hint="eastAsia" w:cs="Times New Roman"/>
                      <w:snapToGrid w:val="0"/>
                      <w:color w:val="auto"/>
                      <w:sz w:val="21"/>
                      <w:szCs w:val="21"/>
                      <w:highlight w:val="none"/>
                      <w:lang w:val="en-US" w:eastAsia="zh-CN" w:bidi="ar-SA"/>
                    </w:rPr>
                  </w:pPr>
                </w:p>
              </w:tc>
              <w:tc>
                <w:tcPr>
                  <w:tcW w:w="2291" w:type="dxa"/>
                  <w:shd w:val="clear" w:color="auto" w:fill="auto"/>
                  <w:vAlign w:val="center"/>
                </w:tcPr>
                <w:p w14:paraId="6D85F437">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cs="Times New Roman"/>
                      <w:color w:val="auto"/>
                      <w:sz w:val="21"/>
                      <w:szCs w:val="21"/>
                      <w:highlight w:val="none"/>
                      <w:lang w:val="en-US" w:eastAsia="zh-CN"/>
                    </w:rPr>
                    <w:t>柴油发电机</w:t>
                  </w:r>
                </w:p>
              </w:tc>
              <w:tc>
                <w:tcPr>
                  <w:tcW w:w="3177" w:type="dxa"/>
                  <w:shd w:val="clear" w:color="auto" w:fill="auto"/>
                  <w:vAlign w:val="center"/>
                </w:tcPr>
                <w:p w14:paraId="4A09BC2A">
                  <w:pPr>
                    <w:keepNext w:val="0"/>
                    <w:keepLines w:val="0"/>
                    <w:pageBreakBefore w:val="0"/>
                    <w:widowControl/>
                    <w:suppressLineNumbers w:val="0"/>
                    <w:wordWrap/>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i w:val="0"/>
                      <w:iCs w:val="0"/>
                      <w:snapToGrid w:val="0"/>
                      <w:color w:val="auto"/>
                      <w:kern w:val="0"/>
                      <w:sz w:val="21"/>
                      <w:szCs w:val="21"/>
                      <w:highlight w:val="none"/>
                      <w:u w:val="none"/>
                      <w:lang w:val="en-US" w:eastAsia="zh-CN" w:bidi="ar"/>
                    </w:rPr>
                    <w:t>85</w:t>
                  </w:r>
                </w:p>
              </w:tc>
            </w:tr>
          </w:tbl>
          <w:p w14:paraId="14DAE8D7">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4.2.3.</w:t>
            </w:r>
            <w:r>
              <w:rPr>
                <w:rFonts w:hint="eastAsia" w:cs="Times New Roman"/>
                <w:b/>
                <w:bCs/>
                <w:color w:val="auto"/>
                <w:highlight w:val="none"/>
                <w:lang w:val="en-US" w:eastAsia="zh-CN"/>
              </w:rPr>
              <w:t>1.</w:t>
            </w:r>
            <w:r>
              <w:rPr>
                <w:rFonts w:hint="default" w:ascii="Times New Roman" w:hAnsi="Times New Roman" w:cs="Times New Roman"/>
                <w:b/>
                <w:bCs/>
                <w:color w:val="auto"/>
                <w:highlight w:val="none"/>
              </w:rPr>
              <w:t>2 噪声影响分析</w:t>
            </w:r>
          </w:p>
          <w:p w14:paraId="709D581F">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（1）噪声源强分析</w:t>
            </w:r>
          </w:p>
          <w:p w14:paraId="3318710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噪声源主要包括：场地清理和工程开挖等使用施工机械的固定声源噪声以及施工运输车辆的流动噪声声源。施工过程中产生的噪声对周围区域环境有一定的影响。这种影响是短期的、暂时的，而且具有局部路段特性。</w:t>
            </w:r>
          </w:p>
          <w:p w14:paraId="1FC7C20E">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施工噪声可近似视为点声源处理，其衰减模式如下：</w:t>
            </w:r>
          </w:p>
          <w:p w14:paraId="42C3FFF0">
            <w:pPr>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rPr>
              <w:t>p</w:t>
            </w: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rPr>
              <w:t>po</w:t>
            </w:r>
            <w:r>
              <w:rPr>
                <w:rFonts w:hint="default" w:ascii="Times New Roman" w:hAnsi="Times New Roman" w:cs="Times New Roman"/>
                <w:color w:val="auto"/>
                <w:highlight w:val="none"/>
              </w:rPr>
              <w:t>-20lg(r/r</w:t>
            </w:r>
            <w:r>
              <w:rPr>
                <w:rFonts w:hint="default" w:ascii="Times New Roman" w:hAnsi="Times New Roman" w:cs="Times New Roman"/>
                <w:color w:val="auto"/>
                <w:highlight w:val="none"/>
                <w:vertAlign w:val="subscript"/>
              </w:rPr>
              <w:t>o</w:t>
            </w:r>
            <w:r>
              <w:rPr>
                <w:rFonts w:hint="default" w:ascii="Times New Roman" w:hAnsi="Times New Roman" w:cs="Times New Roman"/>
                <w:color w:val="auto"/>
                <w:highlight w:val="none"/>
              </w:rPr>
              <w:t>)－△L</w:t>
            </w:r>
          </w:p>
          <w:p w14:paraId="20D63AB1">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式中：L</w:t>
            </w:r>
            <w:r>
              <w:rPr>
                <w:rFonts w:hint="default" w:ascii="Times New Roman" w:hAnsi="Times New Roman" w:cs="Times New Roman"/>
                <w:color w:val="auto"/>
                <w:highlight w:val="none"/>
                <w:vertAlign w:val="subscript"/>
              </w:rPr>
              <w:t>p</w:t>
            </w:r>
            <w:r>
              <w:rPr>
                <w:rFonts w:hint="default" w:ascii="Times New Roman" w:hAnsi="Times New Roman" w:cs="Times New Roman"/>
                <w:color w:val="auto"/>
                <w:highlight w:val="none"/>
              </w:rPr>
              <w:t>——距声源r米处的施工噪声预测值，dB(A)；</w:t>
            </w:r>
          </w:p>
          <w:p w14:paraId="1693C02A">
            <w:pPr>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rPr>
              <w:t>po</w:t>
            </w:r>
            <w:r>
              <w:rPr>
                <w:rFonts w:hint="default" w:ascii="Times New Roman" w:hAnsi="Times New Roman" w:cs="Times New Roman"/>
                <w:color w:val="auto"/>
                <w:highlight w:val="none"/>
              </w:rPr>
              <w:t>——距声源ro米处的参考声级，dB(A)；</w:t>
            </w:r>
          </w:p>
          <w:p w14:paraId="10C7297F">
            <w:pPr>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r</w:t>
            </w:r>
            <w:r>
              <w:rPr>
                <w:rFonts w:hint="default" w:ascii="Times New Roman" w:hAnsi="Times New Roman" w:cs="Times New Roman"/>
                <w:color w:val="auto"/>
                <w:highlight w:val="none"/>
                <w:vertAlign w:val="subscript"/>
              </w:rPr>
              <w:t>o</w:t>
            </w:r>
            <w:r>
              <w:rPr>
                <w:rFonts w:hint="default" w:ascii="Times New Roman" w:hAnsi="Times New Roman" w:cs="Times New Roman"/>
                <w:color w:val="auto"/>
                <w:highlight w:val="none"/>
              </w:rPr>
              <w:t>——L</w:t>
            </w:r>
            <w:r>
              <w:rPr>
                <w:rFonts w:hint="default" w:ascii="Times New Roman" w:hAnsi="Times New Roman" w:cs="Times New Roman"/>
                <w:color w:val="auto"/>
                <w:highlight w:val="none"/>
                <w:vertAlign w:val="subscript"/>
              </w:rPr>
              <w:t>po</w:t>
            </w:r>
            <w:r>
              <w:rPr>
                <w:rFonts w:hint="default" w:ascii="Times New Roman" w:hAnsi="Times New Roman" w:cs="Times New Roman"/>
                <w:color w:val="auto"/>
                <w:highlight w:val="none"/>
              </w:rPr>
              <w:t>噪声的测点距离（5米或1米），m。</w:t>
            </w:r>
          </w:p>
          <w:p w14:paraId="38E44EC5">
            <w:pPr>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△L——采取各种措施后的噪声衰减量，dB(A)。</w:t>
            </w:r>
          </w:p>
          <w:p w14:paraId="0951C9F2">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施工期主要噪声源有施工机械如挖掘机、运输汽车等。根据上式，估算出主要施工机械噪声随距离的衰减</w:t>
            </w:r>
            <w:r>
              <w:rPr>
                <w:rFonts w:hint="default" w:ascii="Times New Roman" w:hAnsi="Times New Roman" w:cs="Times New Roman"/>
                <w:b w:val="0"/>
                <w:bCs w:val="0"/>
                <w:color w:val="auto"/>
                <w:highlight w:val="none"/>
              </w:rPr>
              <w:t>结果见表4.2-3。</w:t>
            </w:r>
          </w:p>
          <w:p w14:paraId="42F0E44B">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表4.2-3 主要施工机械在不同距离的噪声预测值Leq[dB(A)]</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9"/>
              <w:gridCol w:w="961"/>
              <w:gridCol w:w="811"/>
              <w:gridCol w:w="769"/>
              <w:gridCol w:w="830"/>
              <w:gridCol w:w="864"/>
              <w:gridCol w:w="825"/>
              <w:gridCol w:w="927"/>
              <w:gridCol w:w="913"/>
            </w:tblGrid>
            <w:tr w14:paraId="2A26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5" w:type="pct"/>
                  <w:vMerge w:val="restart"/>
                  <w:noWrap w:val="0"/>
                  <w:vAlign w:val="center"/>
                </w:tcPr>
                <w:p w14:paraId="46E30F3D">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施工机械</w:t>
                  </w:r>
                </w:p>
              </w:tc>
              <w:tc>
                <w:tcPr>
                  <w:tcW w:w="3984" w:type="pct"/>
                  <w:gridSpan w:val="8"/>
                  <w:noWrap w:val="0"/>
                  <w:vAlign w:val="center"/>
                </w:tcPr>
                <w:p w14:paraId="15381328">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距离（m）</w:t>
                  </w:r>
                </w:p>
              </w:tc>
            </w:tr>
            <w:tr w14:paraId="3BB1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5" w:type="pct"/>
                  <w:vMerge w:val="continue"/>
                  <w:noWrap w:val="0"/>
                  <w:vAlign w:val="center"/>
                </w:tcPr>
                <w:p w14:paraId="010DAE47">
                  <w:pPr>
                    <w:keepNext w:val="0"/>
                    <w:keepLines w:val="0"/>
                    <w:pageBreakBefore w:val="0"/>
                    <w:wordWrap/>
                    <w:topLinePunct w:val="0"/>
                    <w:autoSpaceDE/>
                    <w:autoSpaceDN/>
                    <w:bidi w:val="0"/>
                    <w:adjustRightInd/>
                    <w:snapToGrid/>
                    <w:spacing w:line="240" w:lineRule="auto"/>
                    <w:ind w:firstLine="0" w:firstLineChars="0"/>
                    <w:jc w:val="center"/>
                    <w:rPr>
                      <w:rFonts w:hint="default" w:ascii="Times New Roman" w:hAnsi="Times New Roman" w:cs="Times New Roman"/>
                      <w:b/>
                      <w:bCs/>
                      <w:color w:val="auto"/>
                      <w:sz w:val="21"/>
                      <w:szCs w:val="21"/>
                      <w:highlight w:val="none"/>
                    </w:rPr>
                  </w:pPr>
                </w:p>
              </w:tc>
              <w:tc>
                <w:tcPr>
                  <w:tcW w:w="554" w:type="pct"/>
                  <w:shd w:val="clear" w:color="auto" w:fill="auto"/>
                  <w:noWrap w:val="0"/>
                  <w:vAlign w:val="center"/>
                </w:tcPr>
                <w:p w14:paraId="7B0615E9">
                  <w:pPr>
                    <w:widowControl/>
                    <w:spacing w:line="240" w:lineRule="auto"/>
                    <w:ind w:firstLine="0" w:firstLineChars="0"/>
                    <w:jc w:val="center"/>
                    <w:textAlignment w:val="center"/>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cs="Times New Roman"/>
                      <w:b/>
                      <w:bCs/>
                      <w:color w:val="auto"/>
                      <w:sz w:val="21"/>
                      <w:szCs w:val="21"/>
                      <w:highlight w:val="none"/>
                      <w:lang w:bidi="ar"/>
                    </w:rPr>
                    <w:t>10</w:t>
                  </w:r>
                </w:p>
              </w:tc>
              <w:tc>
                <w:tcPr>
                  <w:tcW w:w="468" w:type="pct"/>
                  <w:shd w:val="clear" w:color="auto" w:fill="auto"/>
                  <w:noWrap w:val="0"/>
                  <w:vAlign w:val="center"/>
                </w:tcPr>
                <w:p w14:paraId="7F9D4424">
                  <w:pPr>
                    <w:widowControl/>
                    <w:spacing w:line="240" w:lineRule="auto"/>
                    <w:ind w:firstLine="0" w:firstLineChars="0"/>
                    <w:jc w:val="center"/>
                    <w:textAlignment w:val="center"/>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cs="Times New Roman"/>
                      <w:b/>
                      <w:bCs/>
                      <w:color w:val="auto"/>
                      <w:sz w:val="21"/>
                      <w:szCs w:val="21"/>
                      <w:highlight w:val="none"/>
                      <w:lang w:bidi="ar"/>
                    </w:rPr>
                    <w:t>20</w:t>
                  </w:r>
                </w:p>
              </w:tc>
              <w:tc>
                <w:tcPr>
                  <w:tcW w:w="444" w:type="pct"/>
                  <w:shd w:val="clear" w:color="auto" w:fill="auto"/>
                  <w:noWrap w:val="0"/>
                  <w:vAlign w:val="center"/>
                </w:tcPr>
                <w:p w14:paraId="3EF17782">
                  <w:pPr>
                    <w:widowControl/>
                    <w:spacing w:line="240" w:lineRule="auto"/>
                    <w:ind w:firstLine="0" w:firstLineChars="0"/>
                    <w:jc w:val="center"/>
                    <w:textAlignment w:val="center"/>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cs="Times New Roman"/>
                      <w:b/>
                      <w:bCs/>
                      <w:color w:val="auto"/>
                      <w:sz w:val="21"/>
                      <w:szCs w:val="21"/>
                      <w:highlight w:val="none"/>
                      <w:lang w:bidi="ar"/>
                    </w:rPr>
                    <w:t>30</w:t>
                  </w:r>
                </w:p>
              </w:tc>
              <w:tc>
                <w:tcPr>
                  <w:tcW w:w="479" w:type="pct"/>
                  <w:shd w:val="clear" w:color="auto" w:fill="auto"/>
                  <w:noWrap w:val="0"/>
                  <w:vAlign w:val="center"/>
                </w:tcPr>
                <w:p w14:paraId="4D79C75C">
                  <w:pPr>
                    <w:widowControl/>
                    <w:spacing w:line="240" w:lineRule="auto"/>
                    <w:ind w:firstLine="0" w:firstLineChars="0"/>
                    <w:jc w:val="center"/>
                    <w:textAlignment w:val="center"/>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cs="Times New Roman"/>
                      <w:b/>
                      <w:bCs/>
                      <w:color w:val="auto"/>
                      <w:sz w:val="21"/>
                      <w:szCs w:val="21"/>
                      <w:highlight w:val="none"/>
                      <w:lang w:bidi="ar"/>
                    </w:rPr>
                    <w:t>50</w:t>
                  </w:r>
                </w:p>
              </w:tc>
              <w:tc>
                <w:tcPr>
                  <w:tcW w:w="498" w:type="pct"/>
                  <w:shd w:val="clear" w:color="auto" w:fill="auto"/>
                  <w:noWrap w:val="0"/>
                  <w:vAlign w:val="center"/>
                </w:tcPr>
                <w:p w14:paraId="62038219">
                  <w:pPr>
                    <w:widowControl/>
                    <w:spacing w:line="240" w:lineRule="auto"/>
                    <w:ind w:firstLine="0" w:firstLineChars="0"/>
                    <w:jc w:val="center"/>
                    <w:textAlignment w:val="center"/>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cs="Times New Roman"/>
                      <w:b/>
                      <w:bCs/>
                      <w:color w:val="auto"/>
                      <w:sz w:val="21"/>
                      <w:szCs w:val="21"/>
                      <w:highlight w:val="none"/>
                      <w:lang w:bidi="ar"/>
                    </w:rPr>
                    <w:t>60</w:t>
                  </w:r>
                </w:p>
              </w:tc>
              <w:tc>
                <w:tcPr>
                  <w:tcW w:w="476" w:type="pct"/>
                  <w:shd w:val="clear" w:color="auto" w:fill="auto"/>
                  <w:noWrap w:val="0"/>
                  <w:vAlign w:val="center"/>
                </w:tcPr>
                <w:p w14:paraId="3EF25C15">
                  <w:pPr>
                    <w:widowControl/>
                    <w:spacing w:line="240" w:lineRule="auto"/>
                    <w:ind w:firstLine="0" w:firstLineChars="0"/>
                    <w:jc w:val="center"/>
                    <w:textAlignment w:val="center"/>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cs="Times New Roman"/>
                      <w:b/>
                      <w:bCs/>
                      <w:color w:val="auto"/>
                      <w:sz w:val="21"/>
                      <w:szCs w:val="21"/>
                      <w:highlight w:val="none"/>
                      <w:lang w:bidi="ar"/>
                    </w:rPr>
                    <w:t>100</w:t>
                  </w:r>
                </w:p>
              </w:tc>
              <w:tc>
                <w:tcPr>
                  <w:tcW w:w="535" w:type="pct"/>
                  <w:shd w:val="clear" w:color="auto" w:fill="auto"/>
                  <w:noWrap w:val="0"/>
                  <w:vAlign w:val="center"/>
                </w:tcPr>
                <w:p w14:paraId="4E190871">
                  <w:pPr>
                    <w:widowControl/>
                    <w:spacing w:line="240" w:lineRule="auto"/>
                    <w:ind w:firstLine="0" w:firstLineChars="0"/>
                    <w:jc w:val="center"/>
                    <w:textAlignment w:val="center"/>
                    <w:rPr>
                      <w:rFonts w:hint="default" w:ascii="Times New Roman" w:hAnsi="Times New Roman" w:eastAsia="宋体" w:cs="Times New Roman"/>
                      <w:b/>
                      <w:bCs/>
                      <w:snapToGrid w:val="0"/>
                      <w:color w:val="auto"/>
                      <w:sz w:val="21"/>
                      <w:szCs w:val="21"/>
                      <w:highlight w:val="none"/>
                      <w:lang w:val="en-US" w:eastAsia="zh-CN" w:bidi="ar-SA"/>
                    </w:rPr>
                  </w:pPr>
                  <w:r>
                    <w:rPr>
                      <w:rFonts w:hint="eastAsia" w:cs="Times New Roman"/>
                      <w:b/>
                      <w:bCs/>
                      <w:color w:val="auto"/>
                      <w:sz w:val="21"/>
                      <w:szCs w:val="21"/>
                      <w:highlight w:val="none"/>
                      <w:lang w:val="en-US" w:eastAsia="zh-CN" w:bidi="ar"/>
                    </w:rPr>
                    <w:t>200</w:t>
                  </w:r>
                </w:p>
              </w:tc>
              <w:tc>
                <w:tcPr>
                  <w:tcW w:w="527" w:type="pct"/>
                  <w:shd w:val="clear" w:color="auto" w:fill="auto"/>
                  <w:noWrap w:val="0"/>
                  <w:vAlign w:val="center"/>
                </w:tcPr>
                <w:p w14:paraId="56EBBA64">
                  <w:pPr>
                    <w:widowControl/>
                    <w:spacing w:line="240" w:lineRule="auto"/>
                    <w:ind w:firstLine="0" w:firstLineChars="0"/>
                    <w:jc w:val="center"/>
                    <w:textAlignment w:val="center"/>
                    <w:rPr>
                      <w:rFonts w:hint="default" w:ascii="Times New Roman" w:hAnsi="Times New Roman" w:eastAsia="宋体" w:cs="Times New Roman"/>
                      <w:b/>
                      <w:bCs/>
                      <w:snapToGrid w:val="0"/>
                      <w:color w:val="auto"/>
                      <w:sz w:val="21"/>
                      <w:szCs w:val="21"/>
                      <w:highlight w:val="none"/>
                      <w:lang w:val="en-US" w:eastAsia="zh-CN" w:bidi="ar-SA"/>
                    </w:rPr>
                  </w:pPr>
                  <w:r>
                    <w:rPr>
                      <w:rFonts w:hint="eastAsia" w:cs="Times New Roman"/>
                      <w:b/>
                      <w:bCs/>
                      <w:color w:val="auto"/>
                      <w:sz w:val="21"/>
                      <w:szCs w:val="21"/>
                      <w:highlight w:val="none"/>
                      <w:lang w:val="en-US" w:eastAsia="zh-CN" w:bidi="ar"/>
                    </w:rPr>
                    <w:t>300</w:t>
                  </w:r>
                </w:p>
              </w:tc>
            </w:tr>
            <w:tr w14:paraId="1EC2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5" w:type="pct"/>
                  <w:shd w:val="clear" w:color="auto" w:fill="auto"/>
                  <w:noWrap w:val="0"/>
                  <w:vAlign w:val="center"/>
                </w:tcPr>
                <w:p w14:paraId="7EC363EC">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单斗挖掘机</w:t>
                  </w:r>
                </w:p>
              </w:tc>
              <w:tc>
                <w:tcPr>
                  <w:tcW w:w="961" w:type="dxa"/>
                  <w:noWrap w:val="0"/>
                  <w:vAlign w:val="center"/>
                </w:tcPr>
                <w:p w14:paraId="68EB34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70 </w:t>
                  </w:r>
                </w:p>
              </w:tc>
              <w:tc>
                <w:tcPr>
                  <w:tcW w:w="811" w:type="dxa"/>
                  <w:noWrap w:val="0"/>
                  <w:vAlign w:val="center"/>
                </w:tcPr>
                <w:p w14:paraId="320BB5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64 </w:t>
                  </w:r>
                </w:p>
              </w:tc>
              <w:tc>
                <w:tcPr>
                  <w:tcW w:w="769" w:type="dxa"/>
                  <w:noWrap w:val="0"/>
                  <w:vAlign w:val="center"/>
                </w:tcPr>
                <w:p w14:paraId="3E9DBE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60 </w:t>
                  </w:r>
                </w:p>
              </w:tc>
              <w:tc>
                <w:tcPr>
                  <w:tcW w:w="830" w:type="dxa"/>
                  <w:noWrap w:val="0"/>
                  <w:vAlign w:val="center"/>
                </w:tcPr>
                <w:p w14:paraId="7B32CD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56 </w:t>
                  </w:r>
                </w:p>
              </w:tc>
              <w:tc>
                <w:tcPr>
                  <w:tcW w:w="864" w:type="dxa"/>
                  <w:noWrap w:val="0"/>
                  <w:vAlign w:val="center"/>
                </w:tcPr>
                <w:p w14:paraId="7550FA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54 </w:t>
                  </w:r>
                </w:p>
              </w:tc>
              <w:tc>
                <w:tcPr>
                  <w:tcW w:w="825" w:type="dxa"/>
                  <w:noWrap w:val="0"/>
                  <w:vAlign w:val="center"/>
                </w:tcPr>
                <w:p w14:paraId="6E9F3B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50 </w:t>
                  </w:r>
                </w:p>
              </w:tc>
              <w:tc>
                <w:tcPr>
                  <w:tcW w:w="927" w:type="dxa"/>
                  <w:noWrap w:val="0"/>
                  <w:vAlign w:val="center"/>
                </w:tcPr>
                <w:p w14:paraId="795200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44 </w:t>
                  </w:r>
                </w:p>
              </w:tc>
              <w:tc>
                <w:tcPr>
                  <w:tcW w:w="913" w:type="dxa"/>
                  <w:noWrap w:val="0"/>
                  <w:vAlign w:val="center"/>
                </w:tcPr>
                <w:p w14:paraId="569370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40 </w:t>
                  </w:r>
                </w:p>
              </w:tc>
            </w:tr>
            <w:tr w14:paraId="681B2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5" w:type="pct"/>
                  <w:shd w:val="clear" w:color="auto" w:fill="auto"/>
                  <w:noWrap w:val="0"/>
                  <w:vAlign w:val="center"/>
                </w:tcPr>
                <w:p w14:paraId="79411480">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挖掘机</w:t>
                  </w:r>
                </w:p>
              </w:tc>
              <w:tc>
                <w:tcPr>
                  <w:tcW w:w="961" w:type="dxa"/>
                  <w:noWrap w:val="0"/>
                  <w:vAlign w:val="center"/>
                </w:tcPr>
                <w:p w14:paraId="5B2FD4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70 </w:t>
                  </w:r>
                </w:p>
              </w:tc>
              <w:tc>
                <w:tcPr>
                  <w:tcW w:w="811" w:type="dxa"/>
                  <w:noWrap w:val="0"/>
                  <w:vAlign w:val="center"/>
                </w:tcPr>
                <w:p w14:paraId="1D4E96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64 </w:t>
                  </w:r>
                </w:p>
              </w:tc>
              <w:tc>
                <w:tcPr>
                  <w:tcW w:w="769" w:type="dxa"/>
                  <w:noWrap w:val="0"/>
                  <w:vAlign w:val="center"/>
                </w:tcPr>
                <w:p w14:paraId="34DE8F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60 </w:t>
                  </w:r>
                </w:p>
              </w:tc>
              <w:tc>
                <w:tcPr>
                  <w:tcW w:w="830" w:type="dxa"/>
                  <w:noWrap w:val="0"/>
                  <w:vAlign w:val="center"/>
                </w:tcPr>
                <w:p w14:paraId="36CF63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56 </w:t>
                  </w:r>
                </w:p>
              </w:tc>
              <w:tc>
                <w:tcPr>
                  <w:tcW w:w="864" w:type="dxa"/>
                  <w:noWrap w:val="0"/>
                  <w:vAlign w:val="center"/>
                </w:tcPr>
                <w:p w14:paraId="419B2F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54 </w:t>
                  </w:r>
                </w:p>
              </w:tc>
              <w:tc>
                <w:tcPr>
                  <w:tcW w:w="825" w:type="dxa"/>
                  <w:noWrap w:val="0"/>
                  <w:vAlign w:val="center"/>
                </w:tcPr>
                <w:p w14:paraId="3B5B53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50 </w:t>
                  </w:r>
                </w:p>
              </w:tc>
              <w:tc>
                <w:tcPr>
                  <w:tcW w:w="927" w:type="dxa"/>
                  <w:noWrap w:val="0"/>
                  <w:vAlign w:val="center"/>
                </w:tcPr>
                <w:p w14:paraId="17F719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44 </w:t>
                  </w:r>
                </w:p>
              </w:tc>
              <w:tc>
                <w:tcPr>
                  <w:tcW w:w="913" w:type="dxa"/>
                  <w:noWrap w:val="0"/>
                  <w:vAlign w:val="center"/>
                </w:tcPr>
                <w:p w14:paraId="3C5CF3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40 </w:t>
                  </w:r>
                </w:p>
              </w:tc>
            </w:tr>
            <w:tr w14:paraId="282C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5" w:type="pct"/>
                  <w:shd w:val="clear" w:color="auto" w:fill="auto"/>
                  <w:noWrap w:val="0"/>
                  <w:vAlign w:val="center"/>
                </w:tcPr>
                <w:p w14:paraId="5D44E67C">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推土机</w:t>
                  </w:r>
                </w:p>
              </w:tc>
              <w:tc>
                <w:tcPr>
                  <w:tcW w:w="961" w:type="dxa"/>
                  <w:noWrap w:val="0"/>
                  <w:vAlign w:val="center"/>
                </w:tcPr>
                <w:p w14:paraId="52CEF5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65 </w:t>
                  </w:r>
                </w:p>
              </w:tc>
              <w:tc>
                <w:tcPr>
                  <w:tcW w:w="811" w:type="dxa"/>
                  <w:noWrap w:val="0"/>
                  <w:vAlign w:val="center"/>
                </w:tcPr>
                <w:p w14:paraId="2E76FF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59 </w:t>
                  </w:r>
                </w:p>
              </w:tc>
              <w:tc>
                <w:tcPr>
                  <w:tcW w:w="769" w:type="dxa"/>
                  <w:noWrap w:val="0"/>
                  <w:vAlign w:val="center"/>
                </w:tcPr>
                <w:p w14:paraId="76E2C7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55 </w:t>
                  </w:r>
                </w:p>
              </w:tc>
              <w:tc>
                <w:tcPr>
                  <w:tcW w:w="830" w:type="dxa"/>
                  <w:noWrap w:val="0"/>
                  <w:vAlign w:val="center"/>
                </w:tcPr>
                <w:p w14:paraId="5F4910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51 </w:t>
                  </w:r>
                </w:p>
              </w:tc>
              <w:tc>
                <w:tcPr>
                  <w:tcW w:w="864" w:type="dxa"/>
                  <w:noWrap w:val="0"/>
                  <w:vAlign w:val="center"/>
                </w:tcPr>
                <w:p w14:paraId="44EAD9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49 </w:t>
                  </w:r>
                </w:p>
              </w:tc>
              <w:tc>
                <w:tcPr>
                  <w:tcW w:w="825" w:type="dxa"/>
                  <w:noWrap w:val="0"/>
                  <w:vAlign w:val="center"/>
                </w:tcPr>
                <w:p w14:paraId="4CBEFF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45 </w:t>
                  </w:r>
                </w:p>
              </w:tc>
              <w:tc>
                <w:tcPr>
                  <w:tcW w:w="927" w:type="dxa"/>
                  <w:noWrap w:val="0"/>
                  <w:vAlign w:val="center"/>
                </w:tcPr>
                <w:p w14:paraId="6AA043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39 </w:t>
                  </w:r>
                </w:p>
              </w:tc>
              <w:tc>
                <w:tcPr>
                  <w:tcW w:w="913" w:type="dxa"/>
                  <w:noWrap w:val="0"/>
                  <w:vAlign w:val="center"/>
                </w:tcPr>
                <w:p w14:paraId="0CFAFD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35 </w:t>
                  </w:r>
                </w:p>
              </w:tc>
            </w:tr>
            <w:tr w14:paraId="4DF2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5" w:type="pct"/>
                  <w:shd w:val="clear" w:color="auto" w:fill="auto"/>
                  <w:noWrap w:val="0"/>
                  <w:vAlign w:val="center"/>
                </w:tcPr>
                <w:p w14:paraId="52DCDE75">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蛙式打夯机</w:t>
                  </w:r>
                </w:p>
              </w:tc>
              <w:tc>
                <w:tcPr>
                  <w:tcW w:w="961" w:type="dxa"/>
                  <w:noWrap w:val="0"/>
                  <w:vAlign w:val="center"/>
                </w:tcPr>
                <w:p w14:paraId="51AD1D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70 </w:t>
                  </w:r>
                </w:p>
              </w:tc>
              <w:tc>
                <w:tcPr>
                  <w:tcW w:w="811" w:type="dxa"/>
                  <w:noWrap w:val="0"/>
                  <w:vAlign w:val="center"/>
                </w:tcPr>
                <w:p w14:paraId="55BA05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64 </w:t>
                  </w:r>
                </w:p>
              </w:tc>
              <w:tc>
                <w:tcPr>
                  <w:tcW w:w="769" w:type="dxa"/>
                  <w:noWrap w:val="0"/>
                  <w:vAlign w:val="center"/>
                </w:tcPr>
                <w:p w14:paraId="2093E5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60 </w:t>
                  </w:r>
                </w:p>
              </w:tc>
              <w:tc>
                <w:tcPr>
                  <w:tcW w:w="830" w:type="dxa"/>
                  <w:noWrap w:val="0"/>
                  <w:vAlign w:val="center"/>
                </w:tcPr>
                <w:p w14:paraId="5F6F76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56 </w:t>
                  </w:r>
                </w:p>
              </w:tc>
              <w:tc>
                <w:tcPr>
                  <w:tcW w:w="864" w:type="dxa"/>
                  <w:noWrap w:val="0"/>
                  <w:vAlign w:val="center"/>
                </w:tcPr>
                <w:p w14:paraId="617F7A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54 </w:t>
                  </w:r>
                </w:p>
              </w:tc>
              <w:tc>
                <w:tcPr>
                  <w:tcW w:w="825" w:type="dxa"/>
                  <w:noWrap w:val="0"/>
                  <w:vAlign w:val="center"/>
                </w:tcPr>
                <w:p w14:paraId="2A3CCF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50 </w:t>
                  </w:r>
                </w:p>
              </w:tc>
              <w:tc>
                <w:tcPr>
                  <w:tcW w:w="927" w:type="dxa"/>
                  <w:noWrap w:val="0"/>
                  <w:vAlign w:val="center"/>
                </w:tcPr>
                <w:p w14:paraId="1DC7B7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44 </w:t>
                  </w:r>
                </w:p>
              </w:tc>
              <w:tc>
                <w:tcPr>
                  <w:tcW w:w="913" w:type="dxa"/>
                  <w:noWrap w:val="0"/>
                  <w:vAlign w:val="center"/>
                </w:tcPr>
                <w:p w14:paraId="5AB1BF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40 </w:t>
                  </w:r>
                </w:p>
              </w:tc>
            </w:tr>
            <w:tr w14:paraId="2E82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5" w:type="pct"/>
                  <w:shd w:val="clear" w:color="auto" w:fill="auto"/>
                  <w:noWrap w:val="0"/>
                  <w:vAlign w:val="center"/>
                </w:tcPr>
                <w:p w14:paraId="7E10CEC8">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水泵</w:t>
                  </w:r>
                </w:p>
              </w:tc>
              <w:tc>
                <w:tcPr>
                  <w:tcW w:w="961" w:type="dxa"/>
                  <w:noWrap w:val="0"/>
                  <w:vAlign w:val="center"/>
                </w:tcPr>
                <w:p w14:paraId="032013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65 </w:t>
                  </w:r>
                </w:p>
              </w:tc>
              <w:tc>
                <w:tcPr>
                  <w:tcW w:w="811" w:type="dxa"/>
                  <w:noWrap w:val="0"/>
                  <w:vAlign w:val="center"/>
                </w:tcPr>
                <w:p w14:paraId="494306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59 </w:t>
                  </w:r>
                </w:p>
              </w:tc>
              <w:tc>
                <w:tcPr>
                  <w:tcW w:w="769" w:type="dxa"/>
                  <w:noWrap w:val="0"/>
                  <w:vAlign w:val="center"/>
                </w:tcPr>
                <w:p w14:paraId="6CF5D4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55 </w:t>
                  </w:r>
                </w:p>
              </w:tc>
              <w:tc>
                <w:tcPr>
                  <w:tcW w:w="830" w:type="dxa"/>
                  <w:noWrap w:val="0"/>
                  <w:vAlign w:val="center"/>
                </w:tcPr>
                <w:p w14:paraId="390E70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51 </w:t>
                  </w:r>
                </w:p>
              </w:tc>
              <w:tc>
                <w:tcPr>
                  <w:tcW w:w="864" w:type="dxa"/>
                  <w:noWrap w:val="0"/>
                  <w:vAlign w:val="center"/>
                </w:tcPr>
                <w:p w14:paraId="35C090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49 </w:t>
                  </w:r>
                </w:p>
              </w:tc>
              <w:tc>
                <w:tcPr>
                  <w:tcW w:w="825" w:type="dxa"/>
                  <w:noWrap w:val="0"/>
                  <w:vAlign w:val="center"/>
                </w:tcPr>
                <w:p w14:paraId="025E65D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45 </w:t>
                  </w:r>
                </w:p>
              </w:tc>
              <w:tc>
                <w:tcPr>
                  <w:tcW w:w="927" w:type="dxa"/>
                  <w:noWrap w:val="0"/>
                  <w:vAlign w:val="center"/>
                </w:tcPr>
                <w:p w14:paraId="45BC02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39 </w:t>
                  </w:r>
                </w:p>
              </w:tc>
              <w:tc>
                <w:tcPr>
                  <w:tcW w:w="913" w:type="dxa"/>
                  <w:noWrap w:val="0"/>
                  <w:vAlign w:val="center"/>
                </w:tcPr>
                <w:p w14:paraId="53B319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35 </w:t>
                  </w:r>
                </w:p>
              </w:tc>
            </w:tr>
            <w:tr w14:paraId="194C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5" w:type="pct"/>
                  <w:shd w:val="clear" w:color="auto" w:fill="auto"/>
                  <w:noWrap w:val="0"/>
                  <w:vAlign w:val="center"/>
                </w:tcPr>
                <w:p w14:paraId="692AEC59">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拖拉机履带式</w:t>
                  </w:r>
                </w:p>
              </w:tc>
              <w:tc>
                <w:tcPr>
                  <w:tcW w:w="961" w:type="dxa"/>
                  <w:noWrap w:val="0"/>
                  <w:vAlign w:val="center"/>
                </w:tcPr>
                <w:p w14:paraId="2CD4ED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60 </w:t>
                  </w:r>
                </w:p>
              </w:tc>
              <w:tc>
                <w:tcPr>
                  <w:tcW w:w="811" w:type="dxa"/>
                  <w:noWrap w:val="0"/>
                  <w:vAlign w:val="center"/>
                </w:tcPr>
                <w:p w14:paraId="1E0F97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54 </w:t>
                  </w:r>
                </w:p>
              </w:tc>
              <w:tc>
                <w:tcPr>
                  <w:tcW w:w="769" w:type="dxa"/>
                  <w:noWrap w:val="0"/>
                  <w:vAlign w:val="center"/>
                </w:tcPr>
                <w:p w14:paraId="36BBB8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50 </w:t>
                  </w:r>
                </w:p>
              </w:tc>
              <w:tc>
                <w:tcPr>
                  <w:tcW w:w="830" w:type="dxa"/>
                  <w:noWrap w:val="0"/>
                  <w:vAlign w:val="center"/>
                </w:tcPr>
                <w:p w14:paraId="46F77E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46 </w:t>
                  </w:r>
                </w:p>
              </w:tc>
              <w:tc>
                <w:tcPr>
                  <w:tcW w:w="864" w:type="dxa"/>
                  <w:noWrap w:val="0"/>
                  <w:vAlign w:val="center"/>
                </w:tcPr>
                <w:p w14:paraId="513AF6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44 </w:t>
                  </w:r>
                </w:p>
              </w:tc>
              <w:tc>
                <w:tcPr>
                  <w:tcW w:w="825" w:type="dxa"/>
                  <w:noWrap w:val="0"/>
                  <w:vAlign w:val="center"/>
                </w:tcPr>
                <w:p w14:paraId="4DC52B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40 </w:t>
                  </w:r>
                </w:p>
              </w:tc>
              <w:tc>
                <w:tcPr>
                  <w:tcW w:w="927" w:type="dxa"/>
                  <w:noWrap w:val="0"/>
                  <w:vAlign w:val="center"/>
                </w:tcPr>
                <w:p w14:paraId="0FD66B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34 </w:t>
                  </w:r>
                </w:p>
              </w:tc>
              <w:tc>
                <w:tcPr>
                  <w:tcW w:w="913" w:type="dxa"/>
                  <w:noWrap w:val="0"/>
                  <w:vAlign w:val="center"/>
                </w:tcPr>
                <w:p w14:paraId="346D18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30 </w:t>
                  </w:r>
                </w:p>
              </w:tc>
            </w:tr>
            <w:tr w14:paraId="0A3E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5" w:type="pct"/>
                  <w:shd w:val="clear" w:color="auto" w:fill="auto"/>
                  <w:noWrap w:val="0"/>
                  <w:vAlign w:val="center"/>
                </w:tcPr>
                <w:p w14:paraId="12ADDAFF">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振动碾</w:t>
                  </w:r>
                </w:p>
              </w:tc>
              <w:tc>
                <w:tcPr>
                  <w:tcW w:w="961" w:type="dxa"/>
                  <w:noWrap w:val="0"/>
                  <w:vAlign w:val="center"/>
                </w:tcPr>
                <w:p w14:paraId="2E2816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60 </w:t>
                  </w:r>
                </w:p>
              </w:tc>
              <w:tc>
                <w:tcPr>
                  <w:tcW w:w="811" w:type="dxa"/>
                  <w:noWrap w:val="0"/>
                  <w:vAlign w:val="center"/>
                </w:tcPr>
                <w:p w14:paraId="2F9CB4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54 </w:t>
                  </w:r>
                </w:p>
              </w:tc>
              <w:tc>
                <w:tcPr>
                  <w:tcW w:w="769" w:type="dxa"/>
                  <w:noWrap w:val="0"/>
                  <w:vAlign w:val="center"/>
                </w:tcPr>
                <w:p w14:paraId="2BA482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50 </w:t>
                  </w:r>
                </w:p>
              </w:tc>
              <w:tc>
                <w:tcPr>
                  <w:tcW w:w="830" w:type="dxa"/>
                  <w:noWrap w:val="0"/>
                  <w:vAlign w:val="center"/>
                </w:tcPr>
                <w:p w14:paraId="2A3370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46 </w:t>
                  </w:r>
                </w:p>
              </w:tc>
              <w:tc>
                <w:tcPr>
                  <w:tcW w:w="864" w:type="dxa"/>
                  <w:noWrap w:val="0"/>
                  <w:vAlign w:val="center"/>
                </w:tcPr>
                <w:p w14:paraId="2C156A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44 </w:t>
                  </w:r>
                </w:p>
              </w:tc>
              <w:tc>
                <w:tcPr>
                  <w:tcW w:w="825" w:type="dxa"/>
                  <w:noWrap w:val="0"/>
                  <w:vAlign w:val="center"/>
                </w:tcPr>
                <w:p w14:paraId="0E08CB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40 </w:t>
                  </w:r>
                </w:p>
              </w:tc>
              <w:tc>
                <w:tcPr>
                  <w:tcW w:w="927" w:type="dxa"/>
                  <w:noWrap w:val="0"/>
                  <w:vAlign w:val="center"/>
                </w:tcPr>
                <w:p w14:paraId="701E24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34 </w:t>
                  </w:r>
                </w:p>
              </w:tc>
              <w:tc>
                <w:tcPr>
                  <w:tcW w:w="913" w:type="dxa"/>
                  <w:noWrap w:val="0"/>
                  <w:vAlign w:val="center"/>
                </w:tcPr>
                <w:p w14:paraId="47FC3C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30 </w:t>
                  </w:r>
                </w:p>
              </w:tc>
            </w:tr>
            <w:tr w14:paraId="1D37A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5" w:type="pct"/>
                  <w:shd w:val="clear" w:color="auto" w:fill="auto"/>
                  <w:noWrap w:val="0"/>
                  <w:vAlign w:val="center"/>
                </w:tcPr>
                <w:p w14:paraId="5E91799C">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eastAsia"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混凝土</w:t>
                  </w:r>
                  <w:r>
                    <w:rPr>
                      <w:rFonts w:hint="eastAsia" w:cs="Times New Roman"/>
                      <w:color w:val="auto"/>
                      <w:sz w:val="21"/>
                      <w:szCs w:val="21"/>
                      <w:highlight w:val="none"/>
                      <w:lang w:eastAsia="zh-CN"/>
                    </w:rPr>
                    <w:t>拌和机</w:t>
                  </w:r>
                </w:p>
              </w:tc>
              <w:tc>
                <w:tcPr>
                  <w:tcW w:w="961" w:type="dxa"/>
                  <w:shd w:val="clear" w:color="auto" w:fill="auto"/>
                  <w:noWrap w:val="0"/>
                  <w:vAlign w:val="center"/>
                </w:tcPr>
                <w:p w14:paraId="3B4405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80 </w:t>
                  </w:r>
                </w:p>
              </w:tc>
              <w:tc>
                <w:tcPr>
                  <w:tcW w:w="811" w:type="dxa"/>
                  <w:shd w:val="clear" w:color="auto" w:fill="auto"/>
                  <w:noWrap w:val="0"/>
                  <w:vAlign w:val="center"/>
                </w:tcPr>
                <w:p w14:paraId="3AA2A5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74 </w:t>
                  </w:r>
                </w:p>
              </w:tc>
              <w:tc>
                <w:tcPr>
                  <w:tcW w:w="769" w:type="dxa"/>
                  <w:shd w:val="clear" w:color="auto" w:fill="auto"/>
                  <w:noWrap w:val="0"/>
                  <w:vAlign w:val="center"/>
                </w:tcPr>
                <w:p w14:paraId="429C22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70 </w:t>
                  </w:r>
                </w:p>
              </w:tc>
              <w:tc>
                <w:tcPr>
                  <w:tcW w:w="830" w:type="dxa"/>
                  <w:shd w:val="clear" w:color="auto" w:fill="auto"/>
                  <w:noWrap w:val="0"/>
                  <w:vAlign w:val="center"/>
                </w:tcPr>
                <w:p w14:paraId="741C4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66 </w:t>
                  </w:r>
                </w:p>
              </w:tc>
              <w:tc>
                <w:tcPr>
                  <w:tcW w:w="864" w:type="dxa"/>
                  <w:shd w:val="clear" w:color="auto" w:fill="auto"/>
                  <w:noWrap w:val="0"/>
                  <w:vAlign w:val="center"/>
                </w:tcPr>
                <w:p w14:paraId="4610BE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64 </w:t>
                  </w:r>
                </w:p>
              </w:tc>
              <w:tc>
                <w:tcPr>
                  <w:tcW w:w="825" w:type="dxa"/>
                  <w:shd w:val="clear" w:color="auto" w:fill="auto"/>
                  <w:noWrap w:val="0"/>
                  <w:vAlign w:val="center"/>
                </w:tcPr>
                <w:p w14:paraId="4001DF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60 </w:t>
                  </w:r>
                </w:p>
              </w:tc>
              <w:tc>
                <w:tcPr>
                  <w:tcW w:w="927" w:type="dxa"/>
                  <w:shd w:val="clear" w:color="auto" w:fill="auto"/>
                  <w:noWrap w:val="0"/>
                  <w:vAlign w:val="center"/>
                </w:tcPr>
                <w:p w14:paraId="6268CB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54 </w:t>
                  </w:r>
                </w:p>
              </w:tc>
              <w:tc>
                <w:tcPr>
                  <w:tcW w:w="913" w:type="dxa"/>
                  <w:shd w:val="clear" w:color="auto" w:fill="auto"/>
                  <w:noWrap w:val="0"/>
                  <w:vAlign w:val="center"/>
                </w:tcPr>
                <w:p w14:paraId="57E7E0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50 </w:t>
                  </w:r>
                </w:p>
              </w:tc>
            </w:tr>
            <w:tr w14:paraId="0B82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15" w:type="pct"/>
                  <w:shd w:val="clear" w:color="auto" w:fill="auto"/>
                  <w:noWrap w:val="0"/>
                  <w:vAlign w:val="center"/>
                </w:tcPr>
                <w:p w14:paraId="3523F26F">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混凝土输送泵</w:t>
                  </w:r>
                </w:p>
              </w:tc>
              <w:tc>
                <w:tcPr>
                  <w:tcW w:w="961" w:type="dxa"/>
                  <w:shd w:val="clear" w:color="auto" w:fill="auto"/>
                  <w:noWrap w:val="0"/>
                  <w:vAlign w:val="center"/>
                </w:tcPr>
                <w:p w14:paraId="01A285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65 </w:t>
                  </w:r>
                </w:p>
              </w:tc>
              <w:tc>
                <w:tcPr>
                  <w:tcW w:w="811" w:type="dxa"/>
                  <w:shd w:val="clear" w:color="auto" w:fill="auto"/>
                  <w:noWrap w:val="0"/>
                  <w:vAlign w:val="center"/>
                </w:tcPr>
                <w:p w14:paraId="3F6DC7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59 </w:t>
                  </w:r>
                </w:p>
              </w:tc>
              <w:tc>
                <w:tcPr>
                  <w:tcW w:w="769" w:type="dxa"/>
                  <w:shd w:val="clear" w:color="auto" w:fill="auto"/>
                  <w:noWrap w:val="0"/>
                  <w:vAlign w:val="center"/>
                </w:tcPr>
                <w:p w14:paraId="2A6CD4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55 </w:t>
                  </w:r>
                </w:p>
              </w:tc>
              <w:tc>
                <w:tcPr>
                  <w:tcW w:w="830" w:type="dxa"/>
                  <w:shd w:val="clear" w:color="auto" w:fill="auto"/>
                  <w:noWrap w:val="0"/>
                  <w:vAlign w:val="center"/>
                </w:tcPr>
                <w:p w14:paraId="5CC1BC2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51 </w:t>
                  </w:r>
                </w:p>
              </w:tc>
              <w:tc>
                <w:tcPr>
                  <w:tcW w:w="864" w:type="dxa"/>
                  <w:shd w:val="clear" w:color="auto" w:fill="auto"/>
                  <w:noWrap w:val="0"/>
                  <w:vAlign w:val="center"/>
                </w:tcPr>
                <w:p w14:paraId="4E469B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49 </w:t>
                  </w:r>
                </w:p>
              </w:tc>
              <w:tc>
                <w:tcPr>
                  <w:tcW w:w="825" w:type="dxa"/>
                  <w:shd w:val="clear" w:color="auto" w:fill="auto"/>
                  <w:noWrap w:val="0"/>
                  <w:vAlign w:val="center"/>
                </w:tcPr>
                <w:p w14:paraId="7231A7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45 </w:t>
                  </w:r>
                </w:p>
              </w:tc>
              <w:tc>
                <w:tcPr>
                  <w:tcW w:w="927" w:type="dxa"/>
                  <w:shd w:val="clear" w:color="auto" w:fill="auto"/>
                  <w:noWrap w:val="0"/>
                  <w:vAlign w:val="center"/>
                </w:tcPr>
                <w:p w14:paraId="300FAC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39 </w:t>
                  </w:r>
                </w:p>
              </w:tc>
              <w:tc>
                <w:tcPr>
                  <w:tcW w:w="913" w:type="dxa"/>
                  <w:shd w:val="clear" w:color="auto" w:fill="auto"/>
                  <w:noWrap w:val="0"/>
                  <w:vAlign w:val="center"/>
                </w:tcPr>
                <w:p w14:paraId="18165F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35 </w:t>
                  </w:r>
                </w:p>
              </w:tc>
            </w:tr>
            <w:tr w14:paraId="0137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0B5D636">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插入式振捣器</w:t>
                  </w:r>
                </w:p>
              </w:tc>
              <w:tc>
                <w:tcPr>
                  <w:tcW w:w="961" w:type="dxa"/>
                  <w:vAlign w:val="center"/>
                </w:tcPr>
                <w:p w14:paraId="0E896D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80 </w:t>
                  </w:r>
                </w:p>
              </w:tc>
              <w:tc>
                <w:tcPr>
                  <w:tcW w:w="811" w:type="dxa"/>
                  <w:vAlign w:val="center"/>
                </w:tcPr>
                <w:p w14:paraId="59E4F4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74 </w:t>
                  </w:r>
                </w:p>
              </w:tc>
              <w:tc>
                <w:tcPr>
                  <w:tcW w:w="769" w:type="dxa"/>
                  <w:vAlign w:val="center"/>
                </w:tcPr>
                <w:p w14:paraId="224BAE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70 </w:t>
                  </w:r>
                </w:p>
              </w:tc>
              <w:tc>
                <w:tcPr>
                  <w:tcW w:w="830" w:type="dxa"/>
                  <w:vAlign w:val="center"/>
                </w:tcPr>
                <w:p w14:paraId="53E095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66 </w:t>
                  </w:r>
                </w:p>
              </w:tc>
              <w:tc>
                <w:tcPr>
                  <w:tcW w:w="864" w:type="dxa"/>
                  <w:vAlign w:val="center"/>
                </w:tcPr>
                <w:p w14:paraId="13129F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64 </w:t>
                  </w:r>
                </w:p>
              </w:tc>
              <w:tc>
                <w:tcPr>
                  <w:tcW w:w="825" w:type="dxa"/>
                  <w:vAlign w:val="center"/>
                </w:tcPr>
                <w:p w14:paraId="51BD0BD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60 </w:t>
                  </w:r>
                </w:p>
              </w:tc>
              <w:tc>
                <w:tcPr>
                  <w:tcW w:w="927" w:type="dxa"/>
                  <w:vAlign w:val="center"/>
                </w:tcPr>
                <w:p w14:paraId="4488B6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54 </w:t>
                  </w:r>
                </w:p>
              </w:tc>
              <w:tc>
                <w:tcPr>
                  <w:tcW w:w="913" w:type="dxa"/>
                  <w:vAlign w:val="center"/>
                </w:tcPr>
                <w:p w14:paraId="48B82F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50 </w:t>
                  </w:r>
                </w:p>
              </w:tc>
            </w:tr>
            <w:tr w14:paraId="1EEA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349AE403">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风(砂)水枪</w:t>
                  </w:r>
                </w:p>
              </w:tc>
              <w:tc>
                <w:tcPr>
                  <w:tcW w:w="961" w:type="dxa"/>
                  <w:vAlign w:val="center"/>
                </w:tcPr>
                <w:p w14:paraId="618AF0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55 </w:t>
                  </w:r>
                </w:p>
              </w:tc>
              <w:tc>
                <w:tcPr>
                  <w:tcW w:w="811" w:type="dxa"/>
                  <w:vAlign w:val="center"/>
                </w:tcPr>
                <w:p w14:paraId="3596B8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49 </w:t>
                  </w:r>
                </w:p>
              </w:tc>
              <w:tc>
                <w:tcPr>
                  <w:tcW w:w="769" w:type="dxa"/>
                  <w:vAlign w:val="center"/>
                </w:tcPr>
                <w:p w14:paraId="19BE04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45 </w:t>
                  </w:r>
                </w:p>
              </w:tc>
              <w:tc>
                <w:tcPr>
                  <w:tcW w:w="830" w:type="dxa"/>
                  <w:vAlign w:val="center"/>
                </w:tcPr>
                <w:p w14:paraId="212420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41 </w:t>
                  </w:r>
                </w:p>
              </w:tc>
              <w:tc>
                <w:tcPr>
                  <w:tcW w:w="864" w:type="dxa"/>
                  <w:vAlign w:val="center"/>
                </w:tcPr>
                <w:p w14:paraId="2E3F20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39 </w:t>
                  </w:r>
                </w:p>
              </w:tc>
              <w:tc>
                <w:tcPr>
                  <w:tcW w:w="825" w:type="dxa"/>
                  <w:vAlign w:val="center"/>
                </w:tcPr>
                <w:p w14:paraId="5F862F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35 </w:t>
                  </w:r>
                </w:p>
              </w:tc>
              <w:tc>
                <w:tcPr>
                  <w:tcW w:w="927" w:type="dxa"/>
                  <w:vAlign w:val="center"/>
                </w:tcPr>
                <w:p w14:paraId="351EB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29 </w:t>
                  </w:r>
                </w:p>
              </w:tc>
              <w:tc>
                <w:tcPr>
                  <w:tcW w:w="913" w:type="dxa"/>
                  <w:vAlign w:val="center"/>
                </w:tcPr>
                <w:p w14:paraId="5532CA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25 </w:t>
                  </w:r>
                </w:p>
              </w:tc>
            </w:tr>
            <w:tr w14:paraId="1C13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8CD8FFA">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载重汽车</w:t>
                  </w:r>
                </w:p>
              </w:tc>
              <w:tc>
                <w:tcPr>
                  <w:tcW w:w="961" w:type="dxa"/>
                  <w:vAlign w:val="center"/>
                </w:tcPr>
                <w:p w14:paraId="30BFD8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70 </w:t>
                  </w:r>
                </w:p>
              </w:tc>
              <w:tc>
                <w:tcPr>
                  <w:tcW w:w="811" w:type="dxa"/>
                  <w:vAlign w:val="center"/>
                </w:tcPr>
                <w:p w14:paraId="01BCD9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64 </w:t>
                  </w:r>
                </w:p>
              </w:tc>
              <w:tc>
                <w:tcPr>
                  <w:tcW w:w="769" w:type="dxa"/>
                  <w:vAlign w:val="center"/>
                </w:tcPr>
                <w:p w14:paraId="530556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60 </w:t>
                  </w:r>
                </w:p>
              </w:tc>
              <w:tc>
                <w:tcPr>
                  <w:tcW w:w="830" w:type="dxa"/>
                  <w:vAlign w:val="center"/>
                </w:tcPr>
                <w:p w14:paraId="6A09A9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56 </w:t>
                  </w:r>
                </w:p>
              </w:tc>
              <w:tc>
                <w:tcPr>
                  <w:tcW w:w="864" w:type="dxa"/>
                  <w:vAlign w:val="center"/>
                </w:tcPr>
                <w:p w14:paraId="3E1292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54 </w:t>
                  </w:r>
                </w:p>
              </w:tc>
              <w:tc>
                <w:tcPr>
                  <w:tcW w:w="825" w:type="dxa"/>
                  <w:vAlign w:val="center"/>
                </w:tcPr>
                <w:p w14:paraId="1CD386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50 </w:t>
                  </w:r>
                </w:p>
              </w:tc>
              <w:tc>
                <w:tcPr>
                  <w:tcW w:w="927" w:type="dxa"/>
                  <w:vAlign w:val="center"/>
                </w:tcPr>
                <w:p w14:paraId="074B8C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44 </w:t>
                  </w:r>
                </w:p>
              </w:tc>
              <w:tc>
                <w:tcPr>
                  <w:tcW w:w="913" w:type="dxa"/>
                  <w:vAlign w:val="center"/>
                </w:tcPr>
                <w:p w14:paraId="1DAA7C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40 </w:t>
                  </w:r>
                </w:p>
              </w:tc>
            </w:tr>
            <w:tr w14:paraId="5486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8E6953B">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自卸汽车</w:t>
                  </w:r>
                </w:p>
              </w:tc>
              <w:tc>
                <w:tcPr>
                  <w:tcW w:w="961" w:type="dxa"/>
                  <w:vAlign w:val="center"/>
                </w:tcPr>
                <w:p w14:paraId="610835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70 </w:t>
                  </w:r>
                </w:p>
              </w:tc>
              <w:tc>
                <w:tcPr>
                  <w:tcW w:w="811" w:type="dxa"/>
                  <w:vAlign w:val="center"/>
                </w:tcPr>
                <w:p w14:paraId="227ECA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64 </w:t>
                  </w:r>
                </w:p>
              </w:tc>
              <w:tc>
                <w:tcPr>
                  <w:tcW w:w="769" w:type="dxa"/>
                  <w:vAlign w:val="center"/>
                </w:tcPr>
                <w:p w14:paraId="60B2D2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60 </w:t>
                  </w:r>
                </w:p>
              </w:tc>
              <w:tc>
                <w:tcPr>
                  <w:tcW w:w="830" w:type="dxa"/>
                  <w:vAlign w:val="center"/>
                </w:tcPr>
                <w:p w14:paraId="2DE915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56 </w:t>
                  </w:r>
                </w:p>
              </w:tc>
              <w:tc>
                <w:tcPr>
                  <w:tcW w:w="864" w:type="dxa"/>
                  <w:vAlign w:val="center"/>
                </w:tcPr>
                <w:p w14:paraId="7236BA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54 </w:t>
                  </w:r>
                </w:p>
              </w:tc>
              <w:tc>
                <w:tcPr>
                  <w:tcW w:w="825" w:type="dxa"/>
                  <w:vAlign w:val="center"/>
                </w:tcPr>
                <w:p w14:paraId="6E7C28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50 </w:t>
                  </w:r>
                </w:p>
              </w:tc>
              <w:tc>
                <w:tcPr>
                  <w:tcW w:w="927" w:type="dxa"/>
                  <w:vAlign w:val="center"/>
                </w:tcPr>
                <w:p w14:paraId="01EAA3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44 </w:t>
                  </w:r>
                </w:p>
              </w:tc>
              <w:tc>
                <w:tcPr>
                  <w:tcW w:w="913" w:type="dxa"/>
                  <w:vAlign w:val="center"/>
                </w:tcPr>
                <w:p w14:paraId="2AC585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40 </w:t>
                  </w:r>
                </w:p>
              </w:tc>
            </w:tr>
            <w:tr w14:paraId="5F42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528393E8">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胶轮车</w:t>
                  </w:r>
                </w:p>
              </w:tc>
              <w:tc>
                <w:tcPr>
                  <w:tcW w:w="961" w:type="dxa"/>
                  <w:vAlign w:val="center"/>
                </w:tcPr>
                <w:p w14:paraId="098D7C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50 </w:t>
                  </w:r>
                </w:p>
              </w:tc>
              <w:tc>
                <w:tcPr>
                  <w:tcW w:w="811" w:type="dxa"/>
                  <w:vAlign w:val="center"/>
                </w:tcPr>
                <w:p w14:paraId="035A2D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44 </w:t>
                  </w:r>
                </w:p>
              </w:tc>
              <w:tc>
                <w:tcPr>
                  <w:tcW w:w="769" w:type="dxa"/>
                  <w:vAlign w:val="center"/>
                </w:tcPr>
                <w:p w14:paraId="2D91FA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40 </w:t>
                  </w:r>
                </w:p>
              </w:tc>
              <w:tc>
                <w:tcPr>
                  <w:tcW w:w="830" w:type="dxa"/>
                  <w:vAlign w:val="center"/>
                </w:tcPr>
                <w:p w14:paraId="2E0F51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36 </w:t>
                  </w:r>
                </w:p>
              </w:tc>
              <w:tc>
                <w:tcPr>
                  <w:tcW w:w="864" w:type="dxa"/>
                  <w:vAlign w:val="center"/>
                </w:tcPr>
                <w:p w14:paraId="4B9976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34 </w:t>
                  </w:r>
                </w:p>
              </w:tc>
              <w:tc>
                <w:tcPr>
                  <w:tcW w:w="825" w:type="dxa"/>
                  <w:vAlign w:val="center"/>
                </w:tcPr>
                <w:p w14:paraId="55E52E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30 </w:t>
                  </w:r>
                </w:p>
              </w:tc>
              <w:tc>
                <w:tcPr>
                  <w:tcW w:w="927" w:type="dxa"/>
                  <w:vAlign w:val="center"/>
                </w:tcPr>
                <w:p w14:paraId="5D81C8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24 </w:t>
                  </w:r>
                </w:p>
              </w:tc>
              <w:tc>
                <w:tcPr>
                  <w:tcW w:w="913" w:type="dxa"/>
                  <w:vAlign w:val="center"/>
                </w:tcPr>
                <w:p w14:paraId="44A07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20 </w:t>
                  </w:r>
                </w:p>
              </w:tc>
            </w:tr>
            <w:tr w14:paraId="520B8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4F9B4DE">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汽车起重机</w:t>
                  </w:r>
                </w:p>
              </w:tc>
              <w:tc>
                <w:tcPr>
                  <w:tcW w:w="961" w:type="dxa"/>
                  <w:vAlign w:val="center"/>
                </w:tcPr>
                <w:p w14:paraId="59516C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65 </w:t>
                  </w:r>
                </w:p>
              </w:tc>
              <w:tc>
                <w:tcPr>
                  <w:tcW w:w="811" w:type="dxa"/>
                  <w:vAlign w:val="center"/>
                </w:tcPr>
                <w:p w14:paraId="73E773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59 </w:t>
                  </w:r>
                </w:p>
              </w:tc>
              <w:tc>
                <w:tcPr>
                  <w:tcW w:w="769" w:type="dxa"/>
                  <w:vAlign w:val="center"/>
                </w:tcPr>
                <w:p w14:paraId="32508F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55 </w:t>
                  </w:r>
                </w:p>
              </w:tc>
              <w:tc>
                <w:tcPr>
                  <w:tcW w:w="830" w:type="dxa"/>
                  <w:vAlign w:val="center"/>
                </w:tcPr>
                <w:p w14:paraId="62FBAB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51 </w:t>
                  </w:r>
                </w:p>
              </w:tc>
              <w:tc>
                <w:tcPr>
                  <w:tcW w:w="864" w:type="dxa"/>
                  <w:vAlign w:val="center"/>
                </w:tcPr>
                <w:p w14:paraId="6F6329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49 </w:t>
                  </w:r>
                </w:p>
              </w:tc>
              <w:tc>
                <w:tcPr>
                  <w:tcW w:w="825" w:type="dxa"/>
                  <w:vAlign w:val="center"/>
                </w:tcPr>
                <w:p w14:paraId="087C5D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45 </w:t>
                  </w:r>
                </w:p>
              </w:tc>
              <w:tc>
                <w:tcPr>
                  <w:tcW w:w="927" w:type="dxa"/>
                  <w:vAlign w:val="center"/>
                </w:tcPr>
                <w:p w14:paraId="2F3EDA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39 </w:t>
                  </w:r>
                </w:p>
              </w:tc>
              <w:tc>
                <w:tcPr>
                  <w:tcW w:w="913" w:type="dxa"/>
                  <w:vAlign w:val="center"/>
                </w:tcPr>
                <w:p w14:paraId="7902EC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35 </w:t>
                  </w:r>
                </w:p>
              </w:tc>
            </w:tr>
            <w:tr w14:paraId="61722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99337E5">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电动葫芦</w:t>
                  </w:r>
                </w:p>
              </w:tc>
              <w:tc>
                <w:tcPr>
                  <w:tcW w:w="961" w:type="dxa"/>
                  <w:vAlign w:val="center"/>
                </w:tcPr>
                <w:p w14:paraId="5EFF52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50 </w:t>
                  </w:r>
                </w:p>
              </w:tc>
              <w:tc>
                <w:tcPr>
                  <w:tcW w:w="811" w:type="dxa"/>
                  <w:vAlign w:val="center"/>
                </w:tcPr>
                <w:p w14:paraId="56A87C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44 </w:t>
                  </w:r>
                </w:p>
              </w:tc>
              <w:tc>
                <w:tcPr>
                  <w:tcW w:w="769" w:type="dxa"/>
                  <w:vAlign w:val="center"/>
                </w:tcPr>
                <w:p w14:paraId="340AD2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40 </w:t>
                  </w:r>
                </w:p>
              </w:tc>
              <w:tc>
                <w:tcPr>
                  <w:tcW w:w="830" w:type="dxa"/>
                  <w:vAlign w:val="center"/>
                </w:tcPr>
                <w:p w14:paraId="2D3788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36 </w:t>
                  </w:r>
                </w:p>
              </w:tc>
              <w:tc>
                <w:tcPr>
                  <w:tcW w:w="864" w:type="dxa"/>
                  <w:vAlign w:val="center"/>
                </w:tcPr>
                <w:p w14:paraId="5740D9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34 </w:t>
                  </w:r>
                </w:p>
              </w:tc>
              <w:tc>
                <w:tcPr>
                  <w:tcW w:w="825" w:type="dxa"/>
                  <w:vAlign w:val="center"/>
                </w:tcPr>
                <w:p w14:paraId="38D729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30 </w:t>
                  </w:r>
                </w:p>
              </w:tc>
              <w:tc>
                <w:tcPr>
                  <w:tcW w:w="927" w:type="dxa"/>
                  <w:vAlign w:val="center"/>
                </w:tcPr>
                <w:p w14:paraId="12B6C9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24 </w:t>
                  </w:r>
                </w:p>
              </w:tc>
              <w:tc>
                <w:tcPr>
                  <w:tcW w:w="913" w:type="dxa"/>
                  <w:vAlign w:val="center"/>
                </w:tcPr>
                <w:p w14:paraId="69FA84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20 </w:t>
                  </w:r>
                </w:p>
              </w:tc>
            </w:tr>
            <w:tr w14:paraId="2A4A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1F6E4620">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电焊机</w:t>
                  </w:r>
                </w:p>
              </w:tc>
              <w:tc>
                <w:tcPr>
                  <w:tcW w:w="961" w:type="dxa"/>
                  <w:vAlign w:val="center"/>
                </w:tcPr>
                <w:p w14:paraId="67E57A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65 </w:t>
                  </w:r>
                </w:p>
              </w:tc>
              <w:tc>
                <w:tcPr>
                  <w:tcW w:w="811" w:type="dxa"/>
                  <w:vAlign w:val="center"/>
                </w:tcPr>
                <w:p w14:paraId="205120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59 </w:t>
                  </w:r>
                </w:p>
              </w:tc>
              <w:tc>
                <w:tcPr>
                  <w:tcW w:w="769" w:type="dxa"/>
                  <w:vAlign w:val="center"/>
                </w:tcPr>
                <w:p w14:paraId="13EFF9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55 </w:t>
                  </w:r>
                </w:p>
              </w:tc>
              <w:tc>
                <w:tcPr>
                  <w:tcW w:w="830" w:type="dxa"/>
                  <w:vAlign w:val="center"/>
                </w:tcPr>
                <w:p w14:paraId="6A6E93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51 </w:t>
                  </w:r>
                </w:p>
              </w:tc>
              <w:tc>
                <w:tcPr>
                  <w:tcW w:w="864" w:type="dxa"/>
                  <w:vAlign w:val="center"/>
                </w:tcPr>
                <w:p w14:paraId="279FD2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49 </w:t>
                  </w:r>
                </w:p>
              </w:tc>
              <w:tc>
                <w:tcPr>
                  <w:tcW w:w="825" w:type="dxa"/>
                  <w:vAlign w:val="center"/>
                </w:tcPr>
                <w:p w14:paraId="496651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45 </w:t>
                  </w:r>
                </w:p>
              </w:tc>
              <w:tc>
                <w:tcPr>
                  <w:tcW w:w="927" w:type="dxa"/>
                  <w:vAlign w:val="center"/>
                </w:tcPr>
                <w:p w14:paraId="75F54F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39 </w:t>
                  </w:r>
                </w:p>
              </w:tc>
              <w:tc>
                <w:tcPr>
                  <w:tcW w:w="913" w:type="dxa"/>
                  <w:vAlign w:val="center"/>
                </w:tcPr>
                <w:p w14:paraId="2883C2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35 </w:t>
                  </w:r>
                </w:p>
              </w:tc>
            </w:tr>
            <w:tr w14:paraId="7BC9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269A8725">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对焊机</w:t>
                  </w:r>
                </w:p>
              </w:tc>
              <w:tc>
                <w:tcPr>
                  <w:tcW w:w="961" w:type="dxa"/>
                  <w:vAlign w:val="center"/>
                </w:tcPr>
                <w:p w14:paraId="3F4211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65 </w:t>
                  </w:r>
                </w:p>
              </w:tc>
              <w:tc>
                <w:tcPr>
                  <w:tcW w:w="811" w:type="dxa"/>
                  <w:vAlign w:val="center"/>
                </w:tcPr>
                <w:p w14:paraId="674990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59 </w:t>
                  </w:r>
                </w:p>
              </w:tc>
              <w:tc>
                <w:tcPr>
                  <w:tcW w:w="769" w:type="dxa"/>
                  <w:vAlign w:val="center"/>
                </w:tcPr>
                <w:p w14:paraId="6D2294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55 </w:t>
                  </w:r>
                </w:p>
              </w:tc>
              <w:tc>
                <w:tcPr>
                  <w:tcW w:w="830" w:type="dxa"/>
                  <w:vAlign w:val="center"/>
                </w:tcPr>
                <w:p w14:paraId="25B7F1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51 </w:t>
                  </w:r>
                </w:p>
              </w:tc>
              <w:tc>
                <w:tcPr>
                  <w:tcW w:w="864" w:type="dxa"/>
                  <w:vAlign w:val="center"/>
                </w:tcPr>
                <w:p w14:paraId="72174F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49 </w:t>
                  </w:r>
                </w:p>
              </w:tc>
              <w:tc>
                <w:tcPr>
                  <w:tcW w:w="825" w:type="dxa"/>
                  <w:vAlign w:val="center"/>
                </w:tcPr>
                <w:p w14:paraId="02F296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45 </w:t>
                  </w:r>
                </w:p>
              </w:tc>
              <w:tc>
                <w:tcPr>
                  <w:tcW w:w="927" w:type="dxa"/>
                  <w:vAlign w:val="center"/>
                </w:tcPr>
                <w:p w14:paraId="79C2D5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39 </w:t>
                  </w:r>
                </w:p>
              </w:tc>
              <w:tc>
                <w:tcPr>
                  <w:tcW w:w="913" w:type="dxa"/>
                  <w:vAlign w:val="center"/>
                </w:tcPr>
                <w:p w14:paraId="163941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35 </w:t>
                  </w:r>
                </w:p>
              </w:tc>
            </w:tr>
            <w:tr w14:paraId="14B6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77384260">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钢筋弯曲机</w:t>
                  </w:r>
                </w:p>
              </w:tc>
              <w:tc>
                <w:tcPr>
                  <w:tcW w:w="961" w:type="dxa"/>
                  <w:vAlign w:val="center"/>
                </w:tcPr>
                <w:p w14:paraId="30C8EB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60 </w:t>
                  </w:r>
                </w:p>
              </w:tc>
              <w:tc>
                <w:tcPr>
                  <w:tcW w:w="811" w:type="dxa"/>
                  <w:vAlign w:val="center"/>
                </w:tcPr>
                <w:p w14:paraId="75B0C9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54 </w:t>
                  </w:r>
                </w:p>
              </w:tc>
              <w:tc>
                <w:tcPr>
                  <w:tcW w:w="769" w:type="dxa"/>
                  <w:vAlign w:val="center"/>
                </w:tcPr>
                <w:p w14:paraId="10317C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50 </w:t>
                  </w:r>
                </w:p>
              </w:tc>
              <w:tc>
                <w:tcPr>
                  <w:tcW w:w="830" w:type="dxa"/>
                  <w:vAlign w:val="center"/>
                </w:tcPr>
                <w:p w14:paraId="2CF6B4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46 </w:t>
                  </w:r>
                </w:p>
              </w:tc>
              <w:tc>
                <w:tcPr>
                  <w:tcW w:w="864" w:type="dxa"/>
                  <w:vAlign w:val="center"/>
                </w:tcPr>
                <w:p w14:paraId="69DD2A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44 </w:t>
                  </w:r>
                </w:p>
              </w:tc>
              <w:tc>
                <w:tcPr>
                  <w:tcW w:w="825" w:type="dxa"/>
                  <w:vAlign w:val="center"/>
                </w:tcPr>
                <w:p w14:paraId="36AA54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40 </w:t>
                  </w:r>
                </w:p>
              </w:tc>
              <w:tc>
                <w:tcPr>
                  <w:tcW w:w="927" w:type="dxa"/>
                  <w:vAlign w:val="center"/>
                </w:tcPr>
                <w:p w14:paraId="314BE4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34 </w:t>
                  </w:r>
                </w:p>
              </w:tc>
              <w:tc>
                <w:tcPr>
                  <w:tcW w:w="913" w:type="dxa"/>
                  <w:vAlign w:val="center"/>
                </w:tcPr>
                <w:p w14:paraId="595308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30 </w:t>
                  </w:r>
                </w:p>
              </w:tc>
            </w:tr>
            <w:tr w14:paraId="5BA2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E374162">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钢筋切断机</w:t>
                  </w:r>
                </w:p>
              </w:tc>
              <w:tc>
                <w:tcPr>
                  <w:tcW w:w="961" w:type="dxa"/>
                  <w:vAlign w:val="center"/>
                </w:tcPr>
                <w:p w14:paraId="60238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70 </w:t>
                  </w:r>
                </w:p>
              </w:tc>
              <w:tc>
                <w:tcPr>
                  <w:tcW w:w="811" w:type="dxa"/>
                  <w:vAlign w:val="center"/>
                </w:tcPr>
                <w:p w14:paraId="425DB3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64 </w:t>
                  </w:r>
                </w:p>
              </w:tc>
              <w:tc>
                <w:tcPr>
                  <w:tcW w:w="769" w:type="dxa"/>
                  <w:vAlign w:val="center"/>
                </w:tcPr>
                <w:p w14:paraId="17FE4D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60 </w:t>
                  </w:r>
                </w:p>
              </w:tc>
              <w:tc>
                <w:tcPr>
                  <w:tcW w:w="830" w:type="dxa"/>
                  <w:vAlign w:val="center"/>
                </w:tcPr>
                <w:p w14:paraId="665DFD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56 </w:t>
                  </w:r>
                </w:p>
              </w:tc>
              <w:tc>
                <w:tcPr>
                  <w:tcW w:w="864" w:type="dxa"/>
                  <w:vAlign w:val="center"/>
                </w:tcPr>
                <w:p w14:paraId="5A310E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54 </w:t>
                  </w:r>
                </w:p>
              </w:tc>
              <w:tc>
                <w:tcPr>
                  <w:tcW w:w="825" w:type="dxa"/>
                  <w:vAlign w:val="center"/>
                </w:tcPr>
                <w:p w14:paraId="5F222F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50 </w:t>
                  </w:r>
                </w:p>
              </w:tc>
              <w:tc>
                <w:tcPr>
                  <w:tcW w:w="927" w:type="dxa"/>
                  <w:vAlign w:val="center"/>
                </w:tcPr>
                <w:p w14:paraId="588F5F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44 </w:t>
                  </w:r>
                </w:p>
              </w:tc>
              <w:tc>
                <w:tcPr>
                  <w:tcW w:w="913" w:type="dxa"/>
                  <w:vAlign w:val="center"/>
                </w:tcPr>
                <w:p w14:paraId="260B0F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40 </w:t>
                  </w:r>
                </w:p>
              </w:tc>
            </w:tr>
            <w:tr w14:paraId="1BDA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68F28C1F">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钢筋调直机</w:t>
                  </w:r>
                </w:p>
              </w:tc>
              <w:tc>
                <w:tcPr>
                  <w:tcW w:w="961" w:type="dxa"/>
                  <w:vAlign w:val="center"/>
                </w:tcPr>
                <w:p w14:paraId="47D3D6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65 </w:t>
                  </w:r>
                </w:p>
              </w:tc>
              <w:tc>
                <w:tcPr>
                  <w:tcW w:w="811" w:type="dxa"/>
                  <w:vAlign w:val="center"/>
                </w:tcPr>
                <w:p w14:paraId="37E2D5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59 </w:t>
                  </w:r>
                </w:p>
              </w:tc>
              <w:tc>
                <w:tcPr>
                  <w:tcW w:w="769" w:type="dxa"/>
                  <w:vAlign w:val="center"/>
                </w:tcPr>
                <w:p w14:paraId="0A6BEF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55 </w:t>
                  </w:r>
                </w:p>
              </w:tc>
              <w:tc>
                <w:tcPr>
                  <w:tcW w:w="830" w:type="dxa"/>
                  <w:vAlign w:val="center"/>
                </w:tcPr>
                <w:p w14:paraId="27DE26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51 </w:t>
                  </w:r>
                </w:p>
              </w:tc>
              <w:tc>
                <w:tcPr>
                  <w:tcW w:w="864" w:type="dxa"/>
                  <w:vAlign w:val="center"/>
                </w:tcPr>
                <w:p w14:paraId="6241CF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49 </w:t>
                  </w:r>
                </w:p>
              </w:tc>
              <w:tc>
                <w:tcPr>
                  <w:tcW w:w="825" w:type="dxa"/>
                  <w:vAlign w:val="center"/>
                </w:tcPr>
                <w:p w14:paraId="6FF4E9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45 </w:t>
                  </w:r>
                </w:p>
              </w:tc>
              <w:tc>
                <w:tcPr>
                  <w:tcW w:w="927" w:type="dxa"/>
                  <w:vAlign w:val="center"/>
                </w:tcPr>
                <w:p w14:paraId="23EAAC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39 </w:t>
                  </w:r>
                </w:p>
              </w:tc>
              <w:tc>
                <w:tcPr>
                  <w:tcW w:w="913" w:type="dxa"/>
                  <w:vAlign w:val="center"/>
                </w:tcPr>
                <w:p w14:paraId="423BB3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35 </w:t>
                  </w:r>
                </w:p>
              </w:tc>
            </w:tr>
            <w:tr w14:paraId="795A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shd w:val="clear" w:color="auto" w:fill="auto"/>
                  <w:vAlign w:val="center"/>
                </w:tcPr>
                <w:p w14:paraId="467E3650">
                  <w:pPr>
                    <w:pStyle w:val="27"/>
                    <w:keepNext w:val="0"/>
                    <w:keepLines w:val="0"/>
                    <w:pageBreakBefore w:val="0"/>
                    <w:widowControl/>
                    <w:kinsoku w:val="0"/>
                    <w:wordWrap/>
                    <w:overflowPunct w:val="0"/>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柴油发电机</w:t>
                  </w:r>
                </w:p>
              </w:tc>
              <w:tc>
                <w:tcPr>
                  <w:tcW w:w="961" w:type="dxa"/>
                  <w:vAlign w:val="center"/>
                </w:tcPr>
                <w:p w14:paraId="26CE1D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65 </w:t>
                  </w:r>
                </w:p>
              </w:tc>
              <w:tc>
                <w:tcPr>
                  <w:tcW w:w="811" w:type="dxa"/>
                  <w:vAlign w:val="center"/>
                </w:tcPr>
                <w:p w14:paraId="1B9F0A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59 </w:t>
                  </w:r>
                </w:p>
              </w:tc>
              <w:tc>
                <w:tcPr>
                  <w:tcW w:w="769" w:type="dxa"/>
                  <w:vAlign w:val="center"/>
                </w:tcPr>
                <w:p w14:paraId="031E1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55 </w:t>
                  </w:r>
                </w:p>
              </w:tc>
              <w:tc>
                <w:tcPr>
                  <w:tcW w:w="830" w:type="dxa"/>
                  <w:vAlign w:val="center"/>
                </w:tcPr>
                <w:p w14:paraId="73A439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51 </w:t>
                  </w:r>
                </w:p>
              </w:tc>
              <w:tc>
                <w:tcPr>
                  <w:tcW w:w="864" w:type="dxa"/>
                  <w:vAlign w:val="center"/>
                </w:tcPr>
                <w:p w14:paraId="339957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49 </w:t>
                  </w:r>
                </w:p>
              </w:tc>
              <w:tc>
                <w:tcPr>
                  <w:tcW w:w="825" w:type="dxa"/>
                  <w:vAlign w:val="center"/>
                </w:tcPr>
                <w:p w14:paraId="6C64FE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45 </w:t>
                  </w:r>
                </w:p>
              </w:tc>
              <w:tc>
                <w:tcPr>
                  <w:tcW w:w="927" w:type="dxa"/>
                  <w:vAlign w:val="center"/>
                </w:tcPr>
                <w:p w14:paraId="13367B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39 </w:t>
                  </w:r>
                </w:p>
              </w:tc>
              <w:tc>
                <w:tcPr>
                  <w:tcW w:w="913" w:type="dxa"/>
                  <w:vAlign w:val="center"/>
                </w:tcPr>
                <w:p w14:paraId="23D94E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 xml:space="preserve">35 </w:t>
                  </w:r>
                </w:p>
              </w:tc>
            </w:tr>
          </w:tbl>
          <w:p w14:paraId="643DE8D3">
            <w:pPr>
              <w:rPr>
                <w:rFonts w:hAnsi="Times New Roman"/>
                <w:bCs/>
                <w:color w:val="auto"/>
                <w:highlight w:val="none"/>
              </w:rPr>
            </w:pPr>
            <w:r>
              <w:rPr>
                <w:rFonts w:hint="eastAsia" w:ascii="Times New Roman" w:hAnsi="Times New Roman" w:eastAsia="宋体" w:cs="Times New Roman"/>
                <w:color w:val="auto"/>
                <w:sz w:val="24"/>
                <w:highlight w:val="none"/>
                <w:lang w:val="en-US" w:eastAsia="zh-CN" w:bidi="ar"/>
              </w:rPr>
              <w:t>由表4.2-3可知，</w:t>
            </w:r>
            <w:r>
              <w:rPr>
                <w:rFonts w:hint="default" w:ascii="Times New Roman" w:hAnsi="Times New Roman" w:eastAsia="宋体" w:cs="Times New Roman"/>
                <w:color w:val="auto"/>
                <w:sz w:val="24"/>
                <w:highlight w:val="none"/>
                <w:lang w:val="en-US" w:eastAsia="zh-CN" w:bidi="ar"/>
              </w:rPr>
              <w:t>挖掘机、</w:t>
            </w:r>
            <w:r>
              <w:rPr>
                <w:rFonts w:hint="eastAsia" w:cs="Times New Roman"/>
                <w:color w:val="auto"/>
                <w:sz w:val="24"/>
                <w:highlight w:val="none"/>
                <w:lang w:val="en-US" w:eastAsia="zh-CN" w:bidi="ar"/>
              </w:rPr>
              <w:t>拌和机</w:t>
            </w:r>
            <w:r>
              <w:rPr>
                <w:rFonts w:hint="default" w:ascii="Times New Roman" w:hAnsi="Times New Roman" w:eastAsia="宋体" w:cs="Times New Roman"/>
                <w:color w:val="auto"/>
                <w:sz w:val="24"/>
                <w:highlight w:val="none"/>
                <w:lang w:val="en-US" w:eastAsia="zh-CN" w:bidi="ar"/>
              </w:rPr>
              <w:t>、打夯机</w:t>
            </w:r>
            <w:r>
              <w:rPr>
                <w:rFonts w:hint="eastAsia" w:ascii="Times New Roman" w:hAnsi="Times New Roman" w:eastAsia="宋体" w:cs="Times New Roman"/>
                <w:color w:val="auto"/>
                <w:sz w:val="24"/>
                <w:highlight w:val="none"/>
                <w:lang w:val="en-US" w:eastAsia="zh-CN" w:bidi="ar"/>
              </w:rPr>
              <w:t>、</w:t>
            </w:r>
            <w:r>
              <w:rPr>
                <w:rFonts w:hint="default" w:ascii="Times New Roman" w:hAnsi="Times New Roman" w:eastAsia="宋体" w:cs="Times New Roman"/>
                <w:color w:val="auto"/>
                <w:sz w:val="24"/>
                <w:highlight w:val="none"/>
                <w:lang w:val="en-US" w:eastAsia="zh-CN" w:bidi="ar"/>
              </w:rPr>
              <w:t>插入式振捣器等施工设备的噪声贡献值较大，施工时易对附近居民产生影响。</w:t>
            </w:r>
            <w:r>
              <w:rPr>
                <w:rFonts w:hint="eastAsia" w:ascii="Times New Roman" w:hAnsi="Times New Roman" w:eastAsia="宋体" w:cs="Times New Roman"/>
                <w:color w:val="auto"/>
                <w:sz w:val="24"/>
                <w:highlight w:val="none"/>
                <w:lang w:val="en-US" w:eastAsia="zh-CN" w:bidi="ar"/>
              </w:rPr>
              <w:t>施工机械噪声昼间在距声源30m</w:t>
            </w:r>
            <w:r>
              <w:rPr>
                <w:rFonts w:hint="eastAsia"/>
                <w:b w:val="0"/>
                <w:bCs w:val="0"/>
                <w:color w:val="auto"/>
                <w:highlight w:val="none"/>
                <w:lang w:val="en-US" w:eastAsia="zh-CN"/>
              </w:rPr>
              <w:t>处噪声预测结果符合《建筑施工场界环境噪声排放标准》（GB12523-2011）的昼间噪声排放限值要求，夜间的达标距离则在200m处</w:t>
            </w:r>
            <w:r>
              <w:rPr>
                <w:rFonts w:hint="eastAsia" w:ascii="Times New Roman" w:hAnsi="Times New Roman" w:eastAsia="宋体" w:cs="Times New Roman"/>
                <w:color w:val="auto"/>
                <w:sz w:val="24"/>
                <w:highlight w:val="none"/>
                <w:lang w:val="en-US" w:eastAsia="zh-CN" w:bidi="ar"/>
              </w:rPr>
              <w:t>。由此可见，施工噪声昼间对场界附近的声环境质量影响不大，但夜间施工噪声会对施工区200m范围内住户产生影响。</w:t>
            </w:r>
          </w:p>
          <w:p w14:paraId="5F00F7B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highlight w:val="none"/>
                <w:lang w:val="en-US" w:eastAsia="zh-CN" w:bidi="ar"/>
              </w:rPr>
            </w:pPr>
            <w:r>
              <w:rPr>
                <w:rFonts w:hint="eastAsia" w:cs="Times New Roman"/>
                <w:color w:val="auto"/>
                <w:sz w:val="24"/>
                <w:szCs w:val="24"/>
                <w:highlight w:val="none"/>
                <w:lang w:val="en-US" w:eastAsia="zh-CN" w:bidi="ar"/>
              </w:rPr>
              <w:t>项目二郎、福兴段施工河段沿线30m范围内有</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#居民点</w:t>
            </w:r>
            <w:r>
              <w:rPr>
                <w:rFonts w:hint="eastAsia" w:cs="Times New Roman"/>
                <w:color w:val="auto"/>
                <w:szCs w:val="24"/>
                <w:highlight w:val="none"/>
                <w:lang w:val="en-US" w:eastAsia="zh-CN"/>
              </w:rPr>
              <w:t>~13#居民点，石河镇段、双拱场段</w:t>
            </w:r>
            <w:r>
              <w:rPr>
                <w:rFonts w:hint="eastAsia" w:cs="Times New Roman"/>
                <w:color w:val="auto"/>
                <w:sz w:val="24"/>
                <w:szCs w:val="24"/>
                <w:highlight w:val="none"/>
                <w:lang w:val="en-US" w:eastAsia="zh-CN" w:bidi="ar"/>
              </w:rPr>
              <w:t>施工河段沿线30m范围内有</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#居民点</w:t>
            </w:r>
            <w:r>
              <w:rPr>
                <w:rFonts w:hint="eastAsia" w:cs="Times New Roman"/>
                <w:color w:val="auto"/>
                <w:szCs w:val="24"/>
                <w:highlight w:val="none"/>
                <w:lang w:val="en-US" w:eastAsia="zh-CN"/>
              </w:rPr>
              <w:t>~4#居民点、7#居民点、8#居民点。</w:t>
            </w:r>
            <w:r>
              <w:rPr>
                <w:rFonts w:hint="eastAsia" w:cs="Times New Roman"/>
                <w:color w:val="auto"/>
                <w:szCs w:val="21"/>
                <w:highlight w:val="none"/>
                <w:lang w:val="en-US" w:eastAsia="zh-CN"/>
              </w:rPr>
              <w:t>项目采取分段施工，夜间不施工。</w:t>
            </w:r>
            <w:r>
              <w:rPr>
                <w:rFonts w:hint="eastAsia" w:ascii="Times New Roman" w:hAnsi="Times New Roman" w:eastAsia="宋体" w:cs="Times New Roman"/>
                <w:color w:val="auto"/>
                <w:sz w:val="24"/>
                <w:highlight w:val="none"/>
                <w:lang w:val="en-US" w:eastAsia="zh-CN" w:bidi="ar"/>
              </w:rPr>
              <w:t>本项目施工噪声对项目沿线居民将产生一定影响，应采取噪声防治措施减轻对周围噪声保护目标的影响。</w:t>
            </w:r>
          </w:p>
          <w:p w14:paraId="23D96001">
            <w:pPr>
              <w:widowControl/>
              <w:spacing w:line="360" w:lineRule="auto"/>
              <w:ind w:firstLine="480" w:firstLineChars="200"/>
              <w:rPr>
                <w:rFonts w:hint="default" w:ascii="Times New Roman" w:hAnsi="Times New Roman" w:eastAsia="宋体" w:cs="Times New Roman"/>
                <w:color w:val="auto"/>
                <w:sz w:val="24"/>
                <w:highlight w:val="none"/>
                <w:lang w:val="en-US" w:eastAsia="zh-CN" w:bidi="ar"/>
              </w:rPr>
            </w:pPr>
            <w:r>
              <w:rPr>
                <w:rFonts w:hint="default" w:ascii="Times New Roman" w:hAnsi="Times New Roman" w:cs="Times New Roman"/>
                <w:color w:val="auto"/>
                <w:sz w:val="24"/>
                <w:highlight w:val="none"/>
                <w:lang w:val="en-US" w:eastAsia="zh-CN" w:bidi="ar"/>
              </w:rPr>
              <w:t>②</w:t>
            </w:r>
            <w:r>
              <w:rPr>
                <w:rFonts w:hint="eastAsia" w:ascii="Times New Roman" w:hAnsi="Times New Roman" w:cs="Times New Roman"/>
                <w:color w:val="auto"/>
                <w:sz w:val="24"/>
                <w:highlight w:val="none"/>
                <w:lang w:val="en-US" w:eastAsia="zh-CN" w:bidi="ar"/>
              </w:rPr>
              <w:t>1#施工场地</w:t>
            </w:r>
            <w:r>
              <w:rPr>
                <w:rFonts w:hint="eastAsia" w:cs="Times New Roman"/>
                <w:color w:val="auto"/>
                <w:sz w:val="24"/>
                <w:highlight w:val="none"/>
                <w:lang w:val="en-US" w:eastAsia="zh-CN" w:bidi="ar"/>
              </w:rPr>
              <w:t>场界噪声源强分析</w:t>
            </w:r>
          </w:p>
          <w:p w14:paraId="24DE5673">
            <w:pPr>
              <w:widowControl/>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lang w:bidi="ar"/>
              </w:rPr>
              <w:t>依据</w:t>
            </w:r>
            <w:r>
              <w:rPr>
                <w:rFonts w:hint="default" w:ascii="Times New Roman" w:hAnsi="Times New Roman" w:eastAsia="宋体" w:cs="Times New Roman"/>
                <w:bCs/>
                <w:color w:val="auto"/>
                <w:sz w:val="24"/>
                <w:highlight w:val="none"/>
                <w:lang w:bidi="ar"/>
              </w:rPr>
              <w:t>HJ2.4-2021《环境影响评价技术导则  声环境》中附录B-工业噪声预测计算模型，工业声源有室外和室内两种声源，进行室内声源等效室外声源声功率级计算、室外声源在预测点产生的声级计算、靠近声源处的预测点噪声预测、噪声预测值计算。</w:t>
            </w:r>
          </w:p>
          <w:p w14:paraId="77B59757">
            <w:pPr>
              <w:pStyle w:val="3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 1 \* GB4 \* MERGEFORMAT </w:instrText>
            </w:r>
            <w:r>
              <w:rPr>
                <w:rFonts w:hint="default" w:ascii="Times New Roman" w:hAnsi="Times New Roman" w:eastAsia="宋体" w:cs="Times New Roman"/>
                <w:color w:val="auto"/>
                <w:highlight w:val="none"/>
              </w:rPr>
              <w:fldChar w:fldCharType="separate"/>
            </w:r>
            <w:r>
              <w:rPr>
                <w:color w:val="auto"/>
                <w:highlight w:val="none"/>
              </w:rPr>
              <w:t>㈠</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highlight w:val="none"/>
              </w:rPr>
              <w:t>室内声源等效室外声源声功率级计算方法</w:t>
            </w:r>
          </w:p>
          <w:p w14:paraId="34F9A6BE">
            <w:pPr>
              <w:pStyle w:val="39"/>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A、</w:t>
            </w:r>
            <w:r>
              <w:rPr>
                <w:rFonts w:hint="default" w:ascii="Times New Roman" w:hAnsi="Times New Roman" w:eastAsia="宋体" w:cs="Times New Roman"/>
                <w:bCs/>
                <w:color w:val="auto"/>
                <w:highlight w:val="none"/>
                <w:lang w:bidi="ar"/>
              </w:rPr>
              <w:t>室内声源靠近围护结构处产生的倍频带声压级或A声级</w:t>
            </w:r>
          </w:p>
          <w:p w14:paraId="272CFFFA">
            <w:pPr>
              <w:pStyle w:val="39"/>
              <w:ind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object>
                <v:shape id="_x0000_i1031" o:spt="75" type="#_x0000_t75" style="height:33.75pt;width:137.25pt;" o:ole="t" filled="f" o:preferrelative="t" stroked="f" coordsize="21600,21600">
                  <v:path/>
                  <v:fill on="f" focussize="0,0"/>
                  <v:stroke on="f"/>
                  <v:imagedata r:id="rId27" o:title=""/>
                  <o:lock v:ext="edit" aspectratio="t"/>
                  <w10:wrap type="none"/>
                  <w10:anchorlock/>
                </v:shape>
                <o:OLEObject Type="Embed" ProgID="Equation.3" ShapeID="_x0000_i1031" DrawAspect="Content" ObjectID="_1468075731" r:id="rId26">
                  <o:LockedField>false</o:LockedField>
                </o:OLEObject>
              </w:object>
            </w:r>
          </w:p>
          <w:p w14:paraId="1FE95362">
            <w:pPr>
              <w:widowControl/>
              <w:adjustRightInd w:val="0"/>
              <w:snapToGrid w:val="0"/>
              <w:spacing w:line="360" w:lineRule="auto"/>
              <w:rPr>
                <w:rFonts w:hint="default" w:ascii="Times New Roman" w:hAnsi="Times New Roman" w:eastAsia="宋体" w:cs="Times New Roman"/>
                <w:bCs/>
                <w:color w:val="auto"/>
                <w:sz w:val="24"/>
                <w:highlight w:val="none"/>
                <w:lang w:bidi="ar"/>
              </w:rPr>
            </w:pPr>
            <w:r>
              <w:rPr>
                <w:rFonts w:hint="default" w:ascii="Times New Roman" w:hAnsi="Times New Roman" w:eastAsia="宋体" w:cs="Times New Roman"/>
                <w:bCs/>
                <w:color w:val="auto"/>
                <w:sz w:val="24"/>
                <w:highlight w:val="none"/>
              </w:rPr>
              <w:t>式中：</w:t>
            </w:r>
            <w:r>
              <w:rPr>
                <w:rFonts w:hint="default" w:ascii="Times New Roman" w:hAnsi="Times New Roman" w:eastAsia="宋体" w:cs="Times New Roman"/>
                <w:bCs/>
                <w:color w:val="auto"/>
                <w:sz w:val="24"/>
                <w:highlight w:val="none"/>
                <w:lang w:bidi="ar"/>
              </w:rPr>
              <w:t>L</w:t>
            </w:r>
            <w:r>
              <w:rPr>
                <w:rFonts w:hint="default" w:ascii="Times New Roman" w:hAnsi="Times New Roman" w:eastAsia="宋体" w:cs="Times New Roman"/>
                <w:bCs/>
                <w:color w:val="auto"/>
                <w:sz w:val="24"/>
                <w:highlight w:val="none"/>
                <w:vertAlign w:val="subscript"/>
                <w:lang w:bidi="ar"/>
              </w:rPr>
              <w:t>p1</w:t>
            </w:r>
            <w:r>
              <w:rPr>
                <w:rFonts w:hint="default" w:ascii="Times New Roman" w:hAnsi="Times New Roman" w:eastAsia="宋体" w:cs="Times New Roman"/>
                <w:bCs/>
                <w:color w:val="auto"/>
                <w:sz w:val="24"/>
                <w:highlight w:val="none"/>
                <w:lang w:bidi="ar"/>
              </w:rPr>
              <w:t>——靠近开口处（或窗户）室内某倍频带的声压级或A声级，</w:t>
            </w:r>
            <w:r>
              <w:rPr>
                <w:rFonts w:hint="default" w:ascii="Times New Roman" w:hAnsi="Times New Roman" w:eastAsia="宋体" w:cs="Times New Roman"/>
                <w:color w:val="auto"/>
                <w:sz w:val="24"/>
                <w:highlight w:val="none"/>
                <w:lang w:bidi="ar"/>
              </w:rPr>
              <w:t>dB</w:t>
            </w:r>
            <w:r>
              <w:rPr>
                <w:rFonts w:hint="default" w:ascii="Times New Roman" w:hAnsi="Times New Roman" w:eastAsia="宋体" w:cs="Times New Roman"/>
                <w:color w:val="auto"/>
                <w:sz w:val="24"/>
                <w:highlight w:val="none"/>
              </w:rPr>
              <w:t>；</w:t>
            </w:r>
          </w:p>
          <w:p w14:paraId="4780DD09">
            <w:pPr>
              <w:widowControl/>
              <w:adjustRightInd w:val="0"/>
              <w:snapToGrid w:val="0"/>
              <w:spacing w:line="360" w:lineRule="auto"/>
              <w:ind w:firstLine="720" w:firstLineChars="3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lang w:bidi="ar"/>
              </w:rPr>
              <w:t>L</w:t>
            </w:r>
            <w:r>
              <w:rPr>
                <w:rFonts w:hint="default" w:ascii="Times New Roman" w:hAnsi="Times New Roman" w:eastAsia="宋体" w:cs="Times New Roman"/>
                <w:bCs/>
                <w:color w:val="auto"/>
                <w:sz w:val="24"/>
                <w:highlight w:val="none"/>
                <w:vertAlign w:val="subscript"/>
                <w:lang w:bidi="ar"/>
              </w:rPr>
              <w:t>W</w:t>
            </w:r>
            <w:r>
              <w:rPr>
                <w:rFonts w:hint="default" w:ascii="Times New Roman" w:hAnsi="Times New Roman" w:eastAsia="宋体" w:cs="Times New Roman"/>
                <w:bCs/>
                <w:color w:val="auto"/>
                <w:sz w:val="24"/>
                <w:highlight w:val="none"/>
                <w:lang w:bidi="ar"/>
              </w:rPr>
              <w:t>——点声源声功率级（A计算或倍频带），</w:t>
            </w:r>
            <w:r>
              <w:rPr>
                <w:rFonts w:hint="default" w:ascii="Times New Roman" w:hAnsi="Times New Roman" w:eastAsia="宋体" w:cs="Times New Roman"/>
                <w:color w:val="auto"/>
                <w:sz w:val="24"/>
                <w:highlight w:val="none"/>
                <w:lang w:bidi="ar"/>
              </w:rPr>
              <w:t>dB</w:t>
            </w:r>
            <w:r>
              <w:rPr>
                <w:rFonts w:hint="default" w:ascii="Times New Roman" w:hAnsi="Times New Roman" w:eastAsia="宋体" w:cs="Times New Roman"/>
                <w:color w:val="auto"/>
                <w:sz w:val="24"/>
                <w:highlight w:val="none"/>
              </w:rPr>
              <w:t>；</w:t>
            </w:r>
          </w:p>
          <w:p w14:paraId="558AF246">
            <w:pPr>
              <w:widowControl/>
              <w:adjustRightInd w:val="0"/>
              <w:snapToGrid w:val="0"/>
              <w:spacing w:line="360" w:lineRule="auto"/>
              <w:ind w:firstLine="720" w:firstLineChars="300"/>
              <w:rPr>
                <w:rFonts w:hint="default" w:ascii="Times New Roman" w:hAnsi="Times New Roman" w:eastAsia="宋体" w:cs="Times New Roman"/>
                <w:bCs/>
                <w:color w:val="auto"/>
                <w:sz w:val="24"/>
                <w:highlight w:val="none"/>
                <w:lang w:bidi="ar"/>
              </w:rPr>
            </w:pPr>
            <w:r>
              <w:rPr>
                <w:rFonts w:hint="default" w:ascii="Times New Roman" w:hAnsi="Times New Roman" w:eastAsia="宋体" w:cs="Times New Roman"/>
                <w:bCs/>
                <w:color w:val="auto"/>
                <w:sz w:val="24"/>
                <w:highlight w:val="none"/>
              </w:rPr>
              <w:t>Q——</w:t>
            </w:r>
            <w:r>
              <w:rPr>
                <w:rFonts w:hint="default" w:ascii="Times New Roman" w:hAnsi="Times New Roman" w:eastAsia="宋体" w:cs="Times New Roman"/>
                <w:bCs/>
                <w:color w:val="auto"/>
                <w:sz w:val="24"/>
                <w:highlight w:val="none"/>
                <w:lang w:bidi="ar"/>
              </w:rPr>
              <w:t>指向性因数：通常对无指向性声源，当声源放在房间中心时，Q=1；当放在一面墙的中心时，Q=2；当放在两面墙夹角处时，Q=4；当放在三面墙夹角处时，Q=8；</w:t>
            </w:r>
          </w:p>
          <w:p w14:paraId="4A11948D">
            <w:pPr>
              <w:widowControl/>
              <w:adjustRightInd w:val="0"/>
              <w:snapToGrid w:val="0"/>
              <w:spacing w:line="360" w:lineRule="auto"/>
              <w:ind w:firstLine="720" w:firstLineChars="3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bidi="ar"/>
              </w:rPr>
              <w:t>房间常数，R=Sα/（1-α），S为房间内表面面积，㎡，α为平均吸声系数；</w:t>
            </w:r>
          </w:p>
          <w:p w14:paraId="753B1FFD">
            <w:pPr>
              <w:widowControl/>
              <w:adjustRightInd w:val="0"/>
              <w:snapToGrid w:val="0"/>
              <w:spacing w:line="360" w:lineRule="auto"/>
              <w:ind w:firstLine="720" w:firstLineChars="300"/>
              <w:rPr>
                <w:rFonts w:hint="default" w:ascii="Times New Roman" w:hAnsi="Times New Roman" w:eastAsia="宋体" w:cs="Times New Roman"/>
                <w:bCs/>
                <w:color w:val="auto"/>
                <w:sz w:val="24"/>
                <w:highlight w:val="none"/>
                <w:lang w:bidi="ar"/>
              </w:rPr>
            </w:pPr>
            <w:r>
              <w:rPr>
                <w:rFonts w:hint="default" w:ascii="Times New Roman" w:hAnsi="Times New Roman" w:eastAsia="宋体" w:cs="Times New Roman"/>
                <w:bCs/>
                <w:color w:val="auto"/>
                <w:sz w:val="24"/>
                <w:highlight w:val="none"/>
              </w:rPr>
              <w:t>r——</w:t>
            </w:r>
            <w:r>
              <w:rPr>
                <w:rFonts w:hint="default" w:ascii="Times New Roman" w:hAnsi="Times New Roman" w:eastAsia="宋体" w:cs="Times New Roman"/>
                <w:bCs/>
                <w:color w:val="auto"/>
                <w:sz w:val="24"/>
                <w:highlight w:val="none"/>
                <w:lang w:bidi="ar"/>
              </w:rPr>
              <w:t>声源到靠近围护结构某点处的距离，m。</w:t>
            </w:r>
          </w:p>
          <w:p w14:paraId="60B3DA8D">
            <w:pPr>
              <w:widowControl/>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B、</w:t>
            </w:r>
            <w:r>
              <w:rPr>
                <w:rFonts w:hint="default" w:ascii="Times New Roman" w:hAnsi="Times New Roman" w:eastAsia="宋体" w:cs="Times New Roman"/>
                <w:bCs/>
                <w:color w:val="auto"/>
                <w:sz w:val="24"/>
                <w:highlight w:val="none"/>
                <w:lang w:bidi="ar"/>
              </w:rPr>
              <w:t>所有室内声源在围护结构处产生的i倍频带叠加声压级</w:t>
            </w:r>
          </w:p>
          <w:p w14:paraId="39FD0758">
            <w:pPr>
              <w:widowControl/>
              <w:adjustRightInd w:val="0"/>
              <w:snapToGrid w:val="0"/>
              <w:spacing w:line="360" w:lineRule="auto"/>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object>
                <v:shape id="_x0000_i1032" o:spt="75" type="#_x0000_t75" style="height:38.25pt;width:132.75pt;" o:ole="t" filled="f" o:preferrelative="t" stroked="f" coordsize="21600,21600">
                  <v:path/>
                  <v:fill on="f" focussize="0,0"/>
                  <v:stroke on="f"/>
                  <v:imagedata r:id="rId29" o:title=""/>
                  <o:lock v:ext="edit" aspectratio="t"/>
                  <w10:wrap type="none"/>
                  <w10:anchorlock/>
                </v:shape>
                <o:OLEObject Type="Embed" ProgID="Equation.3" ShapeID="_x0000_i1032" DrawAspect="Content" ObjectID="_1468075732" r:id="rId28">
                  <o:LockedField>false</o:LockedField>
                </o:OLEObject>
              </w:object>
            </w:r>
          </w:p>
          <w:p w14:paraId="3C731B31">
            <w:pPr>
              <w:widowControl/>
              <w:adjustRightInd w:val="0"/>
              <w:snapToGrid w:val="0"/>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式中：</w:t>
            </w:r>
            <w:r>
              <w:rPr>
                <w:rFonts w:hint="default" w:ascii="Times New Roman" w:hAnsi="Times New Roman" w:eastAsia="宋体" w:cs="Times New Roman"/>
                <w:bCs/>
                <w:color w:val="auto"/>
                <w:sz w:val="24"/>
                <w:highlight w:val="none"/>
                <w:lang w:bidi="ar"/>
              </w:rPr>
              <w:t>L</w:t>
            </w:r>
            <w:r>
              <w:rPr>
                <w:rFonts w:hint="default" w:ascii="Times New Roman" w:hAnsi="Times New Roman" w:eastAsia="宋体" w:cs="Times New Roman"/>
                <w:bCs/>
                <w:color w:val="auto"/>
                <w:sz w:val="24"/>
                <w:highlight w:val="none"/>
                <w:vertAlign w:val="subscript"/>
                <w:lang w:bidi="ar"/>
              </w:rPr>
              <w:t>p1i</w:t>
            </w:r>
            <w:r>
              <w:rPr>
                <w:rFonts w:hint="default" w:ascii="Times New Roman" w:hAnsi="Times New Roman" w:eastAsia="宋体" w:cs="Times New Roman"/>
                <w:bCs/>
                <w:color w:val="auto"/>
                <w:sz w:val="24"/>
                <w:highlight w:val="none"/>
                <w:lang w:bidi="ar"/>
              </w:rPr>
              <w:t>（T）——靠近围护结构处室内N个声源i倍频带的叠加声压级，</w:t>
            </w:r>
            <w:r>
              <w:rPr>
                <w:rFonts w:hint="default" w:ascii="Times New Roman" w:hAnsi="Times New Roman" w:eastAsia="宋体" w:cs="Times New Roman"/>
                <w:color w:val="auto"/>
                <w:sz w:val="24"/>
                <w:highlight w:val="none"/>
                <w:lang w:bidi="ar"/>
              </w:rPr>
              <w:t>dB</w:t>
            </w:r>
            <w:r>
              <w:rPr>
                <w:rFonts w:hint="default" w:ascii="Times New Roman" w:hAnsi="Times New Roman" w:eastAsia="宋体" w:cs="Times New Roman"/>
                <w:color w:val="auto"/>
                <w:sz w:val="24"/>
                <w:highlight w:val="none"/>
              </w:rPr>
              <w:t>；</w:t>
            </w:r>
          </w:p>
          <w:p w14:paraId="2D1882BC">
            <w:pPr>
              <w:widowControl/>
              <w:adjustRightInd w:val="0"/>
              <w:snapToGrid w:val="0"/>
              <w:spacing w:line="360" w:lineRule="auto"/>
              <w:ind w:firstLine="720" w:firstLineChars="3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bidi="ar"/>
              </w:rPr>
              <w:t>L</w:t>
            </w:r>
            <w:r>
              <w:rPr>
                <w:rFonts w:hint="default" w:ascii="Times New Roman" w:hAnsi="Times New Roman" w:eastAsia="宋体" w:cs="Times New Roman"/>
                <w:bCs/>
                <w:color w:val="auto"/>
                <w:sz w:val="24"/>
                <w:highlight w:val="none"/>
                <w:vertAlign w:val="subscript"/>
                <w:lang w:bidi="ar"/>
              </w:rPr>
              <w:t>p1ij</w:t>
            </w:r>
            <w:r>
              <w:rPr>
                <w:rFonts w:hint="default" w:ascii="Times New Roman" w:hAnsi="Times New Roman" w:eastAsia="宋体" w:cs="Times New Roman"/>
                <w:bCs/>
                <w:color w:val="auto"/>
                <w:sz w:val="24"/>
                <w:highlight w:val="none"/>
                <w:lang w:bidi="ar"/>
              </w:rPr>
              <w:t>——室内j声源i倍频带的声压级，</w:t>
            </w:r>
            <w:r>
              <w:rPr>
                <w:rFonts w:hint="default" w:ascii="Times New Roman" w:hAnsi="Times New Roman" w:eastAsia="宋体" w:cs="Times New Roman"/>
                <w:color w:val="auto"/>
                <w:sz w:val="24"/>
                <w:highlight w:val="none"/>
                <w:lang w:bidi="ar"/>
              </w:rPr>
              <w:t>dB</w:t>
            </w:r>
            <w:r>
              <w:rPr>
                <w:rFonts w:hint="default" w:ascii="Times New Roman" w:hAnsi="Times New Roman" w:eastAsia="宋体" w:cs="Times New Roman"/>
                <w:color w:val="auto"/>
                <w:sz w:val="24"/>
                <w:highlight w:val="none"/>
              </w:rPr>
              <w:t>；</w:t>
            </w:r>
          </w:p>
          <w:p w14:paraId="68A5CD3A">
            <w:pPr>
              <w:widowControl/>
              <w:adjustRightInd w:val="0"/>
              <w:snapToGrid w:val="0"/>
              <w:spacing w:line="360" w:lineRule="auto"/>
              <w:ind w:firstLine="720" w:firstLineChars="3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bidi="ar"/>
              </w:rPr>
              <w:t>N——室内声源总数</w:t>
            </w:r>
            <w:r>
              <w:rPr>
                <w:rFonts w:hint="default" w:ascii="Times New Roman" w:hAnsi="Times New Roman" w:eastAsia="宋体" w:cs="Times New Roman"/>
                <w:bCs/>
                <w:color w:val="auto"/>
                <w:sz w:val="24"/>
                <w:highlight w:val="none"/>
              </w:rPr>
              <w:t>。</w:t>
            </w:r>
          </w:p>
          <w:p w14:paraId="4F06411D">
            <w:pPr>
              <w:widowControl/>
              <w:adjustRightInd w:val="0"/>
              <w:snapToGrid w:val="0"/>
              <w:spacing w:line="360" w:lineRule="auto"/>
              <w:ind w:firstLine="480" w:firstLineChars="200"/>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lang w:bidi="ar"/>
              </w:rPr>
              <w:t>C</w:t>
            </w:r>
            <w:r>
              <w:rPr>
                <w:rFonts w:hint="default" w:ascii="Times New Roman" w:hAnsi="Times New Roman" w:eastAsia="宋体" w:cs="Times New Roman"/>
                <w:bCs/>
                <w:color w:val="auto"/>
                <w:sz w:val="24"/>
                <w:highlight w:val="none"/>
                <w:lang w:bidi="ar"/>
              </w:rPr>
              <w:t>、</w:t>
            </w:r>
            <w:r>
              <w:rPr>
                <w:rFonts w:hint="default" w:ascii="Times New Roman" w:hAnsi="Times New Roman" w:eastAsia="宋体" w:cs="Times New Roman"/>
                <w:color w:val="auto"/>
                <w:sz w:val="24"/>
                <w:highlight w:val="none"/>
                <w:lang w:bidi="ar"/>
              </w:rPr>
              <w:t>靠近室外围护结构处的声压级</w:t>
            </w:r>
          </w:p>
          <w:p w14:paraId="0F114744">
            <w:pPr>
              <w:widowControl/>
              <w:adjustRightInd w:val="0"/>
              <w:snapToGrid w:val="0"/>
              <w:spacing w:line="360" w:lineRule="auto"/>
              <w:jc w:val="center"/>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lang w:bidi="ar"/>
              </w:rPr>
              <w:object>
                <v:shape id="_x0000_i1033" o:spt="75" type="#_x0000_t75" style="height:18.75pt;width:135.75pt;" o:ole="t" filled="f" o:preferrelative="t" stroked="f" coordsize="21600,21600">
                  <v:path/>
                  <v:fill on="f" focussize="0,0"/>
                  <v:stroke on="f"/>
                  <v:imagedata r:id="rId31" o:title=""/>
                  <o:lock v:ext="edit" aspectratio="t"/>
                  <w10:wrap type="none"/>
                  <w10:anchorlock/>
                </v:shape>
                <o:OLEObject Type="Embed" ProgID="Equation.3" ShapeID="_x0000_i1033" DrawAspect="Content" ObjectID="_1468075733" r:id="rId30">
                  <o:LockedField>false</o:LockedField>
                </o:OLEObject>
              </w:object>
            </w:r>
          </w:p>
          <w:p w14:paraId="6486F0D8">
            <w:pPr>
              <w:widowControl/>
              <w:adjustRightInd w:val="0"/>
              <w:snapToGrid w:val="0"/>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lang w:bidi="ar"/>
              </w:rPr>
              <w:t>式中：L</w:t>
            </w:r>
            <w:r>
              <w:rPr>
                <w:rFonts w:hint="default" w:ascii="Times New Roman" w:hAnsi="Times New Roman" w:eastAsia="宋体" w:cs="Times New Roman"/>
                <w:bCs/>
                <w:color w:val="auto"/>
                <w:sz w:val="24"/>
                <w:highlight w:val="none"/>
                <w:vertAlign w:val="subscript"/>
                <w:lang w:bidi="ar"/>
              </w:rPr>
              <w:t>p2i</w:t>
            </w:r>
            <w:r>
              <w:rPr>
                <w:rFonts w:hint="default" w:ascii="Times New Roman" w:hAnsi="Times New Roman" w:eastAsia="宋体" w:cs="Times New Roman"/>
                <w:bCs/>
                <w:color w:val="auto"/>
                <w:sz w:val="24"/>
                <w:highlight w:val="none"/>
                <w:lang w:bidi="ar"/>
              </w:rPr>
              <w:t>（T）——靠近围护结构处室外N个声源i倍频带的叠加声压级，</w:t>
            </w:r>
            <w:r>
              <w:rPr>
                <w:rFonts w:hint="default" w:ascii="Times New Roman" w:hAnsi="Times New Roman" w:eastAsia="宋体" w:cs="Times New Roman"/>
                <w:color w:val="auto"/>
                <w:sz w:val="24"/>
                <w:highlight w:val="none"/>
                <w:lang w:bidi="ar"/>
              </w:rPr>
              <w:t>dB；</w:t>
            </w:r>
          </w:p>
          <w:p w14:paraId="7493CB85">
            <w:pPr>
              <w:widowControl/>
              <w:adjustRightInd w:val="0"/>
              <w:snapToGrid w:val="0"/>
              <w:spacing w:line="360" w:lineRule="auto"/>
              <w:ind w:firstLine="720" w:firstLineChars="3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lang w:bidi="ar"/>
              </w:rPr>
              <w:t>L</w:t>
            </w:r>
            <w:r>
              <w:rPr>
                <w:rFonts w:hint="default" w:ascii="Times New Roman" w:hAnsi="Times New Roman" w:eastAsia="宋体" w:cs="Times New Roman"/>
                <w:bCs/>
                <w:color w:val="auto"/>
                <w:sz w:val="24"/>
                <w:highlight w:val="none"/>
                <w:vertAlign w:val="subscript"/>
                <w:lang w:bidi="ar"/>
              </w:rPr>
              <w:t>p1i</w:t>
            </w:r>
            <w:r>
              <w:rPr>
                <w:rFonts w:hint="default" w:ascii="Times New Roman" w:hAnsi="Times New Roman" w:eastAsia="宋体" w:cs="Times New Roman"/>
                <w:bCs/>
                <w:color w:val="auto"/>
                <w:sz w:val="24"/>
                <w:highlight w:val="none"/>
                <w:lang w:bidi="ar"/>
              </w:rPr>
              <w:t>（T）——靠近围护结构处室内N个声源i倍频带的叠加声压级，</w:t>
            </w:r>
            <w:r>
              <w:rPr>
                <w:rFonts w:hint="default" w:ascii="Times New Roman" w:hAnsi="Times New Roman" w:eastAsia="宋体" w:cs="Times New Roman"/>
                <w:color w:val="auto"/>
                <w:sz w:val="24"/>
                <w:highlight w:val="none"/>
                <w:lang w:bidi="ar"/>
              </w:rPr>
              <w:t>dB；</w:t>
            </w:r>
          </w:p>
          <w:p w14:paraId="59DA24EE">
            <w:pPr>
              <w:widowControl/>
              <w:adjustRightInd w:val="0"/>
              <w:snapToGrid w:val="0"/>
              <w:spacing w:line="360" w:lineRule="auto"/>
              <w:ind w:firstLine="720" w:firstLineChars="3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bidi="ar"/>
              </w:rPr>
              <w:t>TL</w:t>
            </w:r>
            <w:r>
              <w:rPr>
                <w:rFonts w:hint="default" w:ascii="Times New Roman" w:hAnsi="Times New Roman" w:eastAsia="宋体" w:cs="Times New Roman"/>
                <w:bCs/>
                <w:color w:val="auto"/>
                <w:sz w:val="24"/>
                <w:highlight w:val="none"/>
                <w:vertAlign w:val="subscript"/>
                <w:lang w:bidi="ar"/>
              </w:rPr>
              <w:t>i</w:t>
            </w:r>
            <w:r>
              <w:rPr>
                <w:rFonts w:hint="default" w:ascii="Times New Roman" w:hAnsi="Times New Roman" w:eastAsia="宋体" w:cs="Times New Roman"/>
                <w:bCs/>
                <w:color w:val="auto"/>
                <w:sz w:val="24"/>
                <w:highlight w:val="none"/>
                <w:lang w:bidi="ar"/>
              </w:rPr>
              <w:t>——围护结构i倍频带的隔声量，</w:t>
            </w:r>
            <w:r>
              <w:rPr>
                <w:rFonts w:hint="default" w:ascii="Times New Roman" w:hAnsi="Times New Roman" w:eastAsia="宋体" w:cs="Times New Roman"/>
                <w:color w:val="auto"/>
                <w:sz w:val="24"/>
                <w:highlight w:val="none"/>
                <w:lang w:bidi="ar"/>
              </w:rPr>
              <w:t>dB。</w:t>
            </w:r>
          </w:p>
          <w:p w14:paraId="56DC1A16">
            <w:pPr>
              <w:widowControl/>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fldChar w:fldCharType="begin"/>
            </w:r>
            <w:r>
              <w:rPr>
                <w:rFonts w:hint="default" w:ascii="Times New Roman" w:hAnsi="Times New Roman" w:eastAsia="宋体" w:cs="Times New Roman"/>
                <w:color w:val="auto"/>
                <w:sz w:val="24"/>
                <w:highlight w:val="none"/>
              </w:rPr>
              <w:instrText xml:space="preserve"> = 2 \* GB4 \* MERGEFORMAT </w:instrText>
            </w:r>
            <w:r>
              <w:rPr>
                <w:rFonts w:hint="default" w:ascii="Times New Roman" w:hAnsi="Times New Roman" w:eastAsia="宋体" w:cs="Times New Roman"/>
                <w:color w:val="auto"/>
                <w:sz w:val="24"/>
                <w:highlight w:val="none"/>
              </w:rPr>
              <w:fldChar w:fldCharType="separate"/>
            </w:r>
            <w:r>
              <w:rPr>
                <w:color w:val="auto"/>
                <w:highlight w:val="none"/>
              </w:rPr>
              <w:t>㈡</w:t>
            </w:r>
            <w:r>
              <w:rPr>
                <w:rFonts w:hint="default" w:ascii="Times New Roman" w:hAnsi="Times New Roman" w:eastAsia="宋体" w:cs="Times New Roman"/>
                <w:color w:val="auto"/>
                <w:sz w:val="24"/>
                <w:highlight w:val="none"/>
              </w:rPr>
              <w:fldChar w:fldCharType="end"/>
            </w:r>
            <w:r>
              <w:rPr>
                <w:rFonts w:hint="default" w:ascii="Times New Roman" w:hAnsi="Times New Roman" w:eastAsia="宋体" w:cs="Times New Roman"/>
                <w:color w:val="auto"/>
                <w:sz w:val="24"/>
                <w:highlight w:val="none"/>
              </w:rPr>
              <w:t>靠近声源处的预测点噪声预测模型</w:t>
            </w:r>
          </w:p>
          <w:p w14:paraId="67925C80">
            <w:pPr>
              <w:spacing w:line="360" w:lineRule="auto"/>
              <w:ind w:firstLine="480"/>
              <w:rPr>
                <w:rFonts w:hint="default" w:ascii="Times New Roman" w:hAnsi="Times New Roman" w:eastAsia="宋体" w:cs="Times New Roman"/>
                <w:bCs/>
                <w:color w:val="auto"/>
                <w:sz w:val="24"/>
                <w:highlight w:val="none"/>
                <w:lang w:bidi="ar"/>
              </w:rPr>
            </w:pPr>
            <w:r>
              <w:rPr>
                <w:rFonts w:hint="default" w:ascii="Times New Roman" w:hAnsi="Times New Roman" w:eastAsia="宋体" w:cs="Times New Roman"/>
                <w:bCs/>
                <w:color w:val="auto"/>
                <w:sz w:val="24"/>
                <w:highlight w:val="none"/>
                <w:lang w:bidi="ar"/>
              </w:rPr>
              <w:t>如预测点在靠近声源处，但不能满足点声源条件时，需按面声源或线声源模型计算。</w:t>
            </w:r>
          </w:p>
          <w:p w14:paraId="03A985C0">
            <w:pPr>
              <w:widowControl/>
              <w:adjustRightInd w:val="0"/>
              <w:snapToGrid w:val="0"/>
              <w:spacing w:line="360" w:lineRule="auto"/>
              <w:ind w:firstLine="480" w:firstLineChars="200"/>
              <w:rPr>
                <w:rFonts w:hint="default" w:ascii="Times New Roman" w:hAnsi="Times New Roman" w:eastAsia="宋体" w:cs="Times New Roman"/>
                <w:bCs/>
                <w:color w:val="auto"/>
                <w:sz w:val="24"/>
                <w:highlight w:val="none"/>
                <w:lang w:bidi="ar"/>
              </w:rPr>
            </w:pPr>
            <w:r>
              <w:rPr>
                <w:rFonts w:hint="default" w:ascii="Times New Roman" w:hAnsi="Times New Roman" w:eastAsia="宋体" w:cs="Times New Roman"/>
                <w:bCs/>
                <w:color w:val="auto"/>
                <w:sz w:val="24"/>
                <w:highlight w:val="none"/>
                <w:lang w:bidi="ar"/>
              </w:rPr>
              <w:t>一个大型机器设备的振动表面，车间透声的墙壁，均可以认为是面声源。如果已知面源单位面积的声功率为W，各面积元噪声位相是随机的，面声源可看做由无数点声源连续分布组合而成，其合成声级可按能量叠加法求出。</w:t>
            </w:r>
          </w:p>
          <w:p w14:paraId="1548E497">
            <w:pPr>
              <w:widowControl/>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bidi="ar"/>
              </w:rPr>
              <w:t>A、点声源的几何发散衰减</w:t>
            </w:r>
          </w:p>
          <w:p w14:paraId="58CBCBAF">
            <w:pPr>
              <w:widowControl/>
              <w:adjustRightInd w:val="0"/>
              <w:snapToGrid w:val="0"/>
              <w:spacing w:line="360" w:lineRule="auto"/>
              <w:jc w:val="center"/>
              <w:rPr>
                <w:rFonts w:hint="default" w:ascii="Times New Roman" w:hAnsi="Times New Roman" w:eastAsia="宋体" w:cs="Times New Roman"/>
                <w:bCs/>
                <w:color w:val="auto"/>
                <w:sz w:val="24"/>
                <w:highlight w:val="none"/>
                <w:lang w:bidi="ar"/>
              </w:rPr>
            </w:pPr>
            <w:r>
              <w:rPr>
                <w:rFonts w:hint="default" w:ascii="Times New Roman" w:hAnsi="Times New Roman" w:eastAsia="宋体" w:cs="Times New Roman"/>
                <w:color w:val="auto"/>
                <w:sz w:val="24"/>
                <w:highlight w:val="none"/>
                <w:lang w:bidi="ar"/>
              </w:rPr>
              <w:object>
                <v:shape id="_x0000_i1034" o:spt="75" type="#_x0000_t75" style="height:18.75pt;width:135pt;" o:ole="t" filled="f" o:preferrelative="t" stroked="f" coordsize="21600,21600">
                  <v:path/>
                  <v:fill on="f" focussize="0,0"/>
                  <v:stroke on="f"/>
                  <v:imagedata r:id="rId33" o:title=""/>
                  <o:lock v:ext="edit" aspectratio="t"/>
                  <w10:wrap type="none"/>
                  <w10:anchorlock/>
                </v:shape>
                <o:OLEObject Type="Embed" ProgID="Equation.3" ShapeID="_x0000_i1034" DrawAspect="Content" ObjectID="_1468075734" r:id="rId32">
                  <o:LockedField>false</o:LockedField>
                </o:OLEObject>
              </w:object>
            </w:r>
          </w:p>
          <w:p w14:paraId="1B2AB571">
            <w:pPr>
              <w:widowControl/>
              <w:adjustRightInd w:val="0"/>
              <w:snapToGrid w:val="0"/>
              <w:spacing w:line="360" w:lineRule="auto"/>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bCs/>
                <w:color w:val="auto"/>
                <w:sz w:val="24"/>
                <w:highlight w:val="none"/>
                <w:lang w:bidi="ar"/>
              </w:rPr>
              <w:t>式中：L</w:t>
            </w:r>
            <w:r>
              <w:rPr>
                <w:rFonts w:hint="default" w:ascii="Times New Roman" w:hAnsi="Times New Roman" w:eastAsia="宋体" w:cs="Times New Roman"/>
                <w:bCs/>
                <w:color w:val="auto"/>
                <w:sz w:val="24"/>
                <w:highlight w:val="none"/>
                <w:vertAlign w:val="subscript"/>
                <w:lang w:bidi="ar"/>
              </w:rPr>
              <w:t>p</w:t>
            </w:r>
            <w:r>
              <w:rPr>
                <w:rFonts w:hint="default" w:ascii="Times New Roman" w:hAnsi="Times New Roman" w:eastAsia="宋体" w:cs="Times New Roman"/>
                <w:bCs/>
                <w:color w:val="auto"/>
                <w:sz w:val="24"/>
                <w:highlight w:val="none"/>
                <w:lang w:bidi="ar"/>
              </w:rPr>
              <w:t>（r）——预测点处声压级，</w:t>
            </w:r>
            <w:r>
              <w:rPr>
                <w:rFonts w:hint="default" w:ascii="Times New Roman" w:hAnsi="Times New Roman" w:eastAsia="宋体" w:cs="Times New Roman"/>
                <w:color w:val="auto"/>
                <w:sz w:val="24"/>
                <w:highlight w:val="none"/>
                <w:lang w:bidi="ar"/>
              </w:rPr>
              <w:t>dB；</w:t>
            </w:r>
          </w:p>
          <w:p w14:paraId="75321C3D">
            <w:pPr>
              <w:widowControl/>
              <w:adjustRightInd w:val="0"/>
              <w:snapToGrid w:val="0"/>
              <w:spacing w:line="360" w:lineRule="auto"/>
              <w:ind w:firstLine="720" w:firstLineChars="3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lang w:bidi="ar"/>
              </w:rPr>
              <w:t>L</w:t>
            </w:r>
            <w:r>
              <w:rPr>
                <w:rFonts w:hint="default" w:ascii="Times New Roman" w:hAnsi="Times New Roman" w:eastAsia="宋体" w:cs="Times New Roman"/>
                <w:bCs/>
                <w:color w:val="auto"/>
                <w:sz w:val="24"/>
                <w:highlight w:val="none"/>
                <w:vertAlign w:val="subscript"/>
                <w:lang w:bidi="ar"/>
              </w:rPr>
              <w:t>p</w:t>
            </w:r>
            <w:r>
              <w:rPr>
                <w:rFonts w:hint="default" w:ascii="Times New Roman" w:hAnsi="Times New Roman" w:eastAsia="宋体" w:cs="Times New Roman"/>
                <w:bCs/>
                <w:color w:val="auto"/>
                <w:sz w:val="24"/>
                <w:highlight w:val="none"/>
                <w:lang w:bidi="ar"/>
              </w:rPr>
              <w:t>（r</w:t>
            </w:r>
            <w:r>
              <w:rPr>
                <w:rFonts w:hint="default" w:ascii="Times New Roman" w:hAnsi="Times New Roman" w:eastAsia="宋体" w:cs="Times New Roman"/>
                <w:bCs/>
                <w:color w:val="auto"/>
                <w:sz w:val="24"/>
                <w:highlight w:val="none"/>
                <w:vertAlign w:val="subscript"/>
                <w:lang w:bidi="ar"/>
              </w:rPr>
              <w:t>0</w:t>
            </w:r>
            <w:r>
              <w:rPr>
                <w:rFonts w:hint="default" w:ascii="Times New Roman" w:hAnsi="Times New Roman" w:eastAsia="宋体" w:cs="Times New Roman"/>
                <w:bCs/>
                <w:color w:val="auto"/>
                <w:sz w:val="24"/>
                <w:highlight w:val="none"/>
                <w:lang w:bidi="ar"/>
              </w:rPr>
              <w:t>）——参考位置r</w:t>
            </w:r>
            <w:r>
              <w:rPr>
                <w:rFonts w:hint="default" w:ascii="Times New Roman" w:hAnsi="Times New Roman" w:eastAsia="宋体" w:cs="Times New Roman"/>
                <w:bCs/>
                <w:color w:val="auto"/>
                <w:sz w:val="24"/>
                <w:highlight w:val="none"/>
                <w:vertAlign w:val="subscript"/>
                <w:lang w:bidi="ar"/>
              </w:rPr>
              <w:t>0</w:t>
            </w:r>
            <w:r>
              <w:rPr>
                <w:rFonts w:hint="default" w:ascii="Times New Roman" w:hAnsi="Times New Roman" w:eastAsia="宋体" w:cs="Times New Roman"/>
                <w:bCs/>
                <w:color w:val="auto"/>
                <w:sz w:val="24"/>
                <w:highlight w:val="none"/>
                <w:lang w:bidi="ar"/>
              </w:rPr>
              <w:t>处的压级，</w:t>
            </w:r>
            <w:r>
              <w:rPr>
                <w:rFonts w:hint="default" w:ascii="Times New Roman" w:hAnsi="Times New Roman" w:eastAsia="宋体" w:cs="Times New Roman"/>
                <w:color w:val="auto"/>
                <w:sz w:val="24"/>
                <w:highlight w:val="none"/>
                <w:lang w:bidi="ar"/>
              </w:rPr>
              <w:t>dB；</w:t>
            </w:r>
          </w:p>
          <w:p w14:paraId="07A62AB5">
            <w:pPr>
              <w:widowControl/>
              <w:adjustRightInd w:val="0"/>
              <w:snapToGrid w:val="0"/>
              <w:spacing w:line="360" w:lineRule="auto"/>
              <w:ind w:firstLine="720" w:firstLineChars="3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bidi="ar"/>
              </w:rPr>
              <w:t>r——预测点距离声源的距离，m；</w:t>
            </w:r>
          </w:p>
          <w:p w14:paraId="1804A091">
            <w:pPr>
              <w:widowControl/>
              <w:adjustRightInd w:val="0"/>
              <w:snapToGrid w:val="0"/>
              <w:spacing w:line="360" w:lineRule="auto"/>
              <w:ind w:firstLine="720" w:firstLineChars="300"/>
              <w:rPr>
                <w:rFonts w:hint="default" w:ascii="Times New Roman" w:hAnsi="Times New Roman" w:eastAsia="宋体" w:cs="Times New Roman"/>
                <w:bCs/>
                <w:color w:val="auto"/>
                <w:sz w:val="24"/>
                <w:highlight w:val="none"/>
                <w:lang w:bidi="ar"/>
              </w:rPr>
            </w:pPr>
            <w:r>
              <w:rPr>
                <w:rFonts w:hint="default" w:ascii="Times New Roman" w:hAnsi="Times New Roman" w:eastAsia="宋体" w:cs="Times New Roman"/>
                <w:bCs/>
                <w:color w:val="auto"/>
                <w:sz w:val="24"/>
                <w:highlight w:val="none"/>
                <w:lang w:bidi="ar"/>
              </w:rPr>
              <w:t>r</w:t>
            </w:r>
            <w:r>
              <w:rPr>
                <w:rFonts w:hint="default" w:ascii="Times New Roman" w:hAnsi="Times New Roman" w:eastAsia="宋体" w:cs="Times New Roman"/>
                <w:bCs/>
                <w:color w:val="auto"/>
                <w:sz w:val="24"/>
                <w:highlight w:val="none"/>
                <w:vertAlign w:val="subscript"/>
                <w:lang w:bidi="ar"/>
              </w:rPr>
              <w:t>0</w:t>
            </w:r>
            <w:r>
              <w:rPr>
                <w:rFonts w:hint="default" w:ascii="Times New Roman" w:hAnsi="Times New Roman" w:eastAsia="宋体" w:cs="Times New Roman"/>
                <w:bCs/>
                <w:color w:val="auto"/>
                <w:sz w:val="24"/>
                <w:highlight w:val="none"/>
                <w:lang w:bidi="ar"/>
              </w:rPr>
              <w:t>——参考位置距离声源的距离，m。</w:t>
            </w:r>
          </w:p>
          <w:p w14:paraId="2DFE46A4">
            <w:pPr>
              <w:widowControl/>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bidi="ar"/>
              </w:rPr>
              <w:t>B、面声源的几何发散衰减</w:t>
            </w:r>
          </w:p>
          <w:p w14:paraId="606CD0BB">
            <w:pPr>
              <w:widowControl/>
              <w:spacing w:before="163" w:beforeLines="5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highlight w:val="none"/>
              </w:rPr>
              <w:drawing>
                <wp:inline distT="0" distB="0" distL="114300" distR="114300">
                  <wp:extent cx="3239770" cy="2107565"/>
                  <wp:effectExtent l="0" t="0" r="17780" b="698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34"/>
                          <a:stretch>
                            <a:fillRect/>
                          </a:stretch>
                        </pic:blipFill>
                        <pic:spPr>
                          <a:xfrm>
                            <a:off x="0" y="0"/>
                            <a:ext cx="3239770" cy="2107565"/>
                          </a:xfrm>
                          <a:prstGeom prst="rect">
                            <a:avLst/>
                          </a:prstGeom>
                          <a:noFill/>
                          <a:ln>
                            <a:noFill/>
                          </a:ln>
                        </pic:spPr>
                      </pic:pic>
                    </a:graphicData>
                  </a:graphic>
                </wp:inline>
              </w:drawing>
            </w:r>
          </w:p>
          <w:p w14:paraId="3D76300F">
            <w:pPr>
              <w:widowControl/>
              <w:adjustRightInd w:val="0"/>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bidi="ar"/>
              </w:rPr>
              <w:t>图4.2-</w:t>
            </w:r>
            <w:r>
              <w:rPr>
                <w:rFonts w:hint="default" w:ascii="Times New Roman" w:hAnsi="Times New Roman" w:eastAsia="宋体" w:cs="Times New Roman"/>
                <w:b/>
                <w:color w:val="auto"/>
                <w:sz w:val="24"/>
                <w:highlight w:val="none"/>
                <w:lang w:val="en-US" w:eastAsia="zh-CN" w:bidi="ar"/>
              </w:rPr>
              <w:t>2</w:t>
            </w:r>
            <w:r>
              <w:rPr>
                <w:rFonts w:hint="default" w:ascii="Times New Roman" w:hAnsi="Times New Roman" w:eastAsia="宋体" w:cs="Times New Roman"/>
                <w:b/>
                <w:color w:val="auto"/>
                <w:sz w:val="24"/>
                <w:highlight w:val="none"/>
                <w:lang w:bidi="ar"/>
              </w:rPr>
              <w:t xml:space="preserve">  长方形面声源执行轴线上的衰减特性（虚线为实际衰减量）</w:t>
            </w:r>
          </w:p>
          <w:p w14:paraId="7CC82B93">
            <w:pPr>
              <w:widowControl/>
              <w:adjustRightInd w:val="0"/>
              <w:snapToGrid w:val="0"/>
              <w:spacing w:line="360" w:lineRule="auto"/>
              <w:ind w:firstLine="480" w:firstLineChars="200"/>
              <w:rPr>
                <w:rFonts w:hint="default" w:ascii="Times New Roman" w:hAnsi="Times New Roman" w:eastAsia="宋体" w:cs="Times New Roman"/>
                <w:bCs/>
                <w:color w:val="auto"/>
                <w:sz w:val="24"/>
                <w:highlight w:val="none"/>
                <w:lang w:bidi="ar"/>
              </w:rPr>
            </w:pPr>
            <w:r>
              <w:rPr>
                <w:rFonts w:hint="default" w:ascii="Times New Roman" w:hAnsi="Times New Roman" w:eastAsia="宋体" w:cs="Times New Roman"/>
                <w:bCs/>
                <w:color w:val="auto"/>
                <w:sz w:val="24"/>
                <w:highlight w:val="none"/>
                <w:lang w:bidi="ar"/>
              </w:rPr>
              <w:t>图</w:t>
            </w:r>
            <w:r>
              <w:rPr>
                <w:rFonts w:hint="default" w:ascii="Times New Roman" w:hAnsi="Times New Roman" w:eastAsia="宋体" w:cs="Times New Roman"/>
                <w:color w:val="auto"/>
                <w:sz w:val="24"/>
                <w:highlight w:val="none"/>
              </w:rPr>
              <w:t>4.2-</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bCs/>
                <w:color w:val="auto"/>
                <w:sz w:val="24"/>
                <w:highlight w:val="none"/>
                <w:lang w:bidi="ar"/>
              </w:rPr>
              <w:t>给出了长方形面声源执行轴线上的声衰减曲线。当预测点和面声源中心距离r处于以下条件时，可按下述方法近似计算：r＜a/π时，几乎不衰减（Adiv≈0）；当a/π＜r＜b/π，距离加倍衰减3dB左右，类似线声源衰减特性[Adiv≈10lg(r/r0)）]；当r＞b/π时，距离加倍衰减趋近于6dB，类似点声源衰减特性[Adiv≈20lg(r/r0)）]，其中面声源的b＞a。</w:t>
            </w:r>
          </w:p>
          <w:p w14:paraId="6FBEF9BC">
            <w:pPr>
              <w:pStyle w:val="42"/>
              <w:spacing w:line="360" w:lineRule="auto"/>
              <w:ind w:firstLine="480" w:firstLineChars="200"/>
              <w:jc w:val="both"/>
              <w:rPr>
                <w:rFonts w:hint="default" w:ascii="Times New Roman" w:hAnsi="Times New Roman" w:eastAsia="宋体" w:cs="Times New Roman"/>
                <w:color w:val="auto"/>
                <w:kern w:val="2"/>
                <w:highlight w:val="none"/>
              </w:rPr>
            </w:pPr>
            <w:r>
              <w:rPr>
                <w:rFonts w:hint="default" w:ascii="Times New Roman" w:hAnsi="Times New Roman" w:eastAsia="宋体" w:cs="Times New Roman"/>
                <w:color w:val="auto"/>
                <w:highlight w:val="none"/>
                <w:lang w:bidi="ar"/>
              </w:rPr>
              <w:t>本项目</w:t>
            </w:r>
            <w:r>
              <w:rPr>
                <w:rFonts w:hint="eastAsia" w:ascii="Times New Roman" w:cs="Times New Roman"/>
                <w:color w:val="auto"/>
                <w:highlight w:val="none"/>
                <w:lang w:val="en-US" w:eastAsia="zh-CN" w:bidi="ar"/>
              </w:rPr>
              <w:t>1#施工场地的拌和站、钢筋加工场</w:t>
            </w:r>
            <w:r>
              <w:rPr>
                <w:rFonts w:hint="default" w:ascii="Times New Roman" w:hAnsi="Times New Roman" w:eastAsia="宋体" w:cs="Times New Roman"/>
                <w:color w:val="auto"/>
                <w:highlight w:val="none"/>
                <w:lang w:bidi="ar"/>
              </w:rPr>
              <w:t>a≈</w:t>
            </w:r>
            <w:r>
              <w:rPr>
                <w:rFonts w:hint="eastAsia" w:ascii="Times New Roman" w:cs="Times New Roman"/>
                <w:color w:val="auto"/>
                <w:highlight w:val="none"/>
                <w:lang w:val="en-US" w:eastAsia="zh-CN" w:bidi="ar"/>
              </w:rPr>
              <w:t>5</w:t>
            </w:r>
            <w:r>
              <w:rPr>
                <w:rFonts w:hint="default" w:ascii="Times New Roman" w:hAnsi="Times New Roman" w:eastAsia="宋体" w:cs="Times New Roman"/>
                <w:color w:val="auto"/>
                <w:highlight w:val="none"/>
                <w:lang w:bidi="ar"/>
              </w:rPr>
              <w:t>m，r取厂房外1m，即r=1m，a/π≈</w:t>
            </w:r>
            <w:r>
              <w:rPr>
                <w:rFonts w:hint="eastAsia" w:ascii="Times New Roman" w:cs="Times New Roman"/>
                <w:color w:val="auto"/>
                <w:highlight w:val="none"/>
                <w:lang w:val="en-US" w:eastAsia="zh-CN" w:bidi="ar"/>
              </w:rPr>
              <w:t>1.6</w:t>
            </w:r>
            <w:r>
              <w:rPr>
                <w:rFonts w:hint="default" w:ascii="Times New Roman" w:hAnsi="Times New Roman" w:eastAsia="宋体" w:cs="Times New Roman"/>
                <w:color w:val="auto"/>
                <w:highlight w:val="none"/>
                <w:lang w:bidi="ar"/>
              </w:rPr>
              <w:t>，则r＜a/π，几乎不衰减（Adiv≈0）</w:t>
            </w:r>
            <w:r>
              <w:rPr>
                <w:rFonts w:hint="default" w:ascii="Times New Roman" w:hAnsi="Times New Roman" w:eastAsia="宋体" w:cs="Times New Roman"/>
                <w:color w:val="auto"/>
                <w:kern w:val="2"/>
                <w:highlight w:val="none"/>
              </w:rPr>
              <w:t>。</w:t>
            </w:r>
          </w:p>
          <w:p w14:paraId="7E0E40FF">
            <w:pPr>
              <w:widowControl/>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lang w:bidi="ar"/>
              </w:rPr>
              <w:fldChar w:fldCharType="begin"/>
            </w:r>
            <w:r>
              <w:rPr>
                <w:rFonts w:hint="default" w:ascii="Times New Roman" w:hAnsi="Times New Roman" w:eastAsia="宋体" w:cs="Times New Roman"/>
                <w:bCs/>
                <w:color w:val="auto"/>
                <w:sz w:val="24"/>
                <w:highlight w:val="none"/>
                <w:lang w:bidi="ar"/>
              </w:rPr>
              <w:instrText xml:space="preserve"> = 3 \* GB4 \* MERGEFORMAT </w:instrText>
            </w:r>
            <w:r>
              <w:rPr>
                <w:rFonts w:hint="default" w:ascii="Times New Roman" w:hAnsi="Times New Roman" w:eastAsia="宋体" w:cs="Times New Roman"/>
                <w:bCs/>
                <w:color w:val="auto"/>
                <w:sz w:val="24"/>
                <w:highlight w:val="none"/>
                <w:lang w:bidi="ar"/>
              </w:rPr>
              <w:fldChar w:fldCharType="separate"/>
            </w:r>
            <w:r>
              <w:rPr>
                <w:color w:val="auto"/>
                <w:highlight w:val="none"/>
              </w:rPr>
              <w:t>㈢</w:t>
            </w:r>
            <w:r>
              <w:rPr>
                <w:rFonts w:hint="default" w:ascii="Times New Roman" w:hAnsi="Times New Roman" w:eastAsia="宋体" w:cs="Times New Roman"/>
                <w:bCs/>
                <w:color w:val="auto"/>
                <w:sz w:val="24"/>
                <w:highlight w:val="none"/>
                <w:lang w:bidi="ar"/>
              </w:rPr>
              <w:fldChar w:fldCharType="end"/>
            </w:r>
            <w:r>
              <w:rPr>
                <w:rFonts w:hint="default" w:ascii="Times New Roman" w:hAnsi="Times New Roman" w:eastAsia="宋体" w:cs="Times New Roman"/>
                <w:color w:val="auto"/>
                <w:sz w:val="24"/>
                <w:highlight w:val="none"/>
                <w:lang w:bidi="ar"/>
              </w:rPr>
              <w:t>预测点的贡献值和背景值按能量叠加方法计算得到的声级</w:t>
            </w:r>
          </w:p>
          <w:p w14:paraId="35719797">
            <w:pPr>
              <w:widowControl/>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bidi="ar"/>
              </w:rPr>
              <w:object>
                <v:shape id="_x0000_i1035" o:spt="75" type="#_x0000_t75" style="height:21pt;width:135pt;" o:ole="t" filled="f" o:preferrelative="t" stroked="f" coordsize="21600,21600">
                  <v:path/>
                  <v:fill on="f" focussize="0,0"/>
                  <v:stroke on="f"/>
                  <v:imagedata r:id="rId36" o:title=""/>
                  <o:lock v:ext="edit" aspectratio="t"/>
                  <w10:wrap type="none"/>
                  <w10:anchorlock/>
                </v:shape>
                <o:OLEObject Type="Embed" ProgID="Equation.3" ShapeID="_x0000_i1035" DrawAspect="Content" ObjectID="_1468075735" r:id="rId35">
                  <o:LockedField>false</o:LockedField>
                </o:OLEObject>
              </w:object>
            </w:r>
          </w:p>
          <w:p w14:paraId="3338290C">
            <w:pPr>
              <w:widowControl/>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lang w:bidi="ar"/>
              </w:rPr>
              <w:t>式中：L</w:t>
            </w:r>
            <w:r>
              <w:rPr>
                <w:rFonts w:hint="default" w:ascii="Times New Roman" w:hAnsi="Times New Roman" w:eastAsia="宋体" w:cs="Times New Roman"/>
                <w:bCs/>
                <w:color w:val="auto"/>
                <w:sz w:val="24"/>
                <w:highlight w:val="none"/>
                <w:vertAlign w:val="subscript"/>
                <w:lang w:bidi="ar"/>
              </w:rPr>
              <w:t>eq</w:t>
            </w:r>
            <w:r>
              <w:rPr>
                <w:rFonts w:hint="default" w:ascii="Times New Roman" w:hAnsi="Times New Roman" w:eastAsia="宋体" w:cs="Times New Roman"/>
                <w:bCs/>
                <w:color w:val="auto"/>
                <w:sz w:val="24"/>
                <w:highlight w:val="none"/>
                <w:lang w:bidi="ar"/>
              </w:rPr>
              <w:t>——</w:t>
            </w:r>
            <w:r>
              <w:rPr>
                <w:rFonts w:hint="default" w:ascii="Times New Roman" w:hAnsi="Times New Roman" w:eastAsia="宋体" w:cs="Times New Roman"/>
                <w:color w:val="auto"/>
                <w:sz w:val="24"/>
                <w:highlight w:val="none"/>
                <w:lang w:bidi="ar"/>
              </w:rPr>
              <w:t>预测点的噪声预测值</w:t>
            </w:r>
            <w:r>
              <w:rPr>
                <w:rFonts w:hint="default" w:ascii="Times New Roman" w:hAnsi="Times New Roman" w:eastAsia="宋体" w:cs="Times New Roman"/>
                <w:bCs/>
                <w:color w:val="auto"/>
                <w:sz w:val="24"/>
                <w:highlight w:val="none"/>
                <w:lang w:bidi="ar"/>
              </w:rPr>
              <w:t>，</w:t>
            </w:r>
            <w:r>
              <w:rPr>
                <w:rFonts w:hint="default" w:ascii="Times New Roman" w:hAnsi="Times New Roman" w:eastAsia="宋体" w:cs="Times New Roman"/>
                <w:color w:val="auto"/>
                <w:sz w:val="24"/>
                <w:highlight w:val="none"/>
                <w:lang w:bidi="ar"/>
              </w:rPr>
              <w:t>dB；</w:t>
            </w:r>
          </w:p>
          <w:p w14:paraId="237E57C6">
            <w:pPr>
              <w:pStyle w:val="10"/>
              <w:widowControl w:val="0"/>
              <w:spacing w:before="0" w:beforeAutospacing="0" w:after="0" w:afterAutospacing="0" w:line="360" w:lineRule="auto"/>
              <w:ind w:firstLine="720" w:firstLineChars="300"/>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kern w:val="2"/>
                <w:szCs w:val="24"/>
                <w:highlight w:val="none"/>
                <w:lang w:bidi="ar"/>
              </w:rPr>
              <w:t>L</w:t>
            </w:r>
            <w:r>
              <w:rPr>
                <w:rFonts w:hint="default" w:ascii="Times New Roman" w:hAnsi="Times New Roman" w:eastAsia="宋体" w:cs="Times New Roman"/>
                <w:bCs/>
                <w:color w:val="auto"/>
                <w:kern w:val="2"/>
                <w:szCs w:val="24"/>
                <w:highlight w:val="none"/>
                <w:vertAlign w:val="subscript"/>
                <w:lang w:bidi="ar"/>
              </w:rPr>
              <w:t>eqg</w:t>
            </w:r>
            <w:r>
              <w:rPr>
                <w:rFonts w:hint="default" w:ascii="Times New Roman" w:hAnsi="Times New Roman" w:eastAsia="宋体" w:cs="Times New Roman"/>
                <w:bCs/>
                <w:color w:val="auto"/>
                <w:kern w:val="2"/>
                <w:szCs w:val="24"/>
                <w:highlight w:val="none"/>
                <w:lang w:bidi="ar"/>
              </w:rPr>
              <w:t>——</w:t>
            </w:r>
            <w:r>
              <w:rPr>
                <w:rFonts w:hint="default" w:ascii="Times New Roman" w:hAnsi="Times New Roman" w:eastAsia="宋体" w:cs="Times New Roman"/>
                <w:color w:val="auto"/>
                <w:kern w:val="2"/>
                <w:szCs w:val="24"/>
                <w:highlight w:val="none"/>
                <w:lang w:bidi="ar"/>
              </w:rPr>
              <w:t>建设项目声源在预测点产生的噪声贡献值</w:t>
            </w:r>
            <w:r>
              <w:rPr>
                <w:rFonts w:hint="default" w:ascii="Times New Roman" w:hAnsi="Times New Roman" w:eastAsia="宋体" w:cs="Times New Roman"/>
                <w:bCs/>
                <w:color w:val="auto"/>
                <w:kern w:val="2"/>
                <w:szCs w:val="24"/>
                <w:highlight w:val="none"/>
                <w:lang w:bidi="ar"/>
              </w:rPr>
              <w:t>，</w:t>
            </w:r>
            <w:r>
              <w:rPr>
                <w:rFonts w:hint="default" w:ascii="Times New Roman" w:hAnsi="Times New Roman" w:eastAsia="宋体" w:cs="Times New Roman"/>
                <w:color w:val="auto"/>
                <w:kern w:val="2"/>
                <w:szCs w:val="24"/>
                <w:highlight w:val="none"/>
                <w:lang w:bidi="ar"/>
              </w:rPr>
              <w:t>dB；</w:t>
            </w:r>
          </w:p>
          <w:p w14:paraId="1B3B8B4C">
            <w:pPr>
              <w:widowControl/>
              <w:adjustRightInd w:val="0"/>
              <w:snapToGrid w:val="0"/>
              <w:spacing w:line="360" w:lineRule="auto"/>
              <w:ind w:firstLine="720" w:firstLineChars="3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lang w:bidi="ar"/>
              </w:rPr>
              <w:t>L</w:t>
            </w:r>
            <w:r>
              <w:rPr>
                <w:rFonts w:hint="default" w:ascii="Times New Roman" w:hAnsi="Times New Roman" w:eastAsia="宋体" w:cs="Times New Roman"/>
                <w:bCs/>
                <w:color w:val="auto"/>
                <w:sz w:val="24"/>
                <w:highlight w:val="none"/>
                <w:vertAlign w:val="subscript"/>
                <w:lang w:bidi="ar"/>
              </w:rPr>
              <w:t>eqb</w:t>
            </w:r>
            <w:r>
              <w:rPr>
                <w:rFonts w:hint="default" w:ascii="Times New Roman" w:hAnsi="Times New Roman" w:eastAsia="宋体" w:cs="Times New Roman"/>
                <w:bCs/>
                <w:color w:val="auto"/>
                <w:sz w:val="24"/>
                <w:highlight w:val="none"/>
                <w:lang w:bidi="ar"/>
              </w:rPr>
              <w:t>——</w:t>
            </w:r>
            <w:r>
              <w:rPr>
                <w:rFonts w:hint="default" w:ascii="Times New Roman" w:hAnsi="Times New Roman" w:eastAsia="宋体" w:cs="Times New Roman"/>
                <w:color w:val="auto"/>
                <w:sz w:val="24"/>
                <w:highlight w:val="none"/>
                <w:lang w:bidi="ar"/>
              </w:rPr>
              <w:t>预测点的背景噪声值</w:t>
            </w:r>
            <w:r>
              <w:rPr>
                <w:rFonts w:hint="default" w:ascii="Times New Roman" w:hAnsi="Times New Roman" w:eastAsia="宋体" w:cs="Times New Roman"/>
                <w:bCs/>
                <w:color w:val="auto"/>
                <w:sz w:val="24"/>
                <w:highlight w:val="none"/>
                <w:lang w:bidi="ar"/>
              </w:rPr>
              <w:t>，</w:t>
            </w:r>
            <w:r>
              <w:rPr>
                <w:rFonts w:hint="default" w:ascii="Times New Roman" w:hAnsi="Times New Roman" w:eastAsia="宋体" w:cs="Times New Roman"/>
                <w:color w:val="auto"/>
                <w:sz w:val="24"/>
                <w:highlight w:val="none"/>
                <w:lang w:bidi="ar"/>
              </w:rPr>
              <w:t>dB。</w:t>
            </w:r>
          </w:p>
          <w:p w14:paraId="1D8230AB">
            <w:pPr>
              <w:pStyle w:val="42"/>
              <w:spacing w:line="360" w:lineRule="auto"/>
              <w:ind w:firstLine="480" w:firstLineChars="200"/>
              <w:jc w:val="both"/>
              <w:rPr>
                <w:rFonts w:hint="default" w:ascii="Times New Roman" w:hAnsi="Times New Roman" w:eastAsia="宋体" w:cs="Times New Roman"/>
                <w:color w:val="auto"/>
                <w:highlight w:val="none"/>
              </w:rPr>
            </w:pPr>
            <w:r>
              <w:rPr>
                <w:rFonts w:hint="eastAsia" w:ascii="Times New Roman" w:cs="Times New Roman"/>
                <w:color w:val="auto"/>
                <w:highlight w:val="none"/>
                <w:lang w:val="en-US" w:eastAsia="zh-CN"/>
              </w:rPr>
              <w:t>1#施工场地内的拌和站、钢筋加工场的</w:t>
            </w:r>
            <w:r>
              <w:rPr>
                <w:rFonts w:hint="default" w:ascii="Times New Roman" w:hAnsi="Times New Roman" w:eastAsia="宋体" w:cs="Times New Roman"/>
                <w:color w:val="auto"/>
                <w:highlight w:val="none"/>
              </w:rPr>
              <w:t>噪声源与各声屏障关系见表</w:t>
            </w:r>
            <w:r>
              <w:rPr>
                <w:rFonts w:hint="default" w:ascii="Times New Roman" w:hAnsi="Times New Roman" w:eastAsia="宋体" w:cs="Times New Roman"/>
                <w:color w:val="auto"/>
                <w:highlight w:val="none"/>
                <w:lang w:eastAsia="zh-CN"/>
              </w:rPr>
              <w:t>4.2-</w:t>
            </w:r>
            <w:r>
              <w:rPr>
                <w:rFonts w:hint="eastAsia" w:ascii="Times New Roman" w:cs="Times New Roman"/>
                <w:color w:val="auto"/>
                <w:highlight w:val="none"/>
                <w:lang w:val="en-US" w:eastAsia="zh-CN"/>
              </w:rPr>
              <w:t>4~表4.2-5</w:t>
            </w:r>
            <w:r>
              <w:rPr>
                <w:rFonts w:hint="default" w:ascii="Times New Roman" w:hAnsi="Times New Roman" w:eastAsia="宋体" w:cs="Times New Roman"/>
                <w:color w:val="auto"/>
                <w:highlight w:val="none"/>
              </w:rPr>
              <w:t>。</w:t>
            </w:r>
          </w:p>
          <w:p w14:paraId="570A3241">
            <w:pPr>
              <w:ind w:firstLine="480"/>
              <w:rPr>
                <w:rFonts w:hAnsi="Times New Roman"/>
                <w:bCs/>
                <w:color w:val="auto"/>
                <w:highlight w:val="none"/>
              </w:rPr>
            </w:pPr>
          </w:p>
          <w:p w14:paraId="53372726">
            <w:pPr>
              <w:pStyle w:val="30"/>
              <w:rPr>
                <w:rFonts w:hAnsi="Times New Roman"/>
                <w:bCs/>
                <w:color w:val="auto"/>
                <w:highlight w:val="none"/>
              </w:rPr>
            </w:pPr>
          </w:p>
          <w:p w14:paraId="44788711">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color w:val="auto"/>
                <w:highlight w:val="none"/>
              </w:rPr>
            </w:pPr>
          </w:p>
        </w:tc>
      </w:tr>
    </w:tbl>
    <w:p w14:paraId="2F048E43">
      <w:pPr>
        <w:rPr>
          <w:rFonts w:hint="default" w:ascii="Times New Roman" w:hAnsi="Times New Roman" w:eastAsia="黑体" w:cs="Times New Roman"/>
          <w:color w:val="auto"/>
          <w:sz w:val="30"/>
          <w:szCs w:val="30"/>
          <w:highlight w:val="none"/>
        </w:rPr>
        <w:sectPr>
          <w:footerReference r:id="rId11" w:type="default"/>
          <w:pgSz w:w="11906" w:h="16838"/>
          <w:pgMar w:top="1440" w:right="1083" w:bottom="1440" w:left="1083" w:header="851" w:footer="992" w:gutter="0"/>
          <w:pgBorders>
            <w:top w:val="none" w:sz="0" w:space="0"/>
            <w:left w:val="none" w:sz="0" w:space="0"/>
            <w:bottom w:val="none" w:sz="0" w:space="0"/>
            <w:right w:val="none" w:sz="0" w:space="0"/>
          </w:pgBorders>
          <w:pgNumType w:fmt="decimal" w:start="1"/>
          <w:cols w:space="720" w:num="1"/>
          <w:docGrid w:type="lines" w:linePitch="335" w:charSpace="0"/>
        </w:sectPr>
      </w:pPr>
    </w:p>
    <w:p w14:paraId="43E2D5FD">
      <w:pPr>
        <w:pStyle w:val="42"/>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eastAsia="zh-CN"/>
        </w:rPr>
        <w:t>4.2-</w:t>
      </w:r>
      <w:r>
        <w:rPr>
          <w:rFonts w:hint="eastAsia" w:ascii="Times New Roman" w:cs="Times New Roman"/>
          <w:b/>
          <w:bCs/>
          <w:color w:val="auto"/>
          <w:highlight w:val="none"/>
          <w:lang w:val="en-US" w:eastAsia="zh-CN"/>
        </w:rPr>
        <w:t>4</w:t>
      </w:r>
      <w:r>
        <w:rPr>
          <w:rFonts w:hint="default" w:ascii="Times New Roman" w:hAnsi="Times New Roman" w:eastAsia="宋体" w:cs="Times New Roman"/>
          <w:b/>
          <w:bCs/>
          <w:color w:val="auto"/>
          <w:highlight w:val="none"/>
        </w:rPr>
        <w:t xml:space="preserve">  </w:t>
      </w:r>
      <w:r>
        <w:rPr>
          <w:rFonts w:hint="eastAsia" w:ascii="Times New Roman" w:cs="Times New Roman"/>
          <w:b/>
          <w:bCs/>
          <w:color w:val="auto"/>
          <w:highlight w:val="none"/>
          <w:lang w:val="en-US" w:eastAsia="zh-CN"/>
        </w:rPr>
        <w:t>1#施工场地</w:t>
      </w:r>
      <w:r>
        <w:rPr>
          <w:rFonts w:hint="default" w:ascii="Times New Roman" w:hAnsi="Times New Roman" w:eastAsia="宋体" w:cs="Times New Roman"/>
          <w:b/>
          <w:bCs/>
          <w:color w:val="auto"/>
          <w:highlight w:val="none"/>
        </w:rPr>
        <w:t>噪声源强调查清单（室内声源）</w:t>
      </w:r>
    </w:p>
    <w:tbl>
      <w:tblPr>
        <w:tblStyle w:val="11"/>
        <w:tblpPr w:leftFromText="180" w:rightFromText="180" w:vertAnchor="text" w:horzAnchor="page" w:tblpXSpec="center" w:tblpY="68"/>
        <w:tblOverlap w:val="never"/>
        <w:tblW w:w="15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645"/>
        <w:gridCol w:w="615"/>
        <w:gridCol w:w="453"/>
        <w:gridCol w:w="740"/>
        <w:gridCol w:w="833"/>
        <w:gridCol w:w="625"/>
        <w:gridCol w:w="563"/>
        <w:gridCol w:w="698"/>
        <w:gridCol w:w="577"/>
        <w:gridCol w:w="577"/>
        <w:gridCol w:w="577"/>
        <w:gridCol w:w="578"/>
        <w:gridCol w:w="569"/>
        <w:gridCol w:w="569"/>
        <w:gridCol w:w="569"/>
        <w:gridCol w:w="573"/>
        <w:gridCol w:w="878"/>
        <w:gridCol w:w="897"/>
        <w:gridCol w:w="650"/>
        <w:gridCol w:w="900"/>
        <w:gridCol w:w="737"/>
        <w:gridCol w:w="538"/>
        <w:gridCol w:w="737"/>
      </w:tblGrid>
      <w:tr w14:paraId="1A69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vMerge w:val="restart"/>
            <w:noWrap w:val="0"/>
            <w:vAlign w:val="center"/>
          </w:tcPr>
          <w:p w14:paraId="2E40989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645" w:type="dxa"/>
            <w:vMerge w:val="restart"/>
            <w:noWrap w:val="0"/>
            <w:vAlign w:val="center"/>
          </w:tcPr>
          <w:p w14:paraId="408BF9E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建筑物名称</w:t>
            </w:r>
          </w:p>
        </w:tc>
        <w:tc>
          <w:tcPr>
            <w:tcW w:w="615" w:type="dxa"/>
            <w:vMerge w:val="restart"/>
            <w:noWrap w:val="0"/>
            <w:vAlign w:val="center"/>
          </w:tcPr>
          <w:p w14:paraId="5BE83C3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声源名称</w:t>
            </w:r>
          </w:p>
        </w:tc>
        <w:tc>
          <w:tcPr>
            <w:tcW w:w="453" w:type="dxa"/>
            <w:vMerge w:val="restart"/>
            <w:noWrap w:val="0"/>
            <w:vAlign w:val="center"/>
          </w:tcPr>
          <w:p w14:paraId="79AE68A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型号</w:t>
            </w:r>
          </w:p>
        </w:tc>
        <w:tc>
          <w:tcPr>
            <w:tcW w:w="740" w:type="dxa"/>
            <w:noWrap w:val="0"/>
            <w:vAlign w:val="center"/>
          </w:tcPr>
          <w:p w14:paraId="40C6580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声源源强</w:t>
            </w:r>
          </w:p>
        </w:tc>
        <w:tc>
          <w:tcPr>
            <w:tcW w:w="833" w:type="dxa"/>
            <w:vMerge w:val="restart"/>
            <w:noWrap w:val="0"/>
            <w:vAlign w:val="center"/>
          </w:tcPr>
          <w:p w14:paraId="5013C60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声源控制措施</w:t>
            </w:r>
          </w:p>
        </w:tc>
        <w:tc>
          <w:tcPr>
            <w:tcW w:w="1886" w:type="dxa"/>
            <w:gridSpan w:val="3"/>
            <w:noWrap w:val="0"/>
            <w:vAlign w:val="center"/>
          </w:tcPr>
          <w:p w14:paraId="2475758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空间相对位置/m</w:t>
            </w:r>
          </w:p>
        </w:tc>
        <w:tc>
          <w:tcPr>
            <w:tcW w:w="2309" w:type="dxa"/>
            <w:gridSpan w:val="4"/>
            <w:noWrap w:val="0"/>
            <w:vAlign w:val="center"/>
          </w:tcPr>
          <w:p w14:paraId="1D2292C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距室内边界距离/m</w:t>
            </w:r>
          </w:p>
        </w:tc>
        <w:tc>
          <w:tcPr>
            <w:tcW w:w="2280" w:type="dxa"/>
            <w:gridSpan w:val="4"/>
            <w:noWrap w:val="0"/>
            <w:vAlign w:val="center"/>
          </w:tcPr>
          <w:p w14:paraId="12A68E7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室内边界声级/dB(A)</w:t>
            </w:r>
          </w:p>
        </w:tc>
        <w:tc>
          <w:tcPr>
            <w:tcW w:w="878" w:type="dxa"/>
            <w:vMerge w:val="restart"/>
            <w:noWrap w:val="0"/>
            <w:vAlign w:val="center"/>
          </w:tcPr>
          <w:p w14:paraId="424937F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运行时段</w:t>
            </w:r>
          </w:p>
        </w:tc>
        <w:tc>
          <w:tcPr>
            <w:tcW w:w="897" w:type="dxa"/>
            <w:vMerge w:val="restart"/>
            <w:noWrap w:val="0"/>
            <w:vAlign w:val="center"/>
          </w:tcPr>
          <w:p w14:paraId="5DC038A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建筑物插入损失 / dB(A)</w:t>
            </w:r>
            <w:bookmarkStart w:id="5" w:name="PT_10"/>
            <w:bookmarkEnd w:id="5"/>
          </w:p>
        </w:tc>
        <w:tc>
          <w:tcPr>
            <w:tcW w:w="3562" w:type="dxa"/>
            <w:gridSpan w:val="5"/>
            <w:noWrap w:val="0"/>
            <w:vAlign w:val="center"/>
          </w:tcPr>
          <w:p w14:paraId="238E16C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建筑物外噪声声压级/dB(A)</w:t>
            </w:r>
          </w:p>
        </w:tc>
      </w:tr>
      <w:tr w14:paraId="2A75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 w:hRule="atLeast"/>
          <w:jc w:val="center"/>
        </w:trPr>
        <w:tc>
          <w:tcPr>
            <w:tcW w:w="439" w:type="dxa"/>
            <w:vMerge w:val="continue"/>
            <w:shd w:val="clear" w:color="auto" w:fill="FFFFFF"/>
            <w:noWrap w:val="0"/>
            <w:tcMar>
              <w:top w:w="0" w:type="dxa"/>
              <w:left w:w="0" w:type="dxa"/>
              <w:bottom w:w="0" w:type="dxa"/>
              <w:right w:w="0" w:type="dxa"/>
            </w:tcMar>
            <w:vAlign w:val="center"/>
          </w:tcPr>
          <w:p w14:paraId="04BC4F7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45" w:type="dxa"/>
            <w:vMerge w:val="continue"/>
            <w:shd w:val="clear" w:color="auto" w:fill="FFFFFF"/>
            <w:noWrap w:val="0"/>
            <w:tcMar>
              <w:top w:w="0" w:type="dxa"/>
              <w:left w:w="0" w:type="dxa"/>
              <w:bottom w:w="0" w:type="dxa"/>
              <w:right w:w="0" w:type="dxa"/>
            </w:tcMar>
            <w:vAlign w:val="center"/>
          </w:tcPr>
          <w:p w14:paraId="4399191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15" w:type="dxa"/>
            <w:vMerge w:val="continue"/>
            <w:shd w:val="clear" w:color="auto" w:fill="FFFFFF"/>
            <w:noWrap w:val="0"/>
            <w:tcMar>
              <w:top w:w="0" w:type="dxa"/>
              <w:left w:w="0" w:type="dxa"/>
              <w:bottom w:w="0" w:type="dxa"/>
              <w:right w:w="0" w:type="dxa"/>
            </w:tcMar>
            <w:vAlign w:val="center"/>
          </w:tcPr>
          <w:p w14:paraId="31DEC62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53" w:type="dxa"/>
            <w:vMerge w:val="continue"/>
            <w:shd w:val="clear" w:color="auto" w:fill="FFFFFF"/>
            <w:noWrap w:val="0"/>
            <w:tcMar>
              <w:top w:w="0" w:type="dxa"/>
              <w:left w:w="0" w:type="dxa"/>
              <w:bottom w:w="0" w:type="dxa"/>
              <w:right w:w="0" w:type="dxa"/>
            </w:tcMar>
            <w:vAlign w:val="center"/>
          </w:tcPr>
          <w:p w14:paraId="74F88FE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40" w:type="dxa"/>
            <w:shd w:val="clear" w:color="auto" w:fill="FFFFFF"/>
            <w:noWrap w:val="0"/>
            <w:tcMar>
              <w:top w:w="0" w:type="dxa"/>
              <w:left w:w="0" w:type="dxa"/>
              <w:bottom w:w="0" w:type="dxa"/>
              <w:right w:w="0" w:type="dxa"/>
            </w:tcMar>
            <w:vAlign w:val="center"/>
          </w:tcPr>
          <w:p w14:paraId="466D63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声压级/dB（A）</w:t>
            </w:r>
          </w:p>
        </w:tc>
        <w:tc>
          <w:tcPr>
            <w:tcW w:w="833" w:type="dxa"/>
            <w:vMerge w:val="continue"/>
            <w:shd w:val="clear" w:color="auto" w:fill="FFFFFF"/>
            <w:noWrap w:val="0"/>
            <w:tcMar>
              <w:top w:w="0" w:type="dxa"/>
              <w:left w:w="0" w:type="dxa"/>
              <w:bottom w:w="0" w:type="dxa"/>
              <w:right w:w="0" w:type="dxa"/>
            </w:tcMar>
            <w:vAlign w:val="center"/>
          </w:tcPr>
          <w:p w14:paraId="5878213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25" w:type="dxa"/>
            <w:shd w:val="clear" w:color="auto" w:fill="FFFFFF"/>
            <w:noWrap w:val="0"/>
            <w:tcMar>
              <w:top w:w="0" w:type="dxa"/>
              <w:left w:w="0" w:type="dxa"/>
              <w:bottom w:w="0" w:type="dxa"/>
              <w:right w:w="0" w:type="dxa"/>
            </w:tcMar>
            <w:vAlign w:val="center"/>
          </w:tcPr>
          <w:p w14:paraId="1899404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563" w:type="dxa"/>
            <w:shd w:val="clear" w:color="auto" w:fill="FFFFFF"/>
            <w:noWrap w:val="0"/>
            <w:tcMar>
              <w:top w:w="0" w:type="dxa"/>
              <w:left w:w="0" w:type="dxa"/>
              <w:bottom w:w="0" w:type="dxa"/>
              <w:right w:w="0" w:type="dxa"/>
            </w:tcMar>
            <w:vAlign w:val="center"/>
          </w:tcPr>
          <w:p w14:paraId="3730129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698" w:type="dxa"/>
            <w:shd w:val="clear" w:color="auto" w:fill="FFFFFF"/>
            <w:noWrap w:val="0"/>
            <w:tcMar>
              <w:top w:w="0" w:type="dxa"/>
              <w:left w:w="0" w:type="dxa"/>
              <w:bottom w:w="0" w:type="dxa"/>
              <w:right w:w="0" w:type="dxa"/>
            </w:tcMar>
            <w:vAlign w:val="center"/>
          </w:tcPr>
          <w:p w14:paraId="72F0E06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577" w:type="dxa"/>
            <w:shd w:val="clear" w:color="auto" w:fill="FFFFFF"/>
            <w:noWrap w:val="0"/>
            <w:tcMar>
              <w:top w:w="0" w:type="dxa"/>
              <w:left w:w="0" w:type="dxa"/>
              <w:bottom w:w="0" w:type="dxa"/>
              <w:right w:w="0" w:type="dxa"/>
            </w:tcMar>
            <w:vAlign w:val="center"/>
          </w:tcPr>
          <w:p w14:paraId="569ECEC6">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577" w:type="dxa"/>
            <w:shd w:val="clear" w:color="auto" w:fill="FFFFFF"/>
            <w:noWrap w:val="0"/>
            <w:tcMar>
              <w:top w:w="0" w:type="dxa"/>
              <w:left w:w="0" w:type="dxa"/>
              <w:bottom w:w="0" w:type="dxa"/>
              <w:right w:w="0" w:type="dxa"/>
            </w:tcMar>
            <w:vAlign w:val="center"/>
          </w:tcPr>
          <w:p w14:paraId="5B32AE9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577" w:type="dxa"/>
            <w:shd w:val="clear" w:color="auto" w:fill="FFFFFF"/>
            <w:noWrap w:val="0"/>
            <w:tcMar>
              <w:top w:w="0" w:type="dxa"/>
              <w:left w:w="0" w:type="dxa"/>
              <w:bottom w:w="0" w:type="dxa"/>
              <w:right w:w="0" w:type="dxa"/>
            </w:tcMar>
            <w:vAlign w:val="center"/>
          </w:tcPr>
          <w:p w14:paraId="7DC0321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578" w:type="dxa"/>
            <w:shd w:val="clear" w:color="auto" w:fill="FFFFFF"/>
            <w:noWrap w:val="0"/>
            <w:tcMar>
              <w:top w:w="0" w:type="dxa"/>
              <w:left w:w="0" w:type="dxa"/>
              <w:bottom w:w="0" w:type="dxa"/>
              <w:right w:w="0" w:type="dxa"/>
            </w:tcMar>
            <w:vAlign w:val="center"/>
          </w:tcPr>
          <w:p w14:paraId="24816F5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569" w:type="dxa"/>
            <w:shd w:val="clear" w:color="auto" w:fill="FFFFFF"/>
            <w:noWrap w:val="0"/>
            <w:tcMar>
              <w:top w:w="0" w:type="dxa"/>
              <w:left w:w="0" w:type="dxa"/>
              <w:bottom w:w="0" w:type="dxa"/>
              <w:right w:w="0" w:type="dxa"/>
            </w:tcMar>
            <w:vAlign w:val="center"/>
          </w:tcPr>
          <w:p w14:paraId="352432E5">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569" w:type="dxa"/>
            <w:shd w:val="clear" w:color="auto" w:fill="FFFFFF"/>
            <w:noWrap w:val="0"/>
            <w:tcMar>
              <w:top w:w="0" w:type="dxa"/>
              <w:left w:w="0" w:type="dxa"/>
              <w:bottom w:w="0" w:type="dxa"/>
              <w:right w:w="0" w:type="dxa"/>
            </w:tcMar>
            <w:vAlign w:val="center"/>
          </w:tcPr>
          <w:p w14:paraId="6133978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569" w:type="dxa"/>
            <w:shd w:val="clear" w:color="auto" w:fill="FFFFFF"/>
            <w:noWrap w:val="0"/>
            <w:tcMar>
              <w:top w:w="0" w:type="dxa"/>
              <w:left w:w="0" w:type="dxa"/>
              <w:bottom w:w="0" w:type="dxa"/>
              <w:right w:w="0" w:type="dxa"/>
            </w:tcMar>
            <w:vAlign w:val="center"/>
          </w:tcPr>
          <w:p w14:paraId="3647B92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573" w:type="dxa"/>
            <w:shd w:val="clear" w:color="auto" w:fill="FFFFFF"/>
            <w:noWrap w:val="0"/>
            <w:tcMar>
              <w:top w:w="0" w:type="dxa"/>
              <w:left w:w="0" w:type="dxa"/>
              <w:bottom w:w="0" w:type="dxa"/>
              <w:right w:w="0" w:type="dxa"/>
            </w:tcMar>
            <w:vAlign w:val="center"/>
          </w:tcPr>
          <w:p w14:paraId="3EECB1D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878" w:type="dxa"/>
            <w:vMerge w:val="continue"/>
            <w:shd w:val="clear" w:color="auto" w:fill="FFFFFF"/>
            <w:noWrap w:val="0"/>
            <w:tcMar>
              <w:top w:w="0" w:type="dxa"/>
              <w:left w:w="0" w:type="dxa"/>
              <w:bottom w:w="0" w:type="dxa"/>
              <w:right w:w="0" w:type="dxa"/>
            </w:tcMar>
            <w:vAlign w:val="center"/>
          </w:tcPr>
          <w:p w14:paraId="6F59A9B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897" w:type="dxa"/>
            <w:vMerge w:val="continue"/>
            <w:shd w:val="clear" w:color="auto" w:fill="FFFFFF"/>
            <w:noWrap w:val="0"/>
            <w:tcMar>
              <w:top w:w="0" w:type="dxa"/>
              <w:left w:w="0" w:type="dxa"/>
              <w:bottom w:w="0" w:type="dxa"/>
              <w:right w:w="0" w:type="dxa"/>
            </w:tcMar>
            <w:vAlign w:val="center"/>
          </w:tcPr>
          <w:p w14:paraId="4ADDFDC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650" w:type="dxa"/>
            <w:shd w:val="clear" w:color="auto" w:fill="FFFFFF"/>
            <w:noWrap w:val="0"/>
            <w:tcMar>
              <w:top w:w="0" w:type="dxa"/>
              <w:left w:w="0" w:type="dxa"/>
              <w:bottom w:w="0" w:type="dxa"/>
              <w:right w:w="0" w:type="dxa"/>
            </w:tcMar>
            <w:vAlign w:val="center"/>
          </w:tcPr>
          <w:p w14:paraId="23C00FA3">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w:t>
            </w:r>
          </w:p>
        </w:tc>
        <w:tc>
          <w:tcPr>
            <w:tcW w:w="900" w:type="dxa"/>
            <w:shd w:val="clear" w:color="auto" w:fill="FFFFFF"/>
            <w:noWrap w:val="0"/>
            <w:tcMar>
              <w:top w:w="0" w:type="dxa"/>
              <w:left w:w="0" w:type="dxa"/>
              <w:bottom w:w="0" w:type="dxa"/>
              <w:right w:w="0" w:type="dxa"/>
            </w:tcMar>
            <w:vAlign w:val="center"/>
          </w:tcPr>
          <w:p w14:paraId="275E6A9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w:t>
            </w:r>
          </w:p>
        </w:tc>
        <w:tc>
          <w:tcPr>
            <w:tcW w:w="737" w:type="dxa"/>
            <w:shd w:val="clear" w:color="auto" w:fill="FFFFFF"/>
            <w:noWrap w:val="0"/>
            <w:tcMar>
              <w:top w:w="0" w:type="dxa"/>
              <w:left w:w="0" w:type="dxa"/>
              <w:bottom w:w="0" w:type="dxa"/>
              <w:right w:w="0" w:type="dxa"/>
            </w:tcMar>
            <w:vAlign w:val="center"/>
          </w:tcPr>
          <w:p w14:paraId="48189C6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w:t>
            </w:r>
          </w:p>
        </w:tc>
        <w:tc>
          <w:tcPr>
            <w:tcW w:w="538" w:type="dxa"/>
            <w:shd w:val="clear" w:color="auto" w:fill="FFFFFF"/>
            <w:noWrap w:val="0"/>
            <w:tcMar>
              <w:top w:w="0" w:type="dxa"/>
              <w:left w:w="0" w:type="dxa"/>
              <w:bottom w:w="0" w:type="dxa"/>
              <w:right w:w="0" w:type="dxa"/>
            </w:tcMar>
            <w:vAlign w:val="center"/>
          </w:tcPr>
          <w:p w14:paraId="61B93D6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w:t>
            </w:r>
          </w:p>
        </w:tc>
        <w:tc>
          <w:tcPr>
            <w:tcW w:w="737" w:type="dxa"/>
            <w:shd w:val="clear" w:color="auto" w:fill="FFFFFF"/>
            <w:noWrap w:val="0"/>
            <w:tcMar>
              <w:top w:w="0" w:type="dxa"/>
              <w:left w:w="0" w:type="dxa"/>
              <w:bottom w:w="0" w:type="dxa"/>
              <w:right w:w="0" w:type="dxa"/>
            </w:tcMar>
            <w:vAlign w:val="center"/>
          </w:tcPr>
          <w:p w14:paraId="69CB35C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建筑物外距离</w:t>
            </w:r>
          </w:p>
        </w:tc>
      </w:tr>
      <w:tr w14:paraId="5BF6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6" w:hRule="atLeast"/>
          <w:jc w:val="center"/>
        </w:trPr>
        <w:tc>
          <w:tcPr>
            <w:tcW w:w="439" w:type="dxa"/>
            <w:shd w:val="clear" w:color="auto" w:fill="FFFFFF"/>
            <w:noWrap w:val="0"/>
            <w:tcMar>
              <w:top w:w="0" w:type="dxa"/>
              <w:left w:w="0" w:type="dxa"/>
              <w:bottom w:w="0" w:type="dxa"/>
              <w:right w:w="0" w:type="dxa"/>
            </w:tcMar>
            <w:vAlign w:val="center"/>
          </w:tcPr>
          <w:p w14:paraId="16743BBC">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45" w:type="dxa"/>
            <w:shd w:val="clear" w:color="auto" w:fill="FFFFFF"/>
            <w:noWrap w:val="0"/>
            <w:tcMar>
              <w:top w:w="0" w:type="dxa"/>
              <w:left w:w="0" w:type="dxa"/>
              <w:bottom w:w="0" w:type="dxa"/>
              <w:right w:w="0" w:type="dxa"/>
            </w:tcMar>
            <w:vAlign w:val="center"/>
          </w:tcPr>
          <w:p w14:paraId="5062EC5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拌和站</w:t>
            </w:r>
          </w:p>
        </w:tc>
        <w:tc>
          <w:tcPr>
            <w:tcW w:w="615" w:type="dxa"/>
            <w:shd w:val="clear" w:color="auto" w:fill="auto"/>
            <w:noWrap w:val="0"/>
            <w:tcMar>
              <w:top w:w="0" w:type="dxa"/>
              <w:left w:w="0" w:type="dxa"/>
              <w:bottom w:w="0" w:type="dxa"/>
              <w:right w:w="0" w:type="dxa"/>
            </w:tcMar>
            <w:vAlign w:val="center"/>
          </w:tcPr>
          <w:p w14:paraId="7C3D7EE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混凝土拌和机</w:t>
            </w:r>
          </w:p>
        </w:tc>
        <w:tc>
          <w:tcPr>
            <w:tcW w:w="453" w:type="dxa"/>
            <w:shd w:val="clear" w:color="auto" w:fill="FFFFFF"/>
            <w:noWrap w:val="0"/>
            <w:tcMar>
              <w:top w:w="0" w:type="dxa"/>
              <w:left w:w="0" w:type="dxa"/>
              <w:bottom w:w="0" w:type="dxa"/>
              <w:right w:w="0" w:type="dxa"/>
            </w:tcMar>
            <w:vAlign w:val="center"/>
          </w:tcPr>
          <w:p w14:paraId="2A09C74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p>
        </w:tc>
        <w:tc>
          <w:tcPr>
            <w:tcW w:w="740" w:type="dxa"/>
            <w:shd w:val="clear" w:color="auto" w:fill="FFFFFF"/>
            <w:noWrap w:val="0"/>
            <w:tcMar>
              <w:top w:w="0" w:type="dxa"/>
              <w:left w:w="0" w:type="dxa"/>
              <w:bottom w:w="0" w:type="dxa"/>
              <w:right w:w="0" w:type="dxa"/>
            </w:tcMar>
            <w:vAlign w:val="center"/>
          </w:tcPr>
          <w:p w14:paraId="7A03757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833" w:type="dxa"/>
            <w:shd w:val="clear" w:color="auto" w:fill="FFFFFF"/>
            <w:noWrap w:val="0"/>
            <w:tcMar>
              <w:top w:w="0" w:type="dxa"/>
              <w:left w:w="0" w:type="dxa"/>
              <w:bottom w:w="0" w:type="dxa"/>
              <w:right w:w="0" w:type="dxa"/>
            </w:tcMar>
            <w:vAlign w:val="center"/>
          </w:tcPr>
          <w:p w14:paraId="6E6A507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基础减振</w:t>
            </w:r>
          </w:p>
        </w:tc>
        <w:tc>
          <w:tcPr>
            <w:tcW w:w="625" w:type="dxa"/>
            <w:shd w:val="clear" w:color="auto" w:fill="FFFFFF"/>
            <w:noWrap w:val="0"/>
            <w:tcMar>
              <w:top w:w="0" w:type="dxa"/>
              <w:left w:w="0" w:type="dxa"/>
              <w:bottom w:w="0" w:type="dxa"/>
              <w:right w:w="0" w:type="dxa"/>
            </w:tcMar>
            <w:vAlign w:val="center"/>
          </w:tcPr>
          <w:p w14:paraId="135CAA0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2</w:t>
            </w:r>
          </w:p>
        </w:tc>
        <w:tc>
          <w:tcPr>
            <w:tcW w:w="563" w:type="dxa"/>
            <w:shd w:val="clear" w:color="auto" w:fill="FFFFFF"/>
            <w:noWrap w:val="0"/>
            <w:tcMar>
              <w:top w:w="0" w:type="dxa"/>
              <w:left w:w="0" w:type="dxa"/>
              <w:bottom w:w="0" w:type="dxa"/>
              <w:right w:w="0" w:type="dxa"/>
            </w:tcMar>
            <w:vAlign w:val="center"/>
          </w:tcPr>
          <w:p w14:paraId="674EE88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5</w:t>
            </w:r>
          </w:p>
        </w:tc>
        <w:tc>
          <w:tcPr>
            <w:tcW w:w="698" w:type="dxa"/>
            <w:shd w:val="clear" w:color="auto" w:fill="FFFFFF"/>
            <w:noWrap w:val="0"/>
            <w:tcMar>
              <w:top w:w="0" w:type="dxa"/>
              <w:left w:w="0" w:type="dxa"/>
              <w:bottom w:w="0" w:type="dxa"/>
              <w:right w:w="0" w:type="dxa"/>
            </w:tcMar>
            <w:vAlign w:val="center"/>
          </w:tcPr>
          <w:p w14:paraId="1228BC4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1.2</w:t>
            </w:r>
          </w:p>
        </w:tc>
        <w:tc>
          <w:tcPr>
            <w:tcW w:w="577" w:type="dxa"/>
            <w:shd w:val="clear" w:color="auto" w:fill="FFFFFF"/>
            <w:noWrap w:val="0"/>
            <w:tcMar>
              <w:top w:w="0" w:type="dxa"/>
              <w:left w:w="0" w:type="dxa"/>
              <w:bottom w:w="0" w:type="dxa"/>
              <w:right w:w="0" w:type="dxa"/>
            </w:tcMar>
            <w:vAlign w:val="center"/>
          </w:tcPr>
          <w:p w14:paraId="62264E9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9</w:t>
            </w:r>
          </w:p>
        </w:tc>
        <w:tc>
          <w:tcPr>
            <w:tcW w:w="577" w:type="dxa"/>
            <w:shd w:val="clear" w:color="auto" w:fill="FFFFFF"/>
            <w:noWrap w:val="0"/>
            <w:tcMar>
              <w:top w:w="0" w:type="dxa"/>
              <w:left w:w="0" w:type="dxa"/>
              <w:bottom w:w="0" w:type="dxa"/>
              <w:right w:w="0" w:type="dxa"/>
            </w:tcMar>
            <w:vAlign w:val="center"/>
          </w:tcPr>
          <w:p w14:paraId="5C83362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19</w:t>
            </w:r>
          </w:p>
        </w:tc>
        <w:tc>
          <w:tcPr>
            <w:tcW w:w="577" w:type="dxa"/>
            <w:shd w:val="clear" w:color="auto" w:fill="FFFFFF"/>
            <w:noWrap w:val="0"/>
            <w:tcMar>
              <w:top w:w="0" w:type="dxa"/>
              <w:left w:w="0" w:type="dxa"/>
              <w:bottom w:w="0" w:type="dxa"/>
              <w:right w:w="0" w:type="dxa"/>
            </w:tcMar>
            <w:vAlign w:val="center"/>
          </w:tcPr>
          <w:p w14:paraId="199F655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13</w:t>
            </w:r>
          </w:p>
        </w:tc>
        <w:tc>
          <w:tcPr>
            <w:tcW w:w="578" w:type="dxa"/>
            <w:shd w:val="clear" w:color="auto" w:fill="FFFFFF"/>
            <w:noWrap w:val="0"/>
            <w:tcMar>
              <w:top w:w="0" w:type="dxa"/>
              <w:left w:w="0" w:type="dxa"/>
              <w:bottom w:w="0" w:type="dxa"/>
              <w:right w:w="0" w:type="dxa"/>
            </w:tcMar>
            <w:vAlign w:val="center"/>
          </w:tcPr>
          <w:p w14:paraId="5E0EF16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9</w:t>
            </w:r>
          </w:p>
        </w:tc>
        <w:tc>
          <w:tcPr>
            <w:tcW w:w="569" w:type="dxa"/>
            <w:shd w:val="clear" w:color="auto" w:fill="FFFFFF"/>
            <w:noWrap w:val="0"/>
            <w:tcMar>
              <w:top w:w="0" w:type="dxa"/>
              <w:left w:w="0" w:type="dxa"/>
              <w:bottom w:w="0" w:type="dxa"/>
              <w:right w:w="0" w:type="dxa"/>
            </w:tcMar>
            <w:vAlign w:val="center"/>
          </w:tcPr>
          <w:p w14:paraId="448A743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80.9 </w:t>
            </w:r>
          </w:p>
        </w:tc>
        <w:tc>
          <w:tcPr>
            <w:tcW w:w="569" w:type="dxa"/>
            <w:shd w:val="clear" w:color="auto" w:fill="FFFFFF"/>
            <w:noWrap w:val="0"/>
            <w:tcMar>
              <w:top w:w="0" w:type="dxa"/>
              <w:left w:w="0" w:type="dxa"/>
              <w:bottom w:w="0" w:type="dxa"/>
              <w:right w:w="0" w:type="dxa"/>
            </w:tcMar>
            <w:vAlign w:val="center"/>
          </w:tcPr>
          <w:p w14:paraId="341959A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74.4 </w:t>
            </w:r>
          </w:p>
        </w:tc>
        <w:tc>
          <w:tcPr>
            <w:tcW w:w="569" w:type="dxa"/>
            <w:shd w:val="clear" w:color="auto" w:fill="FFFFFF"/>
            <w:noWrap w:val="0"/>
            <w:tcMar>
              <w:top w:w="0" w:type="dxa"/>
              <w:left w:w="0" w:type="dxa"/>
              <w:bottom w:w="0" w:type="dxa"/>
              <w:right w:w="0" w:type="dxa"/>
            </w:tcMar>
            <w:vAlign w:val="center"/>
          </w:tcPr>
          <w:p w14:paraId="1BB7EC9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77.7 </w:t>
            </w:r>
          </w:p>
        </w:tc>
        <w:tc>
          <w:tcPr>
            <w:tcW w:w="573" w:type="dxa"/>
            <w:shd w:val="clear" w:color="auto" w:fill="FFFFFF"/>
            <w:noWrap w:val="0"/>
            <w:tcMar>
              <w:top w:w="0" w:type="dxa"/>
              <w:left w:w="0" w:type="dxa"/>
              <w:bottom w:w="0" w:type="dxa"/>
              <w:right w:w="0" w:type="dxa"/>
            </w:tcMar>
            <w:vAlign w:val="center"/>
          </w:tcPr>
          <w:p w14:paraId="560EB5C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80.9 </w:t>
            </w:r>
          </w:p>
        </w:tc>
        <w:tc>
          <w:tcPr>
            <w:tcW w:w="878" w:type="dxa"/>
            <w:shd w:val="clear" w:color="auto" w:fill="FFFFFF"/>
            <w:noWrap w:val="0"/>
            <w:tcMar>
              <w:top w:w="0" w:type="dxa"/>
              <w:left w:w="0" w:type="dxa"/>
              <w:bottom w:w="0" w:type="dxa"/>
              <w:right w:w="0" w:type="dxa"/>
            </w:tcMar>
            <w:vAlign w:val="center"/>
          </w:tcPr>
          <w:p w14:paraId="316E00B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昼间</w:t>
            </w:r>
          </w:p>
        </w:tc>
        <w:tc>
          <w:tcPr>
            <w:tcW w:w="897" w:type="dxa"/>
            <w:shd w:val="clear" w:color="auto" w:fill="FFFFFF"/>
            <w:noWrap w:val="0"/>
            <w:tcMar>
              <w:top w:w="0" w:type="dxa"/>
              <w:left w:w="0" w:type="dxa"/>
              <w:bottom w:w="0" w:type="dxa"/>
              <w:right w:w="0" w:type="dxa"/>
            </w:tcMar>
            <w:vAlign w:val="center"/>
          </w:tcPr>
          <w:p w14:paraId="7BE17BD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20</w:t>
            </w:r>
          </w:p>
        </w:tc>
        <w:tc>
          <w:tcPr>
            <w:tcW w:w="650" w:type="dxa"/>
            <w:shd w:val="clear" w:color="auto" w:fill="FFFFFF"/>
            <w:noWrap w:val="0"/>
            <w:tcMar>
              <w:top w:w="0" w:type="dxa"/>
              <w:left w:w="0" w:type="dxa"/>
              <w:bottom w:w="0" w:type="dxa"/>
              <w:right w:w="0" w:type="dxa"/>
            </w:tcMar>
            <w:vAlign w:val="center"/>
          </w:tcPr>
          <w:p w14:paraId="2DEF3C7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65.9 </w:t>
            </w:r>
          </w:p>
        </w:tc>
        <w:tc>
          <w:tcPr>
            <w:tcW w:w="900" w:type="dxa"/>
            <w:shd w:val="clear" w:color="auto" w:fill="FFFFFF"/>
            <w:noWrap w:val="0"/>
            <w:tcMar>
              <w:top w:w="0" w:type="dxa"/>
              <w:left w:w="0" w:type="dxa"/>
              <w:bottom w:w="0" w:type="dxa"/>
              <w:right w:w="0" w:type="dxa"/>
            </w:tcMar>
            <w:vAlign w:val="center"/>
          </w:tcPr>
          <w:p w14:paraId="6BB11D7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59.4 </w:t>
            </w:r>
          </w:p>
        </w:tc>
        <w:tc>
          <w:tcPr>
            <w:tcW w:w="737" w:type="dxa"/>
            <w:shd w:val="clear" w:color="auto" w:fill="FFFFFF"/>
            <w:noWrap w:val="0"/>
            <w:tcMar>
              <w:top w:w="0" w:type="dxa"/>
              <w:left w:w="0" w:type="dxa"/>
              <w:bottom w:w="0" w:type="dxa"/>
              <w:right w:w="0" w:type="dxa"/>
            </w:tcMar>
            <w:vAlign w:val="center"/>
          </w:tcPr>
          <w:p w14:paraId="41A1E18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62.7 </w:t>
            </w:r>
          </w:p>
        </w:tc>
        <w:tc>
          <w:tcPr>
            <w:tcW w:w="538" w:type="dxa"/>
            <w:shd w:val="clear" w:color="auto" w:fill="FFFFFF"/>
            <w:noWrap w:val="0"/>
            <w:tcMar>
              <w:top w:w="0" w:type="dxa"/>
              <w:left w:w="0" w:type="dxa"/>
              <w:bottom w:w="0" w:type="dxa"/>
              <w:right w:w="0" w:type="dxa"/>
            </w:tcMar>
            <w:vAlign w:val="center"/>
          </w:tcPr>
          <w:p w14:paraId="30119D9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65.9 </w:t>
            </w:r>
          </w:p>
        </w:tc>
        <w:tc>
          <w:tcPr>
            <w:tcW w:w="737" w:type="dxa"/>
            <w:shd w:val="clear" w:color="auto" w:fill="FFFFFF"/>
            <w:noWrap w:val="0"/>
            <w:tcMar>
              <w:top w:w="0" w:type="dxa"/>
              <w:left w:w="0" w:type="dxa"/>
              <w:bottom w:w="0" w:type="dxa"/>
              <w:right w:w="0" w:type="dxa"/>
            </w:tcMar>
            <w:vAlign w:val="center"/>
          </w:tcPr>
          <w:p w14:paraId="27EEE15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4F9B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6" w:hRule="atLeast"/>
          <w:jc w:val="center"/>
        </w:trPr>
        <w:tc>
          <w:tcPr>
            <w:tcW w:w="439" w:type="dxa"/>
            <w:shd w:val="clear" w:color="auto" w:fill="FFFFFF"/>
            <w:noWrap w:val="0"/>
            <w:tcMar>
              <w:top w:w="0" w:type="dxa"/>
              <w:left w:w="0" w:type="dxa"/>
              <w:bottom w:w="0" w:type="dxa"/>
              <w:right w:w="0" w:type="dxa"/>
            </w:tcMar>
            <w:vAlign w:val="center"/>
          </w:tcPr>
          <w:p w14:paraId="320C24B3">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45" w:type="dxa"/>
            <w:shd w:val="clear" w:color="auto" w:fill="FFFFFF"/>
            <w:noWrap w:val="0"/>
            <w:tcMar>
              <w:top w:w="0" w:type="dxa"/>
              <w:left w:w="0" w:type="dxa"/>
              <w:bottom w:w="0" w:type="dxa"/>
              <w:right w:w="0" w:type="dxa"/>
            </w:tcMar>
            <w:vAlign w:val="center"/>
          </w:tcPr>
          <w:p w14:paraId="5339DAD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钢筋加工场</w:t>
            </w:r>
          </w:p>
        </w:tc>
        <w:tc>
          <w:tcPr>
            <w:tcW w:w="615" w:type="dxa"/>
            <w:shd w:val="clear" w:color="auto" w:fill="auto"/>
            <w:noWrap w:val="0"/>
            <w:tcMar>
              <w:top w:w="0" w:type="dxa"/>
              <w:left w:w="0" w:type="dxa"/>
              <w:bottom w:w="0" w:type="dxa"/>
              <w:right w:w="0" w:type="dxa"/>
            </w:tcMar>
            <w:vAlign w:val="center"/>
          </w:tcPr>
          <w:p w14:paraId="6946859C">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钢筋弯曲机</w:t>
            </w:r>
          </w:p>
        </w:tc>
        <w:tc>
          <w:tcPr>
            <w:tcW w:w="453" w:type="dxa"/>
            <w:shd w:val="clear" w:color="auto" w:fill="FFFFFF"/>
            <w:noWrap w:val="0"/>
            <w:tcMar>
              <w:top w:w="0" w:type="dxa"/>
              <w:left w:w="0" w:type="dxa"/>
              <w:bottom w:w="0" w:type="dxa"/>
              <w:right w:w="0" w:type="dxa"/>
            </w:tcMar>
            <w:vAlign w:val="center"/>
          </w:tcPr>
          <w:p w14:paraId="63CF26C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40" w:type="dxa"/>
            <w:shd w:val="clear" w:color="auto" w:fill="FFFFFF"/>
            <w:noWrap w:val="0"/>
            <w:tcMar>
              <w:top w:w="0" w:type="dxa"/>
              <w:left w:w="0" w:type="dxa"/>
              <w:bottom w:w="0" w:type="dxa"/>
              <w:right w:w="0" w:type="dxa"/>
            </w:tcMar>
            <w:vAlign w:val="center"/>
          </w:tcPr>
          <w:p w14:paraId="27CEE66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w:t>
            </w:r>
          </w:p>
        </w:tc>
        <w:tc>
          <w:tcPr>
            <w:tcW w:w="833" w:type="dxa"/>
            <w:shd w:val="clear" w:color="auto" w:fill="FFFFFF"/>
            <w:noWrap w:val="0"/>
            <w:tcMar>
              <w:top w:w="0" w:type="dxa"/>
              <w:left w:w="0" w:type="dxa"/>
              <w:bottom w:w="0" w:type="dxa"/>
              <w:right w:w="0" w:type="dxa"/>
            </w:tcMar>
            <w:vAlign w:val="center"/>
          </w:tcPr>
          <w:p w14:paraId="45D5CD82">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基础减振</w:t>
            </w:r>
          </w:p>
        </w:tc>
        <w:tc>
          <w:tcPr>
            <w:tcW w:w="625" w:type="dxa"/>
            <w:shd w:val="clear" w:color="auto" w:fill="FFFFFF"/>
            <w:noWrap w:val="0"/>
            <w:tcMar>
              <w:top w:w="0" w:type="dxa"/>
              <w:left w:w="0" w:type="dxa"/>
              <w:bottom w:w="0" w:type="dxa"/>
              <w:right w:w="0" w:type="dxa"/>
            </w:tcMar>
            <w:vAlign w:val="center"/>
          </w:tcPr>
          <w:p w14:paraId="79EE14E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2</w:t>
            </w:r>
          </w:p>
        </w:tc>
        <w:tc>
          <w:tcPr>
            <w:tcW w:w="563" w:type="dxa"/>
            <w:shd w:val="clear" w:color="auto" w:fill="FFFFFF"/>
            <w:noWrap w:val="0"/>
            <w:tcMar>
              <w:top w:w="0" w:type="dxa"/>
              <w:left w:w="0" w:type="dxa"/>
              <w:bottom w:w="0" w:type="dxa"/>
              <w:right w:w="0" w:type="dxa"/>
            </w:tcMar>
            <w:vAlign w:val="center"/>
          </w:tcPr>
          <w:p w14:paraId="210D827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w:t>
            </w:r>
          </w:p>
        </w:tc>
        <w:tc>
          <w:tcPr>
            <w:tcW w:w="698" w:type="dxa"/>
            <w:shd w:val="clear" w:color="auto" w:fill="FFFFFF"/>
            <w:noWrap w:val="0"/>
            <w:tcMar>
              <w:top w:w="0" w:type="dxa"/>
              <w:left w:w="0" w:type="dxa"/>
              <w:bottom w:w="0" w:type="dxa"/>
              <w:right w:w="0" w:type="dxa"/>
            </w:tcMar>
            <w:vAlign w:val="center"/>
          </w:tcPr>
          <w:p w14:paraId="29493BE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1.2</w:t>
            </w:r>
          </w:p>
        </w:tc>
        <w:tc>
          <w:tcPr>
            <w:tcW w:w="577" w:type="dxa"/>
            <w:shd w:val="clear" w:color="auto" w:fill="FFFFFF"/>
            <w:noWrap w:val="0"/>
            <w:tcMar>
              <w:top w:w="0" w:type="dxa"/>
              <w:left w:w="0" w:type="dxa"/>
              <w:bottom w:w="0" w:type="dxa"/>
              <w:right w:w="0" w:type="dxa"/>
            </w:tcMar>
            <w:vAlign w:val="center"/>
          </w:tcPr>
          <w:p w14:paraId="1584081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9</w:t>
            </w:r>
          </w:p>
        </w:tc>
        <w:tc>
          <w:tcPr>
            <w:tcW w:w="577" w:type="dxa"/>
            <w:shd w:val="clear" w:color="auto" w:fill="FFFFFF"/>
            <w:noWrap w:val="0"/>
            <w:tcMar>
              <w:top w:w="0" w:type="dxa"/>
              <w:left w:w="0" w:type="dxa"/>
              <w:bottom w:w="0" w:type="dxa"/>
              <w:right w:w="0" w:type="dxa"/>
            </w:tcMar>
            <w:vAlign w:val="center"/>
          </w:tcPr>
          <w:p w14:paraId="0F928B5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15</w:t>
            </w:r>
          </w:p>
        </w:tc>
        <w:tc>
          <w:tcPr>
            <w:tcW w:w="577" w:type="dxa"/>
            <w:shd w:val="clear" w:color="auto" w:fill="FFFFFF"/>
            <w:noWrap w:val="0"/>
            <w:tcMar>
              <w:top w:w="0" w:type="dxa"/>
              <w:left w:w="0" w:type="dxa"/>
              <w:bottom w:w="0" w:type="dxa"/>
              <w:right w:w="0" w:type="dxa"/>
            </w:tcMar>
            <w:vAlign w:val="center"/>
          </w:tcPr>
          <w:p w14:paraId="31E5ED6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13</w:t>
            </w:r>
          </w:p>
        </w:tc>
        <w:tc>
          <w:tcPr>
            <w:tcW w:w="578" w:type="dxa"/>
            <w:shd w:val="clear" w:color="auto" w:fill="FFFFFF"/>
            <w:noWrap w:val="0"/>
            <w:tcMar>
              <w:top w:w="0" w:type="dxa"/>
              <w:left w:w="0" w:type="dxa"/>
              <w:bottom w:w="0" w:type="dxa"/>
              <w:right w:w="0" w:type="dxa"/>
            </w:tcMar>
            <w:vAlign w:val="center"/>
          </w:tcPr>
          <w:p w14:paraId="686B09A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13</w:t>
            </w:r>
          </w:p>
        </w:tc>
        <w:tc>
          <w:tcPr>
            <w:tcW w:w="569" w:type="dxa"/>
            <w:shd w:val="clear" w:color="auto" w:fill="FFFFFF"/>
            <w:noWrap w:val="0"/>
            <w:tcMar>
              <w:top w:w="0" w:type="dxa"/>
              <w:left w:w="0" w:type="dxa"/>
              <w:bottom w:w="0" w:type="dxa"/>
              <w:right w:w="0" w:type="dxa"/>
            </w:tcMar>
            <w:vAlign w:val="center"/>
          </w:tcPr>
          <w:p w14:paraId="357BB99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60.9 </w:t>
            </w:r>
          </w:p>
        </w:tc>
        <w:tc>
          <w:tcPr>
            <w:tcW w:w="569" w:type="dxa"/>
            <w:shd w:val="clear" w:color="auto" w:fill="FFFFFF"/>
            <w:noWrap w:val="0"/>
            <w:tcMar>
              <w:top w:w="0" w:type="dxa"/>
              <w:left w:w="0" w:type="dxa"/>
              <w:bottom w:w="0" w:type="dxa"/>
              <w:right w:w="0" w:type="dxa"/>
            </w:tcMar>
            <w:vAlign w:val="center"/>
          </w:tcPr>
          <w:p w14:paraId="04524E2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56.5 </w:t>
            </w:r>
          </w:p>
        </w:tc>
        <w:tc>
          <w:tcPr>
            <w:tcW w:w="569" w:type="dxa"/>
            <w:shd w:val="clear" w:color="auto" w:fill="FFFFFF"/>
            <w:noWrap w:val="0"/>
            <w:tcMar>
              <w:top w:w="0" w:type="dxa"/>
              <w:left w:w="0" w:type="dxa"/>
              <w:bottom w:w="0" w:type="dxa"/>
              <w:right w:w="0" w:type="dxa"/>
            </w:tcMar>
            <w:vAlign w:val="center"/>
          </w:tcPr>
          <w:p w14:paraId="4F42FD8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57.7 </w:t>
            </w:r>
          </w:p>
        </w:tc>
        <w:tc>
          <w:tcPr>
            <w:tcW w:w="573" w:type="dxa"/>
            <w:shd w:val="clear" w:color="auto" w:fill="FFFFFF"/>
            <w:noWrap w:val="0"/>
            <w:tcMar>
              <w:top w:w="0" w:type="dxa"/>
              <w:left w:w="0" w:type="dxa"/>
              <w:bottom w:w="0" w:type="dxa"/>
              <w:right w:w="0" w:type="dxa"/>
            </w:tcMar>
            <w:vAlign w:val="center"/>
          </w:tcPr>
          <w:p w14:paraId="6C0811B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57.7 </w:t>
            </w:r>
          </w:p>
        </w:tc>
        <w:tc>
          <w:tcPr>
            <w:tcW w:w="878" w:type="dxa"/>
            <w:shd w:val="clear" w:color="auto" w:fill="FFFFFF"/>
            <w:noWrap w:val="0"/>
            <w:tcMar>
              <w:top w:w="0" w:type="dxa"/>
              <w:left w:w="0" w:type="dxa"/>
              <w:bottom w:w="0" w:type="dxa"/>
              <w:right w:w="0" w:type="dxa"/>
            </w:tcMar>
            <w:vAlign w:val="center"/>
          </w:tcPr>
          <w:p w14:paraId="154E3CC8">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897" w:type="dxa"/>
            <w:shd w:val="clear" w:color="auto" w:fill="FFFFFF"/>
            <w:noWrap w:val="0"/>
            <w:tcMar>
              <w:top w:w="0" w:type="dxa"/>
              <w:left w:w="0" w:type="dxa"/>
              <w:bottom w:w="0" w:type="dxa"/>
              <w:right w:w="0" w:type="dxa"/>
            </w:tcMar>
            <w:vAlign w:val="center"/>
          </w:tcPr>
          <w:p w14:paraId="46BE380F">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20</w:t>
            </w:r>
          </w:p>
        </w:tc>
        <w:tc>
          <w:tcPr>
            <w:tcW w:w="650" w:type="dxa"/>
            <w:shd w:val="clear" w:color="auto" w:fill="FFFFFF"/>
            <w:noWrap w:val="0"/>
            <w:tcMar>
              <w:top w:w="0" w:type="dxa"/>
              <w:left w:w="0" w:type="dxa"/>
              <w:bottom w:w="0" w:type="dxa"/>
              <w:right w:w="0" w:type="dxa"/>
            </w:tcMar>
            <w:vAlign w:val="center"/>
          </w:tcPr>
          <w:p w14:paraId="046D3C7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45.9 </w:t>
            </w:r>
          </w:p>
        </w:tc>
        <w:tc>
          <w:tcPr>
            <w:tcW w:w="900" w:type="dxa"/>
            <w:shd w:val="clear" w:color="auto" w:fill="FFFFFF"/>
            <w:noWrap w:val="0"/>
            <w:tcMar>
              <w:top w:w="0" w:type="dxa"/>
              <w:left w:w="0" w:type="dxa"/>
              <w:bottom w:w="0" w:type="dxa"/>
              <w:right w:w="0" w:type="dxa"/>
            </w:tcMar>
            <w:vAlign w:val="center"/>
          </w:tcPr>
          <w:p w14:paraId="6E8B381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41.5 </w:t>
            </w:r>
          </w:p>
        </w:tc>
        <w:tc>
          <w:tcPr>
            <w:tcW w:w="737" w:type="dxa"/>
            <w:shd w:val="clear" w:color="auto" w:fill="FFFFFF"/>
            <w:noWrap w:val="0"/>
            <w:tcMar>
              <w:top w:w="0" w:type="dxa"/>
              <w:left w:w="0" w:type="dxa"/>
              <w:bottom w:w="0" w:type="dxa"/>
              <w:right w:w="0" w:type="dxa"/>
            </w:tcMar>
            <w:vAlign w:val="center"/>
          </w:tcPr>
          <w:p w14:paraId="6EA2A77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42.7 </w:t>
            </w:r>
          </w:p>
        </w:tc>
        <w:tc>
          <w:tcPr>
            <w:tcW w:w="538" w:type="dxa"/>
            <w:shd w:val="clear" w:color="auto" w:fill="FFFFFF"/>
            <w:noWrap w:val="0"/>
            <w:tcMar>
              <w:top w:w="0" w:type="dxa"/>
              <w:left w:w="0" w:type="dxa"/>
              <w:bottom w:w="0" w:type="dxa"/>
              <w:right w:w="0" w:type="dxa"/>
            </w:tcMar>
            <w:vAlign w:val="center"/>
          </w:tcPr>
          <w:p w14:paraId="5106584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42.7 </w:t>
            </w:r>
          </w:p>
        </w:tc>
        <w:tc>
          <w:tcPr>
            <w:tcW w:w="737" w:type="dxa"/>
            <w:shd w:val="clear" w:color="auto" w:fill="FFFFFF"/>
            <w:noWrap w:val="0"/>
            <w:tcMar>
              <w:top w:w="0" w:type="dxa"/>
              <w:left w:w="0" w:type="dxa"/>
              <w:bottom w:w="0" w:type="dxa"/>
              <w:right w:w="0" w:type="dxa"/>
            </w:tcMar>
            <w:vAlign w:val="center"/>
          </w:tcPr>
          <w:p w14:paraId="74D76DA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174A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6" w:hRule="atLeast"/>
          <w:jc w:val="center"/>
        </w:trPr>
        <w:tc>
          <w:tcPr>
            <w:tcW w:w="439" w:type="dxa"/>
            <w:shd w:val="clear" w:color="auto" w:fill="FFFFFF"/>
            <w:noWrap w:val="0"/>
            <w:tcMar>
              <w:top w:w="0" w:type="dxa"/>
              <w:left w:w="0" w:type="dxa"/>
              <w:bottom w:w="0" w:type="dxa"/>
              <w:right w:w="0" w:type="dxa"/>
            </w:tcMar>
            <w:vAlign w:val="center"/>
          </w:tcPr>
          <w:p w14:paraId="16CB34CE">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645" w:type="dxa"/>
            <w:shd w:val="clear" w:color="auto" w:fill="FFFFFF"/>
            <w:noWrap w:val="0"/>
            <w:tcMar>
              <w:top w:w="0" w:type="dxa"/>
              <w:left w:w="0" w:type="dxa"/>
              <w:bottom w:w="0" w:type="dxa"/>
              <w:right w:w="0" w:type="dxa"/>
            </w:tcMar>
            <w:vAlign w:val="center"/>
          </w:tcPr>
          <w:p w14:paraId="7E51B92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钢筋加工场</w:t>
            </w:r>
          </w:p>
        </w:tc>
        <w:tc>
          <w:tcPr>
            <w:tcW w:w="615" w:type="dxa"/>
            <w:shd w:val="clear" w:color="auto" w:fill="auto"/>
            <w:noWrap w:val="0"/>
            <w:tcMar>
              <w:top w:w="0" w:type="dxa"/>
              <w:left w:w="0" w:type="dxa"/>
              <w:bottom w:w="0" w:type="dxa"/>
              <w:right w:w="0" w:type="dxa"/>
            </w:tcMar>
            <w:vAlign w:val="center"/>
          </w:tcPr>
          <w:p w14:paraId="7D1C4A1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钢筋切断机</w:t>
            </w:r>
          </w:p>
        </w:tc>
        <w:tc>
          <w:tcPr>
            <w:tcW w:w="453" w:type="dxa"/>
            <w:shd w:val="clear" w:color="auto" w:fill="FFFFFF"/>
            <w:noWrap w:val="0"/>
            <w:tcMar>
              <w:top w:w="0" w:type="dxa"/>
              <w:left w:w="0" w:type="dxa"/>
              <w:bottom w:w="0" w:type="dxa"/>
              <w:right w:w="0" w:type="dxa"/>
            </w:tcMar>
            <w:vAlign w:val="center"/>
          </w:tcPr>
          <w:p w14:paraId="75A74E81">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40" w:type="dxa"/>
            <w:shd w:val="clear" w:color="auto" w:fill="FFFFFF"/>
            <w:noWrap w:val="0"/>
            <w:tcMar>
              <w:top w:w="0" w:type="dxa"/>
              <w:left w:w="0" w:type="dxa"/>
              <w:bottom w:w="0" w:type="dxa"/>
              <w:right w:w="0" w:type="dxa"/>
            </w:tcMar>
            <w:vAlign w:val="center"/>
          </w:tcPr>
          <w:p w14:paraId="6784EAA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833" w:type="dxa"/>
            <w:shd w:val="clear" w:color="auto" w:fill="FFFFFF"/>
            <w:noWrap w:val="0"/>
            <w:tcMar>
              <w:top w:w="0" w:type="dxa"/>
              <w:left w:w="0" w:type="dxa"/>
              <w:bottom w:w="0" w:type="dxa"/>
              <w:right w:w="0" w:type="dxa"/>
            </w:tcMar>
            <w:vAlign w:val="center"/>
          </w:tcPr>
          <w:p w14:paraId="03E0A33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基础减振</w:t>
            </w:r>
          </w:p>
        </w:tc>
        <w:tc>
          <w:tcPr>
            <w:tcW w:w="625" w:type="dxa"/>
            <w:shd w:val="clear" w:color="auto" w:fill="FFFFFF"/>
            <w:noWrap w:val="0"/>
            <w:tcMar>
              <w:top w:w="0" w:type="dxa"/>
              <w:left w:w="0" w:type="dxa"/>
              <w:bottom w:w="0" w:type="dxa"/>
              <w:right w:w="0" w:type="dxa"/>
            </w:tcMar>
            <w:vAlign w:val="center"/>
          </w:tcPr>
          <w:p w14:paraId="5CEE98B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w:t>
            </w:r>
          </w:p>
        </w:tc>
        <w:tc>
          <w:tcPr>
            <w:tcW w:w="563" w:type="dxa"/>
            <w:shd w:val="clear" w:color="auto" w:fill="FFFFFF"/>
            <w:noWrap w:val="0"/>
            <w:tcMar>
              <w:top w:w="0" w:type="dxa"/>
              <w:left w:w="0" w:type="dxa"/>
              <w:bottom w:w="0" w:type="dxa"/>
              <w:right w:w="0" w:type="dxa"/>
            </w:tcMar>
            <w:vAlign w:val="center"/>
          </w:tcPr>
          <w:p w14:paraId="0129471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w:t>
            </w:r>
          </w:p>
        </w:tc>
        <w:tc>
          <w:tcPr>
            <w:tcW w:w="698" w:type="dxa"/>
            <w:shd w:val="clear" w:color="auto" w:fill="FFFFFF"/>
            <w:noWrap w:val="0"/>
            <w:tcMar>
              <w:top w:w="0" w:type="dxa"/>
              <w:left w:w="0" w:type="dxa"/>
              <w:bottom w:w="0" w:type="dxa"/>
              <w:right w:w="0" w:type="dxa"/>
            </w:tcMar>
            <w:vAlign w:val="center"/>
          </w:tcPr>
          <w:p w14:paraId="760034C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1.2</w:t>
            </w:r>
          </w:p>
        </w:tc>
        <w:tc>
          <w:tcPr>
            <w:tcW w:w="577" w:type="dxa"/>
            <w:shd w:val="clear" w:color="auto" w:fill="FFFFFF"/>
            <w:noWrap w:val="0"/>
            <w:tcMar>
              <w:top w:w="0" w:type="dxa"/>
              <w:left w:w="0" w:type="dxa"/>
              <w:bottom w:w="0" w:type="dxa"/>
              <w:right w:w="0" w:type="dxa"/>
            </w:tcMar>
            <w:vAlign w:val="center"/>
          </w:tcPr>
          <w:p w14:paraId="4A22783C">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12</w:t>
            </w:r>
          </w:p>
        </w:tc>
        <w:tc>
          <w:tcPr>
            <w:tcW w:w="577" w:type="dxa"/>
            <w:shd w:val="clear" w:color="auto" w:fill="FFFFFF"/>
            <w:noWrap w:val="0"/>
            <w:tcMar>
              <w:top w:w="0" w:type="dxa"/>
              <w:left w:w="0" w:type="dxa"/>
              <w:bottom w:w="0" w:type="dxa"/>
              <w:right w:w="0" w:type="dxa"/>
            </w:tcMar>
            <w:vAlign w:val="center"/>
          </w:tcPr>
          <w:p w14:paraId="1046BB68">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15</w:t>
            </w:r>
          </w:p>
        </w:tc>
        <w:tc>
          <w:tcPr>
            <w:tcW w:w="577" w:type="dxa"/>
            <w:shd w:val="clear" w:color="auto" w:fill="FFFFFF"/>
            <w:noWrap w:val="0"/>
            <w:tcMar>
              <w:top w:w="0" w:type="dxa"/>
              <w:left w:w="0" w:type="dxa"/>
              <w:bottom w:w="0" w:type="dxa"/>
              <w:right w:w="0" w:type="dxa"/>
            </w:tcMar>
            <w:vAlign w:val="center"/>
          </w:tcPr>
          <w:p w14:paraId="43EC6332">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10</w:t>
            </w:r>
          </w:p>
        </w:tc>
        <w:tc>
          <w:tcPr>
            <w:tcW w:w="578" w:type="dxa"/>
            <w:shd w:val="clear" w:color="auto" w:fill="FFFFFF"/>
            <w:noWrap w:val="0"/>
            <w:tcMar>
              <w:top w:w="0" w:type="dxa"/>
              <w:left w:w="0" w:type="dxa"/>
              <w:bottom w:w="0" w:type="dxa"/>
              <w:right w:w="0" w:type="dxa"/>
            </w:tcMar>
            <w:vAlign w:val="center"/>
          </w:tcPr>
          <w:p w14:paraId="5726C67E">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13</w:t>
            </w:r>
          </w:p>
        </w:tc>
        <w:tc>
          <w:tcPr>
            <w:tcW w:w="569" w:type="dxa"/>
            <w:shd w:val="clear" w:color="auto" w:fill="FFFFFF"/>
            <w:noWrap w:val="0"/>
            <w:tcMar>
              <w:top w:w="0" w:type="dxa"/>
              <w:left w:w="0" w:type="dxa"/>
              <w:bottom w:w="0" w:type="dxa"/>
              <w:right w:w="0" w:type="dxa"/>
            </w:tcMar>
            <w:vAlign w:val="center"/>
          </w:tcPr>
          <w:p w14:paraId="34CD461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68.4 </w:t>
            </w:r>
          </w:p>
        </w:tc>
        <w:tc>
          <w:tcPr>
            <w:tcW w:w="569" w:type="dxa"/>
            <w:shd w:val="clear" w:color="auto" w:fill="FFFFFF"/>
            <w:noWrap w:val="0"/>
            <w:tcMar>
              <w:top w:w="0" w:type="dxa"/>
              <w:left w:w="0" w:type="dxa"/>
              <w:bottom w:w="0" w:type="dxa"/>
              <w:right w:w="0" w:type="dxa"/>
            </w:tcMar>
            <w:vAlign w:val="center"/>
          </w:tcPr>
          <w:p w14:paraId="6DFB89A5">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66.5 </w:t>
            </w:r>
          </w:p>
        </w:tc>
        <w:tc>
          <w:tcPr>
            <w:tcW w:w="569" w:type="dxa"/>
            <w:shd w:val="clear" w:color="auto" w:fill="FFFFFF"/>
            <w:noWrap w:val="0"/>
            <w:tcMar>
              <w:top w:w="0" w:type="dxa"/>
              <w:left w:w="0" w:type="dxa"/>
              <w:bottom w:w="0" w:type="dxa"/>
              <w:right w:w="0" w:type="dxa"/>
            </w:tcMar>
            <w:vAlign w:val="center"/>
          </w:tcPr>
          <w:p w14:paraId="59A5274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70.0 </w:t>
            </w:r>
          </w:p>
        </w:tc>
        <w:tc>
          <w:tcPr>
            <w:tcW w:w="573" w:type="dxa"/>
            <w:shd w:val="clear" w:color="auto" w:fill="FFFFFF"/>
            <w:noWrap w:val="0"/>
            <w:tcMar>
              <w:top w:w="0" w:type="dxa"/>
              <w:left w:w="0" w:type="dxa"/>
              <w:bottom w:w="0" w:type="dxa"/>
              <w:right w:w="0" w:type="dxa"/>
            </w:tcMar>
            <w:vAlign w:val="center"/>
          </w:tcPr>
          <w:p w14:paraId="78865F4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67.7 </w:t>
            </w:r>
          </w:p>
        </w:tc>
        <w:tc>
          <w:tcPr>
            <w:tcW w:w="878" w:type="dxa"/>
            <w:shd w:val="clear" w:color="auto" w:fill="FFFFFF"/>
            <w:noWrap w:val="0"/>
            <w:tcMar>
              <w:top w:w="0" w:type="dxa"/>
              <w:left w:w="0" w:type="dxa"/>
              <w:bottom w:w="0" w:type="dxa"/>
              <w:right w:w="0" w:type="dxa"/>
            </w:tcMar>
            <w:vAlign w:val="center"/>
          </w:tcPr>
          <w:p w14:paraId="7562E71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897" w:type="dxa"/>
            <w:shd w:val="clear" w:color="auto" w:fill="FFFFFF"/>
            <w:noWrap w:val="0"/>
            <w:tcMar>
              <w:top w:w="0" w:type="dxa"/>
              <w:left w:w="0" w:type="dxa"/>
              <w:bottom w:w="0" w:type="dxa"/>
              <w:right w:w="0" w:type="dxa"/>
            </w:tcMar>
            <w:vAlign w:val="center"/>
          </w:tcPr>
          <w:p w14:paraId="3D860BC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20</w:t>
            </w:r>
          </w:p>
        </w:tc>
        <w:tc>
          <w:tcPr>
            <w:tcW w:w="650" w:type="dxa"/>
            <w:shd w:val="clear" w:color="auto" w:fill="FFFFFF"/>
            <w:noWrap w:val="0"/>
            <w:tcMar>
              <w:top w:w="0" w:type="dxa"/>
              <w:left w:w="0" w:type="dxa"/>
              <w:bottom w:w="0" w:type="dxa"/>
              <w:right w:w="0" w:type="dxa"/>
            </w:tcMar>
            <w:vAlign w:val="center"/>
          </w:tcPr>
          <w:p w14:paraId="20A0C4E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53.4 </w:t>
            </w:r>
          </w:p>
        </w:tc>
        <w:tc>
          <w:tcPr>
            <w:tcW w:w="900" w:type="dxa"/>
            <w:shd w:val="clear" w:color="auto" w:fill="FFFFFF"/>
            <w:noWrap w:val="0"/>
            <w:tcMar>
              <w:top w:w="0" w:type="dxa"/>
              <w:left w:w="0" w:type="dxa"/>
              <w:bottom w:w="0" w:type="dxa"/>
              <w:right w:w="0" w:type="dxa"/>
            </w:tcMar>
            <w:vAlign w:val="center"/>
          </w:tcPr>
          <w:p w14:paraId="5EB4F53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51.5 </w:t>
            </w:r>
          </w:p>
        </w:tc>
        <w:tc>
          <w:tcPr>
            <w:tcW w:w="737" w:type="dxa"/>
            <w:shd w:val="clear" w:color="auto" w:fill="FFFFFF"/>
            <w:noWrap w:val="0"/>
            <w:tcMar>
              <w:top w:w="0" w:type="dxa"/>
              <w:left w:w="0" w:type="dxa"/>
              <w:bottom w:w="0" w:type="dxa"/>
              <w:right w:w="0" w:type="dxa"/>
            </w:tcMar>
            <w:vAlign w:val="center"/>
          </w:tcPr>
          <w:p w14:paraId="5EEE36F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55.0 </w:t>
            </w:r>
          </w:p>
        </w:tc>
        <w:tc>
          <w:tcPr>
            <w:tcW w:w="538" w:type="dxa"/>
            <w:shd w:val="clear" w:color="auto" w:fill="FFFFFF"/>
            <w:noWrap w:val="0"/>
            <w:tcMar>
              <w:top w:w="0" w:type="dxa"/>
              <w:left w:w="0" w:type="dxa"/>
              <w:bottom w:w="0" w:type="dxa"/>
              <w:right w:w="0" w:type="dxa"/>
            </w:tcMar>
            <w:vAlign w:val="center"/>
          </w:tcPr>
          <w:p w14:paraId="6DB269E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52.7 </w:t>
            </w:r>
          </w:p>
        </w:tc>
        <w:tc>
          <w:tcPr>
            <w:tcW w:w="737" w:type="dxa"/>
            <w:shd w:val="clear" w:color="auto" w:fill="FFFFFF"/>
            <w:noWrap w:val="0"/>
            <w:tcMar>
              <w:top w:w="0" w:type="dxa"/>
              <w:left w:w="0" w:type="dxa"/>
              <w:bottom w:w="0" w:type="dxa"/>
              <w:right w:w="0" w:type="dxa"/>
            </w:tcMar>
            <w:vAlign w:val="center"/>
          </w:tcPr>
          <w:p w14:paraId="27016B64">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14:paraId="6266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6" w:hRule="atLeast"/>
          <w:jc w:val="center"/>
        </w:trPr>
        <w:tc>
          <w:tcPr>
            <w:tcW w:w="439" w:type="dxa"/>
            <w:shd w:val="clear" w:color="auto" w:fill="FFFFFF"/>
            <w:noWrap w:val="0"/>
            <w:tcMar>
              <w:top w:w="0" w:type="dxa"/>
              <w:left w:w="0" w:type="dxa"/>
              <w:bottom w:w="0" w:type="dxa"/>
              <w:right w:w="0" w:type="dxa"/>
            </w:tcMar>
            <w:vAlign w:val="center"/>
          </w:tcPr>
          <w:p w14:paraId="32F7F73E">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645" w:type="dxa"/>
            <w:shd w:val="clear" w:color="auto" w:fill="FFFFFF"/>
            <w:noWrap w:val="0"/>
            <w:tcMar>
              <w:top w:w="0" w:type="dxa"/>
              <w:left w:w="0" w:type="dxa"/>
              <w:bottom w:w="0" w:type="dxa"/>
              <w:right w:w="0" w:type="dxa"/>
            </w:tcMar>
            <w:vAlign w:val="center"/>
          </w:tcPr>
          <w:p w14:paraId="61A647B7">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钢筋加工场</w:t>
            </w:r>
          </w:p>
        </w:tc>
        <w:tc>
          <w:tcPr>
            <w:tcW w:w="615" w:type="dxa"/>
            <w:shd w:val="clear" w:color="auto" w:fill="auto"/>
            <w:noWrap w:val="0"/>
            <w:tcMar>
              <w:top w:w="0" w:type="dxa"/>
              <w:left w:w="0" w:type="dxa"/>
              <w:bottom w:w="0" w:type="dxa"/>
              <w:right w:w="0" w:type="dxa"/>
            </w:tcMar>
            <w:vAlign w:val="center"/>
          </w:tcPr>
          <w:p w14:paraId="71C41C8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钢筋调直机</w:t>
            </w:r>
          </w:p>
        </w:tc>
        <w:tc>
          <w:tcPr>
            <w:tcW w:w="453" w:type="dxa"/>
            <w:shd w:val="clear" w:color="auto" w:fill="FFFFFF"/>
            <w:noWrap w:val="0"/>
            <w:tcMar>
              <w:top w:w="0" w:type="dxa"/>
              <w:left w:w="0" w:type="dxa"/>
              <w:bottom w:w="0" w:type="dxa"/>
              <w:right w:w="0" w:type="dxa"/>
            </w:tcMar>
            <w:vAlign w:val="center"/>
          </w:tcPr>
          <w:p w14:paraId="7778DF6E">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40" w:type="dxa"/>
            <w:shd w:val="clear" w:color="auto" w:fill="FFFFFF"/>
            <w:noWrap w:val="0"/>
            <w:tcMar>
              <w:top w:w="0" w:type="dxa"/>
              <w:left w:w="0" w:type="dxa"/>
              <w:bottom w:w="0" w:type="dxa"/>
              <w:right w:w="0" w:type="dxa"/>
            </w:tcMar>
            <w:vAlign w:val="center"/>
          </w:tcPr>
          <w:p w14:paraId="64B1B8FB">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85</w:t>
            </w:r>
          </w:p>
        </w:tc>
        <w:tc>
          <w:tcPr>
            <w:tcW w:w="833" w:type="dxa"/>
            <w:shd w:val="clear" w:color="auto" w:fill="FFFFFF"/>
            <w:noWrap w:val="0"/>
            <w:tcMar>
              <w:top w:w="0" w:type="dxa"/>
              <w:left w:w="0" w:type="dxa"/>
              <w:bottom w:w="0" w:type="dxa"/>
              <w:right w:w="0" w:type="dxa"/>
            </w:tcMar>
            <w:vAlign w:val="center"/>
          </w:tcPr>
          <w:p w14:paraId="1FF56FAA">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基础减振</w:t>
            </w:r>
          </w:p>
        </w:tc>
        <w:tc>
          <w:tcPr>
            <w:tcW w:w="625" w:type="dxa"/>
            <w:shd w:val="clear" w:color="auto" w:fill="FFFFFF"/>
            <w:noWrap w:val="0"/>
            <w:tcMar>
              <w:top w:w="0" w:type="dxa"/>
              <w:left w:w="0" w:type="dxa"/>
              <w:bottom w:w="0" w:type="dxa"/>
              <w:right w:w="0" w:type="dxa"/>
            </w:tcMar>
            <w:vAlign w:val="center"/>
          </w:tcPr>
          <w:p w14:paraId="4A3C1399">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-4</w:t>
            </w:r>
          </w:p>
        </w:tc>
        <w:tc>
          <w:tcPr>
            <w:tcW w:w="563" w:type="dxa"/>
            <w:shd w:val="clear" w:color="auto" w:fill="FFFFFF"/>
            <w:noWrap w:val="0"/>
            <w:tcMar>
              <w:top w:w="0" w:type="dxa"/>
              <w:left w:w="0" w:type="dxa"/>
              <w:bottom w:w="0" w:type="dxa"/>
              <w:right w:w="0" w:type="dxa"/>
            </w:tcMar>
            <w:vAlign w:val="center"/>
          </w:tcPr>
          <w:p w14:paraId="6B5EA41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w:t>
            </w:r>
          </w:p>
        </w:tc>
        <w:tc>
          <w:tcPr>
            <w:tcW w:w="698" w:type="dxa"/>
            <w:shd w:val="clear" w:color="auto" w:fill="FFFFFF"/>
            <w:noWrap w:val="0"/>
            <w:tcMar>
              <w:top w:w="0" w:type="dxa"/>
              <w:left w:w="0" w:type="dxa"/>
              <w:bottom w:w="0" w:type="dxa"/>
              <w:right w:w="0" w:type="dxa"/>
            </w:tcMar>
            <w:vAlign w:val="center"/>
          </w:tcPr>
          <w:p w14:paraId="148C522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1.2</w:t>
            </w:r>
          </w:p>
        </w:tc>
        <w:tc>
          <w:tcPr>
            <w:tcW w:w="577" w:type="dxa"/>
            <w:shd w:val="clear" w:color="auto" w:fill="FFFFFF"/>
            <w:noWrap w:val="0"/>
            <w:tcMar>
              <w:top w:w="0" w:type="dxa"/>
              <w:left w:w="0" w:type="dxa"/>
              <w:bottom w:w="0" w:type="dxa"/>
              <w:right w:w="0" w:type="dxa"/>
            </w:tcMar>
            <w:vAlign w:val="center"/>
          </w:tcPr>
          <w:p w14:paraId="1575E0A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15</w:t>
            </w:r>
          </w:p>
        </w:tc>
        <w:tc>
          <w:tcPr>
            <w:tcW w:w="577" w:type="dxa"/>
            <w:shd w:val="clear" w:color="auto" w:fill="FFFFFF"/>
            <w:noWrap w:val="0"/>
            <w:tcMar>
              <w:top w:w="0" w:type="dxa"/>
              <w:left w:w="0" w:type="dxa"/>
              <w:bottom w:w="0" w:type="dxa"/>
              <w:right w:w="0" w:type="dxa"/>
            </w:tcMar>
            <w:vAlign w:val="center"/>
          </w:tcPr>
          <w:p w14:paraId="2075048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15</w:t>
            </w:r>
          </w:p>
        </w:tc>
        <w:tc>
          <w:tcPr>
            <w:tcW w:w="577" w:type="dxa"/>
            <w:shd w:val="clear" w:color="auto" w:fill="FFFFFF"/>
            <w:noWrap w:val="0"/>
            <w:tcMar>
              <w:top w:w="0" w:type="dxa"/>
              <w:left w:w="0" w:type="dxa"/>
              <w:bottom w:w="0" w:type="dxa"/>
              <w:right w:w="0" w:type="dxa"/>
            </w:tcMar>
            <w:vAlign w:val="center"/>
          </w:tcPr>
          <w:p w14:paraId="0F8CC46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7</w:t>
            </w:r>
          </w:p>
        </w:tc>
        <w:tc>
          <w:tcPr>
            <w:tcW w:w="578" w:type="dxa"/>
            <w:shd w:val="clear" w:color="auto" w:fill="FFFFFF"/>
            <w:noWrap w:val="0"/>
            <w:tcMar>
              <w:top w:w="0" w:type="dxa"/>
              <w:left w:w="0" w:type="dxa"/>
              <w:bottom w:w="0" w:type="dxa"/>
              <w:right w:w="0" w:type="dxa"/>
            </w:tcMar>
            <w:vAlign w:val="center"/>
          </w:tcPr>
          <w:p w14:paraId="2CABE0D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13</w:t>
            </w:r>
          </w:p>
        </w:tc>
        <w:tc>
          <w:tcPr>
            <w:tcW w:w="569" w:type="dxa"/>
            <w:shd w:val="clear" w:color="auto" w:fill="FFFFFF"/>
            <w:noWrap w:val="0"/>
            <w:tcMar>
              <w:top w:w="0" w:type="dxa"/>
              <w:left w:w="0" w:type="dxa"/>
              <w:bottom w:w="0" w:type="dxa"/>
              <w:right w:w="0" w:type="dxa"/>
            </w:tcMar>
            <w:vAlign w:val="center"/>
          </w:tcPr>
          <w:p w14:paraId="1664F02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61.5 </w:t>
            </w:r>
          </w:p>
        </w:tc>
        <w:tc>
          <w:tcPr>
            <w:tcW w:w="569" w:type="dxa"/>
            <w:shd w:val="clear" w:color="auto" w:fill="FFFFFF"/>
            <w:noWrap w:val="0"/>
            <w:tcMar>
              <w:top w:w="0" w:type="dxa"/>
              <w:left w:w="0" w:type="dxa"/>
              <w:bottom w:w="0" w:type="dxa"/>
              <w:right w:w="0" w:type="dxa"/>
            </w:tcMar>
            <w:vAlign w:val="center"/>
          </w:tcPr>
          <w:p w14:paraId="38C1FA8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61.5 </w:t>
            </w:r>
          </w:p>
        </w:tc>
        <w:tc>
          <w:tcPr>
            <w:tcW w:w="569" w:type="dxa"/>
            <w:shd w:val="clear" w:color="auto" w:fill="FFFFFF"/>
            <w:noWrap w:val="0"/>
            <w:tcMar>
              <w:top w:w="0" w:type="dxa"/>
              <w:left w:w="0" w:type="dxa"/>
              <w:bottom w:w="0" w:type="dxa"/>
              <w:right w:w="0" w:type="dxa"/>
            </w:tcMar>
            <w:vAlign w:val="center"/>
          </w:tcPr>
          <w:p w14:paraId="15A858B1">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68.1 </w:t>
            </w:r>
          </w:p>
        </w:tc>
        <w:tc>
          <w:tcPr>
            <w:tcW w:w="573" w:type="dxa"/>
            <w:shd w:val="clear" w:color="auto" w:fill="FFFFFF"/>
            <w:noWrap w:val="0"/>
            <w:tcMar>
              <w:top w:w="0" w:type="dxa"/>
              <w:left w:w="0" w:type="dxa"/>
              <w:bottom w:w="0" w:type="dxa"/>
              <w:right w:w="0" w:type="dxa"/>
            </w:tcMar>
            <w:vAlign w:val="center"/>
          </w:tcPr>
          <w:p w14:paraId="561445E3">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62.7 </w:t>
            </w:r>
          </w:p>
        </w:tc>
        <w:tc>
          <w:tcPr>
            <w:tcW w:w="878" w:type="dxa"/>
            <w:shd w:val="clear" w:color="auto" w:fill="FFFFFF"/>
            <w:noWrap w:val="0"/>
            <w:tcMar>
              <w:top w:w="0" w:type="dxa"/>
              <w:left w:w="0" w:type="dxa"/>
              <w:bottom w:w="0" w:type="dxa"/>
              <w:right w:w="0" w:type="dxa"/>
            </w:tcMar>
            <w:vAlign w:val="center"/>
          </w:tcPr>
          <w:p w14:paraId="1766FB09">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897" w:type="dxa"/>
            <w:shd w:val="clear" w:color="auto" w:fill="FFFFFF"/>
            <w:noWrap w:val="0"/>
            <w:tcMar>
              <w:top w:w="0" w:type="dxa"/>
              <w:left w:w="0" w:type="dxa"/>
              <w:bottom w:w="0" w:type="dxa"/>
              <w:right w:w="0" w:type="dxa"/>
            </w:tcMar>
            <w:vAlign w:val="center"/>
          </w:tcPr>
          <w:p w14:paraId="1DEE70B0">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cs="Times New Roman"/>
                <w:color w:val="auto"/>
                <w:sz w:val="21"/>
                <w:szCs w:val="21"/>
                <w:highlight w:val="none"/>
                <w:lang w:val="en-US" w:eastAsia="zh-CN"/>
              </w:rPr>
              <w:t>20</w:t>
            </w:r>
          </w:p>
        </w:tc>
        <w:tc>
          <w:tcPr>
            <w:tcW w:w="650" w:type="dxa"/>
            <w:shd w:val="clear" w:color="auto" w:fill="FFFFFF"/>
            <w:noWrap w:val="0"/>
            <w:tcMar>
              <w:top w:w="0" w:type="dxa"/>
              <w:left w:w="0" w:type="dxa"/>
              <w:bottom w:w="0" w:type="dxa"/>
              <w:right w:w="0" w:type="dxa"/>
            </w:tcMar>
            <w:vAlign w:val="center"/>
          </w:tcPr>
          <w:p w14:paraId="08C3D37B">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46.5 </w:t>
            </w:r>
          </w:p>
        </w:tc>
        <w:tc>
          <w:tcPr>
            <w:tcW w:w="900" w:type="dxa"/>
            <w:shd w:val="clear" w:color="auto" w:fill="FFFFFF"/>
            <w:noWrap w:val="0"/>
            <w:tcMar>
              <w:top w:w="0" w:type="dxa"/>
              <w:left w:w="0" w:type="dxa"/>
              <w:bottom w:w="0" w:type="dxa"/>
              <w:right w:w="0" w:type="dxa"/>
            </w:tcMar>
            <w:vAlign w:val="center"/>
          </w:tcPr>
          <w:p w14:paraId="4FADF530">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46.5 </w:t>
            </w:r>
          </w:p>
        </w:tc>
        <w:tc>
          <w:tcPr>
            <w:tcW w:w="737" w:type="dxa"/>
            <w:shd w:val="clear" w:color="auto" w:fill="FFFFFF"/>
            <w:noWrap w:val="0"/>
            <w:tcMar>
              <w:top w:w="0" w:type="dxa"/>
              <w:left w:w="0" w:type="dxa"/>
              <w:bottom w:w="0" w:type="dxa"/>
              <w:right w:w="0" w:type="dxa"/>
            </w:tcMar>
            <w:vAlign w:val="center"/>
          </w:tcPr>
          <w:p w14:paraId="4ED2E417">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53.1 </w:t>
            </w:r>
          </w:p>
        </w:tc>
        <w:tc>
          <w:tcPr>
            <w:tcW w:w="538" w:type="dxa"/>
            <w:shd w:val="clear" w:color="auto" w:fill="FFFFFF"/>
            <w:noWrap w:val="0"/>
            <w:tcMar>
              <w:top w:w="0" w:type="dxa"/>
              <w:left w:w="0" w:type="dxa"/>
              <w:bottom w:w="0" w:type="dxa"/>
              <w:right w:w="0" w:type="dxa"/>
            </w:tcMar>
            <w:vAlign w:val="center"/>
          </w:tcPr>
          <w:p w14:paraId="6981600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等线" w:cs="Times New Roman"/>
                <w:i w:val="0"/>
                <w:iCs w:val="0"/>
                <w:snapToGrid w:val="0"/>
                <w:color w:val="auto"/>
                <w:kern w:val="0"/>
                <w:sz w:val="21"/>
                <w:szCs w:val="21"/>
                <w:highlight w:val="none"/>
                <w:u w:val="none"/>
                <w:lang w:val="en-US" w:eastAsia="zh-CN" w:bidi="ar"/>
              </w:rPr>
              <w:t xml:space="preserve">47.7 </w:t>
            </w:r>
          </w:p>
        </w:tc>
        <w:tc>
          <w:tcPr>
            <w:tcW w:w="737" w:type="dxa"/>
            <w:shd w:val="clear" w:color="auto" w:fill="FFFFFF"/>
            <w:noWrap w:val="0"/>
            <w:tcMar>
              <w:top w:w="0" w:type="dxa"/>
              <w:left w:w="0" w:type="dxa"/>
              <w:bottom w:w="0" w:type="dxa"/>
              <w:right w:w="0" w:type="dxa"/>
            </w:tcMar>
            <w:vAlign w:val="center"/>
          </w:tcPr>
          <w:p w14:paraId="210EDA3D">
            <w:pPr>
              <w:keepNext w:val="0"/>
              <w:keepLines w:val="0"/>
              <w:pageBreakBefore w:val="0"/>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bl>
    <w:p w14:paraId="77F06AF6">
      <w:pPr>
        <w:pStyle w:val="43"/>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 w:val="21"/>
          <w:highlight w:val="none"/>
        </w:rPr>
      </w:pPr>
      <w:r>
        <w:rPr>
          <w:rFonts w:hint="default" w:ascii="Times New Roman" w:hAnsi="Times New Roman" w:eastAsia="宋体" w:cs="Times New Roman"/>
          <w:bCs/>
          <w:color w:val="auto"/>
          <w:sz w:val="21"/>
          <w:highlight w:val="none"/>
        </w:rPr>
        <w:t>表中坐标以</w:t>
      </w:r>
      <w:r>
        <w:rPr>
          <w:rFonts w:hint="default" w:ascii="Times New Roman" w:hAnsi="Times New Roman" w:cs="Times New Roman"/>
          <w:bCs/>
          <w:color w:val="auto"/>
          <w:sz w:val="21"/>
          <w:highlight w:val="none"/>
          <w:lang w:val="en-US" w:eastAsia="zh-CN"/>
        </w:rPr>
        <w:t>1#施工场地的</w:t>
      </w:r>
      <w:r>
        <w:rPr>
          <w:rFonts w:hint="default" w:ascii="Times New Roman" w:hAnsi="Times New Roman" w:eastAsia="宋体" w:cs="Times New Roman"/>
          <w:bCs/>
          <w:color w:val="auto"/>
          <w:sz w:val="21"/>
          <w:highlight w:val="none"/>
        </w:rPr>
        <w:t>中心（</w:t>
      </w:r>
      <w:r>
        <w:rPr>
          <w:rFonts w:hint="default" w:ascii="Times New Roman" w:hAnsi="Times New Roman" w:eastAsia="宋体" w:cs="Times New Roman"/>
          <w:bCs/>
          <w:color w:val="auto"/>
          <w:sz w:val="21"/>
          <w:highlight w:val="none"/>
          <w:lang w:eastAsia="zh-CN"/>
        </w:rPr>
        <w:t>107°20′25.97407″,30°52′58.91602″</w:t>
      </w:r>
      <w:r>
        <w:rPr>
          <w:rFonts w:hint="default" w:ascii="Times New Roman" w:hAnsi="Times New Roman" w:eastAsia="宋体" w:cs="Times New Roman"/>
          <w:bCs/>
          <w:color w:val="auto"/>
          <w:sz w:val="21"/>
          <w:highlight w:val="none"/>
        </w:rPr>
        <w:t>）为坐标原点，正东向为X轴正方向，正北向为Y轴正方向。</w:t>
      </w:r>
    </w:p>
    <w:p w14:paraId="146E52E7">
      <w:pPr>
        <w:spacing w:line="360" w:lineRule="auto"/>
        <w:ind w:firstLine="420"/>
        <w:rPr>
          <w:rFonts w:hint="default" w:ascii="Times New Roman" w:hAnsi="Times New Roman" w:eastAsia="黑体" w:cs="Times New Roman"/>
          <w:color w:val="auto"/>
          <w:sz w:val="30"/>
          <w:szCs w:val="30"/>
          <w:highlight w:val="none"/>
        </w:rPr>
        <w:sectPr>
          <w:pgSz w:w="16838" w:h="11906" w:orient="landscape"/>
          <w:pgMar w:top="1083" w:right="1440" w:bottom="1083" w:left="1440" w:header="851" w:footer="992" w:gutter="0"/>
          <w:pgBorders>
            <w:top w:val="none" w:sz="0" w:space="0"/>
            <w:left w:val="none" w:sz="0" w:space="0"/>
            <w:bottom w:val="none" w:sz="0" w:space="0"/>
            <w:right w:val="none" w:sz="0" w:space="0"/>
          </w:pgBorders>
          <w:pgNumType w:fmt="decimal"/>
          <w:cols w:space="0" w:num="1"/>
          <w:rtlGutter w:val="0"/>
          <w:docGrid w:type="lines" w:linePitch="335" w:charSpace="0"/>
        </w:sectPr>
      </w:pPr>
      <w:r>
        <w:rPr>
          <w:rFonts w:hint="eastAsia" w:ascii="Times New Roman" w:hAnsi="Times New Roman" w:cs="Times New Roman"/>
          <w:bCs/>
          <w:color w:val="auto"/>
          <w:sz w:val="21"/>
          <w:highlight w:val="none"/>
          <w:lang w:eastAsia="zh-CN"/>
        </w:rPr>
        <w:t>（</w:t>
      </w:r>
      <w:r>
        <w:rPr>
          <w:rFonts w:hint="eastAsia" w:ascii="Times New Roman" w:hAnsi="Times New Roman" w:cs="Times New Roman"/>
          <w:bCs/>
          <w:color w:val="auto"/>
          <w:sz w:val="21"/>
          <w:highlight w:val="none"/>
          <w:lang w:val="en-US" w:eastAsia="zh-CN"/>
        </w:rPr>
        <w:t>2</w:t>
      </w:r>
      <w:r>
        <w:rPr>
          <w:rFonts w:hint="eastAsia" w:ascii="Times New Roman" w:hAnsi="Times New Roman" w:cs="Times New Roman"/>
          <w:bCs/>
          <w:color w:val="auto"/>
          <w:sz w:val="21"/>
          <w:highlight w:val="none"/>
          <w:lang w:eastAsia="zh-CN"/>
        </w:rPr>
        <w:t>）</w:t>
      </w:r>
      <w:r>
        <w:rPr>
          <w:rFonts w:hint="eastAsia" w:ascii="Times New Roman" w:hAnsi="Times New Roman" w:cs="Times New Roman"/>
          <w:bCs/>
          <w:color w:val="auto"/>
          <w:sz w:val="21"/>
          <w:highlight w:val="none"/>
          <w:lang w:val="en-US" w:eastAsia="zh-CN"/>
        </w:rPr>
        <w:t>拌和站和钢筋加工场均</w:t>
      </w:r>
      <w:r>
        <w:rPr>
          <w:rFonts w:hint="default" w:ascii="Times New Roman" w:hAnsi="Times New Roman" w:eastAsia="宋体" w:cs="Times New Roman"/>
          <w:bCs/>
          <w:color w:val="auto"/>
          <w:sz w:val="21"/>
          <w:highlight w:val="none"/>
        </w:rPr>
        <w:t>为</w:t>
      </w:r>
      <w:r>
        <w:rPr>
          <w:rFonts w:hint="eastAsia" w:ascii="Times New Roman" w:hAnsi="Times New Roman" w:cs="Times New Roman"/>
          <w:color w:val="auto"/>
          <w:sz w:val="21"/>
          <w:highlight w:val="none"/>
          <w:lang w:val="en-US" w:eastAsia="zh-CN"/>
        </w:rPr>
        <w:t>密闭工棚</w:t>
      </w:r>
      <w:r>
        <w:rPr>
          <w:rFonts w:hint="default" w:ascii="Times New Roman" w:hAnsi="Times New Roman" w:eastAsia="宋体" w:cs="Times New Roman"/>
          <w:bCs/>
          <w:color w:val="auto"/>
          <w:sz w:val="21"/>
          <w:highlight w:val="none"/>
        </w:rPr>
        <w:t>，声屏障类型参考柱形建筑物</w:t>
      </w:r>
      <w:r>
        <w:rPr>
          <w:rFonts w:hint="default" w:ascii="Times New Roman" w:hAnsi="Times New Roman" w:eastAsia="宋体" w:cs="Times New Roman"/>
          <w:color w:val="auto"/>
          <w:sz w:val="21"/>
          <w:highlight w:val="none"/>
        </w:rPr>
        <w:t>。</w:t>
      </w:r>
      <w:r>
        <w:rPr>
          <w:rFonts w:hint="eastAsia" w:ascii="Times New Roman" w:hAnsi="Times New Roman" w:cs="Times New Roman"/>
          <w:color w:val="auto"/>
          <w:sz w:val="21"/>
          <w:highlight w:val="none"/>
          <w:lang w:eastAsia="zh-CN"/>
        </w:rPr>
        <w:t>参照GB/T50087-2013</w:t>
      </w:r>
      <w:r>
        <w:rPr>
          <w:rFonts w:hint="default" w:ascii="Times New Roman" w:hAnsi="Times New Roman" w:eastAsia="宋体" w:cs="Times New Roman"/>
          <w:color w:val="auto"/>
          <w:sz w:val="21"/>
          <w:highlight w:val="none"/>
        </w:rPr>
        <w:t>《工业企业噪声控制设计规范》，采用</w:t>
      </w:r>
      <w:r>
        <w:rPr>
          <w:rFonts w:hint="eastAsia" w:ascii="Times New Roman" w:hAnsi="Times New Roman" w:cs="Times New Roman"/>
          <w:color w:val="auto"/>
          <w:sz w:val="21"/>
          <w:highlight w:val="none"/>
          <w:lang w:val="en-US" w:eastAsia="zh-CN"/>
        </w:rPr>
        <w:t>活动密闭工棚</w:t>
      </w:r>
      <w:r>
        <w:rPr>
          <w:rFonts w:hint="default" w:ascii="Times New Roman" w:hAnsi="Times New Roman" w:eastAsia="宋体" w:cs="Times New Roman"/>
          <w:color w:val="auto"/>
          <w:sz w:val="21"/>
          <w:highlight w:val="none"/>
        </w:rPr>
        <w:t>等隔声降噪措施后，插入损失可在</w:t>
      </w:r>
      <w:r>
        <w:rPr>
          <w:rFonts w:hint="eastAsia" w:ascii="Times New Roman" w:hAnsi="Times New Roman" w:cs="Times New Roman"/>
          <w:color w:val="auto"/>
          <w:sz w:val="21"/>
          <w:highlight w:val="none"/>
          <w:lang w:val="en-US" w:eastAsia="zh-CN"/>
        </w:rPr>
        <w:t>15</w:t>
      </w:r>
      <w:r>
        <w:rPr>
          <w:rFonts w:hint="default" w:ascii="Times New Roman" w:hAnsi="Times New Roman" w:eastAsia="宋体" w:cs="Times New Roman"/>
          <w:color w:val="auto"/>
          <w:sz w:val="21"/>
          <w:highlight w:val="none"/>
        </w:rPr>
        <w:t>~</w:t>
      </w:r>
      <w:r>
        <w:rPr>
          <w:rFonts w:hint="eastAsia" w:ascii="Times New Roman" w:hAnsi="Times New Roman" w:cs="Times New Roman"/>
          <w:color w:val="auto"/>
          <w:sz w:val="21"/>
          <w:highlight w:val="none"/>
          <w:lang w:val="en-US" w:eastAsia="zh-CN"/>
        </w:rPr>
        <w:t>3</w:t>
      </w:r>
      <w:r>
        <w:rPr>
          <w:rFonts w:hint="default" w:ascii="Times New Roman" w:hAnsi="Times New Roman" w:eastAsia="宋体" w:cs="Times New Roman"/>
          <w:color w:val="auto"/>
          <w:sz w:val="21"/>
          <w:highlight w:val="none"/>
        </w:rPr>
        <w:t>0dB（A）范围内选取。结合各噪声源分布情况，本次环评</w:t>
      </w:r>
      <w:r>
        <w:rPr>
          <w:rFonts w:hint="eastAsia" w:ascii="Times New Roman" w:hAnsi="Times New Roman" w:eastAsia="宋体" w:cs="Times New Roman"/>
          <w:color w:val="auto"/>
          <w:sz w:val="21"/>
          <w:highlight w:val="none"/>
          <w:lang w:val="en-US" w:eastAsia="zh-CN"/>
        </w:rPr>
        <w:t>各</w:t>
      </w:r>
      <w:r>
        <w:rPr>
          <w:rFonts w:hint="default" w:ascii="Times New Roman" w:hAnsi="Times New Roman" w:eastAsia="宋体" w:cs="Times New Roman"/>
          <w:color w:val="auto"/>
          <w:sz w:val="21"/>
          <w:highlight w:val="none"/>
        </w:rPr>
        <w:t>侧插入损失取值</w:t>
      </w:r>
      <w:r>
        <w:rPr>
          <w:rFonts w:hint="eastAsia" w:ascii="Times New Roman" w:hAnsi="Times New Roman" w:cs="Times New Roman"/>
          <w:color w:val="auto"/>
          <w:sz w:val="21"/>
          <w:highlight w:val="none"/>
          <w:lang w:val="en-US" w:eastAsia="zh-CN"/>
        </w:rPr>
        <w:t>20</w:t>
      </w:r>
      <w:r>
        <w:rPr>
          <w:rFonts w:hint="default" w:ascii="Times New Roman" w:hAnsi="Times New Roman" w:eastAsia="宋体" w:cs="Times New Roman"/>
          <w:color w:val="auto"/>
          <w:sz w:val="21"/>
          <w:highlight w:val="none"/>
        </w:rPr>
        <w:t>dB（A）</w:t>
      </w:r>
      <w:r>
        <w:rPr>
          <w:rFonts w:hint="default" w:ascii="Times New Roman" w:hAnsi="Times New Roman" w:eastAsia="宋体" w:cs="Times New Roman"/>
          <w:bCs/>
          <w:color w:val="auto"/>
          <w:sz w:val="21"/>
          <w:highlight w:val="none"/>
        </w:rPr>
        <w:t>。</w:t>
      </w:r>
    </w:p>
    <w:tbl>
      <w:tblPr>
        <w:tblStyle w:val="12"/>
        <w:tblW w:w="9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8908"/>
      </w:tblGrid>
      <w:tr w14:paraId="6906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1071" w:type="dxa"/>
            <w:shd w:val="clear" w:color="auto" w:fill="auto"/>
            <w:vAlign w:val="center"/>
          </w:tcPr>
          <w:p w14:paraId="73BDEBBA">
            <w:pPr>
              <w:pStyle w:val="15"/>
              <w:ind w:firstLine="0" w:firstLineChars="0"/>
              <w:rPr>
                <w:rFonts w:hint="default" w:ascii="Times New Roman" w:hAnsi="Times New Roman" w:eastAsia="宋体" w:cs="Times New Roman"/>
                <w:snapToGrid w:val="0"/>
                <w:color w:val="auto"/>
                <w:sz w:val="24"/>
                <w:szCs w:val="24"/>
                <w:highlight w:val="none"/>
                <w:lang w:val="en-US" w:eastAsia="zh-CN" w:bidi="ar-SA"/>
              </w:rPr>
            </w:pPr>
            <w:r>
              <w:rPr>
                <w:rFonts w:hint="default" w:ascii="Times New Roman" w:hAnsi="Times New Roman" w:cs="Times New Roman"/>
                <w:color w:val="auto"/>
                <w:highlight w:val="none"/>
              </w:rPr>
              <w:t>施工期生态环境影响分析</w:t>
            </w:r>
          </w:p>
        </w:tc>
        <w:tc>
          <w:tcPr>
            <w:tcW w:w="8908" w:type="dxa"/>
          </w:tcPr>
          <w:p w14:paraId="64BCCECD">
            <w:pPr>
              <w:spacing w:line="360"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fldChar w:fldCharType="begin"/>
            </w:r>
            <w:r>
              <w:rPr>
                <w:rFonts w:hint="default" w:ascii="Times New Roman" w:hAnsi="Times New Roman" w:eastAsia="宋体" w:cs="Times New Roman"/>
                <w:b w:val="0"/>
                <w:bCs w:val="0"/>
                <w:color w:val="auto"/>
                <w:kern w:val="0"/>
                <w:sz w:val="24"/>
                <w:highlight w:val="none"/>
              </w:rPr>
              <w:instrText xml:space="preserve"> = 4 \* GB4 \* MERGEFORMAT </w:instrText>
            </w:r>
            <w:r>
              <w:rPr>
                <w:rFonts w:hint="default" w:ascii="Times New Roman" w:hAnsi="Times New Roman" w:eastAsia="宋体" w:cs="Times New Roman"/>
                <w:b w:val="0"/>
                <w:bCs w:val="0"/>
                <w:color w:val="auto"/>
                <w:kern w:val="0"/>
                <w:sz w:val="24"/>
                <w:highlight w:val="none"/>
              </w:rPr>
              <w:fldChar w:fldCharType="separate"/>
            </w:r>
            <w:r>
              <w:rPr>
                <w:rFonts w:hint="default" w:ascii="Times New Roman" w:hAnsi="Times New Roman" w:cs="Times New Roman"/>
                <w:b w:val="0"/>
                <w:bCs w:val="0"/>
                <w:color w:val="auto"/>
                <w:highlight w:val="none"/>
              </w:rPr>
              <w:t>㈣</w:t>
            </w:r>
            <w:r>
              <w:rPr>
                <w:rFonts w:hint="default" w:ascii="Times New Roman" w:hAnsi="Times New Roman" w:eastAsia="宋体" w:cs="Times New Roman"/>
                <w:b w:val="0"/>
                <w:bCs w:val="0"/>
                <w:color w:val="auto"/>
                <w:kern w:val="0"/>
                <w:sz w:val="24"/>
                <w:highlight w:val="none"/>
              </w:rPr>
              <w:fldChar w:fldCharType="end"/>
            </w:r>
            <w:r>
              <w:rPr>
                <w:rFonts w:hint="default" w:ascii="Times New Roman" w:hAnsi="Times New Roman" w:eastAsia="宋体" w:cs="Times New Roman"/>
                <w:b w:val="0"/>
                <w:bCs w:val="0"/>
                <w:color w:val="auto"/>
                <w:kern w:val="0"/>
                <w:sz w:val="24"/>
                <w:highlight w:val="none"/>
              </w:rPr>
              <w:t>预测结果</w:t>
            </w:r>
          </w:p>
          <w:p w14:paraId="5E05B6F4">
            <w:pPr>
              <w:spacing w:line="360" w:lineRule="auto"/>
              <w:ind w:firstLine="480" w:firstLineChars="200"/>
              <w:rPr>
                <w:rFonts w:hint="default" w:ascii="Times New Roman" w:hAnsi="Times New Roman" w:eastAsia="宋体" w:cs="Times New Roman"/>
                <w:b/>
                <w:color w:val="auto"/>
                <w:kern w:val="0"/>
                <w:sz w:val="24"/>
                <w:highlight w:val="none"/>
              </w:rPr>
            </w:pPr>
            <w:r>
              <w:rPr>
                <w:rFonts w:hint="eastAsia" w:cs="Times New Roman"/>
                <w:b w:val="0"/>
                <w:bCs w:val="0"/>
                <w:color w:val="auto"/>
                <w:sz w:val="24"/>
                <w:szCs w:val="24"/>
                <w:highlight w:val="none"/>
                <w:lang w:val="en-US" w:eastAsia="zh-CN"/>
              </w:rPr>
              <w:t>本项目</w:t>
            </w:r>
            <w:r>
              <w:rPr>
                <w:rFonts w:hint="eastAsia" w:ascii="Times New Roman" w:hAnsi="Times New Roman" w:cs="Times New Roman"/>
                <w:b w:val="0"/>
                <w:bCs w:val="0"/>
                <w:color w:val="auto"/>
                <w:sz w:val="24"/>
                <w:szCs w:val="24"/>
                <w:highlight w:val="none"/>
                <w:lang w:eastAsia="zh-CN"/>
              </w:rPr>
              <w:t>夜间不进行施工作业</w:t>
            </w:r>
            <w:r>
              <w:rPr>
                <w:rFonts w:hint="eastAsia" w:cs="Times New Roman"/>
                <w:b w:val="0"/>
                <w:bCs w:val="0"/>
                <w:color w:val="auto"/>
                <w:sz w:val="24"/>
                <w:szCs w:val="24"/>
                <w:highlight w:val="none"/>
                <w:lang w:eastAsia="zh-CN"/>
              </w:rPr>
              <w:t>，</w:t>
            </w:r>
            <w:r>
              <w:rPr>
                <w:rFonts w:hint="eastAsia" w:cs="Times New Roman"/>
                <w:b w:val="0"/>
                <w:bCs w:val="0"/>
                <w:color w:val="auto"/>
                <w:sz w:val="24"/>
                <w:szCs w:val="24"/>
                <w:highlight w:val="none"/>
                <w:lang w:val="en-US" w:eastAsia="zh-CN"/>
              </w:rPr>
              <w:t>故不进行夜间噪声预测</w:t>
            </w:r>
            <w:r>
              <w:rPr>
                <w:rFonts w:hint="eastAsia" w:cs="Times New Roman"/>
                <w:b w:val="0"/>
                <w:bCs w:val="0"/>
                <w:color w:val="auto"/>
                <w:sz w:val="24"/>
                <w:szCs w:val="24"/>
                <w:highlight w:val="none"/>
                <w:lang w:eastAsia="zh-CN"/>
              </w:rPr>
              <w:t>。</w:t>
            </w:r>
            <w:r>
              <w:rPr>
                <w:rFonts w:hint="eastAsia" w:cs="Times New Roman"/>
                <w:color w:val="auto"/>
                <w:sz w:val="24"/>
                <w:highlight w:val="none"/>
                <w:lang w:val="en-US" w:eastAsia="zh-CN"/>
              </w:rPr>
              <w:t>1#施工场地</w:t>
            </w:r>
            <w:r>
              <w:rPr>
                <w:rFonts w:hint="eastAsia" w:cs="Times New Roman"/>
                <w:color w:val="auto"/>
                <w:sz w:val="24"/>
                <w:highlight w:val="none"/>
                <w:lang w:eastAsia="zh-CN"/>
              </w:rPr>
              <w:t>场界</w:t>
            </w:r>
            <w:r>
              <w:rPr>
                <w:rFonts w:hint="default" w:ascii="Times New Roman" w:hAnsi="Times New Roman" w:eastAsia="宋体" w:cs="Times New Roman"/>
                <w:color w:val="auto"/>
                <w:sz w:val="24"/>
                <w:highlight w:val="none"/>
              </w:rPr>
              <w:t>噪声影响预测结果见</w:t>
            </w:r>
            <w:r>
              <w:rPr>
                <w:rFonts w:hint="default" w:ascii="Times New Roman" w:hAnsi="Times New Roman" w:eastAsia="宋体" w:cs="Times New Roman"/>
                <w:color w:val="auto"/>
                <w:kern w:val="0"/>
                <w:sz w:val="24"/>
                <w:highlight w:val="none"/>
              </w:rPr>
              <w:t>表</w:t>
            </w:r>
            <w:r>
              <w:rPr>
                <w:rFonts w:hint="default" w:ascii="Times New Roman" w:hAnsi="Times New Roman" w:eastAsia="宋体" w:cs="Times New Roman"/>
                <w:color w:val="auto"/>
                <w:kern w:val="0"/>
                <w:sz w:val="24"/>
                <w:highlight w:val="none"/>
                <w:lang w:eastAsia="zh-CN"/>
              </w:rPr>
              <w:t>4.2-</w:t>
            </w:r>
            <w:r>
              <w:rPr>
                <w:rFonts w:hint="eastAsia" w:cs="Times New Roman"/>
                <w:color w:val="auto"/>
                <w:kern w:val="0"/>
                <w:sz w:val="24"/>
                <w:highlight w:val="none"/>
                <w:lang w:val="en-US" w:eastAsia="zh-CN"/>
              </w:rPr>
              <w:t>6</w:t>
            </w:r>
            <w:r>
              <w:rPr>
                <w:rFonts w:hint="default" w:ascii="Times New Roman" w:hAnsi="Times New Roman" w:eastAsia="宋体" w:cs="Times New Roman"/>
                <w:color w:val="auto"/>
                <w:sz w:val="24"/>
                <w:highlight w:val="none"/>
              </w:rPr>
              <w:t>。</w:t>
            </w:r>
          </w:p>
          <w:p w14:paraId="48366515">
            <w:pPr>
              <w:adjustRightInd w:val="0"/>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kern w:val="0"/>
                <w:sz w:val="24"/>
                <w:highlight w:val="none"/>
              </w:rPr>
              <w:t>表</w:t>
            </w:r>
            <w:r>
              <w:rPr>
                <w:rFonts w:hint="default" w:ascii="Times New Roman" w:hAnsi="Times New Roman" w:eastAsia="宋体" w:cs="Times New Roman"/>
                <w:b/>
                <w:color w:val="auto"/>
                <w:kern w:val="0"/>
                <w:sz w:val="24"/>
                <w:highlight w:val="none"/>
                <w:lang w:eastAsia="zh-CN"/>
              </w:rPr>
              <w:t>4.2-</w:t>
            </w:r>
            <w:r>
              <w:rPr>
                <w:rFonts w:hint="eastAsia" w:cs="Times New Roman"/>
                <w:b/>
                <w:color w:val="auto"/>
                <w:kern w:val="0"/>
                <w:sz w:val="24"/>
                <w:highlight w:val="none"/>
                <w:lang w:val="en-US" w:eastAsia="zh-CN"/>
              </w:rPr>
              <w:t>6</w:t>
            </w:r>
            <w:r>
              <w:rPr>
                <w:rFonts w:hint="default" w:ascii="Times New Roman" w:hAnsi="Times New Roman" w:eastAsia="宋体" w:cs="Times New Roman"/>
                <w:b/>
                <w:color w:val="auto"/>
                <w:kern w:val="0"/>
                <w:sz w:val="24"/>
                <w:highlight w:val="none"/>
              </w:rPr>
              <w:t xml:space="preserve">  </w:t>
            </w:r>
            <w:r>
              <w:rPr>
                <w:rFonts w:hint="eastAsia" w:cs="Times New Roman"/>
                <w:b/>
                <w:color w:val="auto"/>
                <w:kern w:val="0"/>
                <w:sz w:val="24"/>
                <w:highlight w:val="none"/>
                <w:lang w:val="en-US" w:eastAsia="zh-CN"/>
              </w:rPr>
              <w:t>1#施工场地</w:t>
            </w:r>
            <w:r>
              <w:rPr>
                <w:rFonts w:hint="eastAsia" w:cs="Times New Roman"/>
                <w:b/>
                <w:color w:val="auto"/>
                <w:sz w:val="24"/>
                <w:highlight w:val="none"/>
                <w:lang w:eastAsia="zh-CN"/>
              </w:rPr>
              <w:t>场界</w:t>
            </w:r>
            <w:r>
              <w:rPr>
                <w:rFonts w:hint="default" w:ascii="Times New Roman" w:hAnsi="Times New Roman" w:eastAsia="宋体" w:cs="Times New Roman"/>
                <w:b/>
                <w:color w:val="auto"/>
                <w:sz w:val="24"/>
                <w:highlight w:val="none"/>
              </w:rPr>
              <w:t>噪声预测结果与达标分析表</w:t>
            </w:r>
          </w:p>
          <w:tbl>
            <w:tblPr>
              <w:tblStyle w:val="11"/>
              <w:tblW w:w="8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803"/>
              <w:gridCol w:w="803"/>
              <w:gridCol w:w="808"/>
              <w:gridCol w:w="993"/>
              <w:gridCol w:w="1419"/>
              <w:gridCol w:w="1420"/>
              <w:gridCol w:w="1190"/>
            </w:tblGrid>
            <w:tr w14:paraId="6B0C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exact"/>
                <w:jc w:val="center"/>
              </w:trPr>
              <w:tc>
                <w:tcPr>
                  <w:tcW w:w="1102" w:type="dxa"/>
                  <w:vMerge w:val="restart"/>
                  <w:noWrap w:val="0"/>
                  <w:vAlign w:val="center"/>
                </w:tcPr>
                <w:p w14:paraId="2CD4DE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2414" w:type="dxa"/>
                  <w:gridSpan w:val="3"/>
                  <w:noWrap w:val="0"/>
                  <w:vAlign w:val="center"/>
                </w:tcPr>
                <w:p w14:paraId="10AAF2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空间相对位置/m</w:t>
                  </w:r>
                </w:p>
              </w:tc>
              <w:tc>
                <w:tcPr>
                  <w:tcW w:w="993" w:type="dxa"/>
                  <w:vMerge w:val="restart"/>
                  <w:noWrap w:val="0"/>
                  <w:vAlign w:val="center"/>
                </w:tcPr>
                <w:p w14:paraId="0F079B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1419" w:type="dxa"/>
                  <w:vMerge w:val="restart"/>
                  <w:noWrap w:val="0"/>
                  <w:vAlign w:val="center"/>
                </w:tcPr>
                <w:p w14:paraId="5B12B0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预测值（dB(A)）</w:t>
                  </w:r>
                </w:p>
              </w:tc>
              <w:tc>
                <w:tcPr>
                  <w:tcW w:w="1420" w:type="dxa"/>
                  <w:vMerge w:val="restart"/>
                  <w:noWrap w:val="0"/>
                  <w:vAlign w:val="center"/>
                </w:tcPr>
                <w:p w14:paraId="6A3843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标准限值（dB(A)）</w:t>
                  </w:r>
                </w:p>
              </w:tc>
              <w:tc>
                <w:tcPr>
                  <w:tcW w:w="1190" w:type="dxa"/>
                  <w:vMerge w:val="restart"/>
                  <w:noWrap w:val="0"/>
                  <w:vAlign w:val="center"/>
                </w:tcPr>
                <w:p w14:paraId="79EE35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14:paraId="3929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02" w:type="dxa"/>
                  <w:vMerge w:val="continue"/>
                  <w:shd w:val="clear" w:color="auto" w:fill="FFFFFF"/>
                  <w:noWrap w:val="0"/>
                  <w:vAlign w:val="center"/>
                </w:tcPr>
                <w:p w14:paraId="3C50B9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03" w:type="dxa"/>
                  <w:shd w:val="clear" w:color="auto" w:fill="FFFFFF"/>
                  <w:noWrap w:val="0"/>
                  <w:vAlign w:val="center"/>
                </w:tcPr>
                <w:p w14:paraId="1E91B5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803" w:type="dxa"/>
                  <w:shd w:val="clear" w:color="auto" w:fill="FFFFFF"/>
                  <w:noWrap w:val="0"/>
                  <w:vAlign w:val="center"/>
                </w:tcPr>
                <w:p w14:paraId="6B829F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808" w:type="dxa"/>
                  <w:shd w:val="clear" w:color="auto" w:fill="FFFFFF"/>
                  <w:noWrap w:val="0"/>
                  <w:vAlign w:val="center"/>
                </w:tcPr>
                <w:p w14:paraId="04B444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993" w:type="dxa"/>
                  <w:vMerge w:val="continue"/>
                  <w:shd w:val="clear" w:color="auto" w:fill="FFFFFF"/>
                  <w:noWrap w:val="0"/>
                  <w:vAlign w:val="center"/>
                </w:tcPr>
                <w:p w14:paraId="45D4BB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19" w:type="dxa"/>
                  <w:vMerge w:val="continue"/>
                  <w:shd w:val="clear" w:color="auto" w:fill="FFFFFF"/>
                  <w:noWrap w:val="0"/>
                  <w:vAlign w:val="center"/>
                </w:tcPr>
                <w:p w14:paraId="40907B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420" w:type="dxa"/>
                  <w:vMerge w:val="continue"/>
                  <w:shd w:val="clear" w:color="auto" w:fill="FFFFFF"/>
                  <w:noWrap w:val="0"/>
                  <w:vAlign w:val="center"/>
                </w:tcPr>
                <w:p w14:paraId="7F18E0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190" w:type="dxa"/>
                  <w:vMerge w:val="continue"/>
                  <w:shd w:val="clear" w:color="auto" w:fill="FFFFFF"/>
                  <w:noWrap w:val="0"/>
                  <w:vAlign w:val="center"/>
                </w:tcPr>
                <w:p w14:paraId="18754C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r>
            <w:tr w14:paraId="364B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71" w:hRule="exact"/>
                <w:jc w:val="center"/>
              </w:trPr>
              <w:tc>
                <w:tcPr>
                  <w:tcW w:w="1102" w:type="dxa"/>
                  <w:shd w:val="clear" w:color="auto" w:fill="FFFFFF"/>
                  <w:noWrap w:val="0"/>
                  <w:vAlign w:val="center"/>
                </w:tcPr>
                <w:p w14:paraId="227F94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东侧</w:t>
                  </w:r>
                </w:p>
              </w:tc>
              <w:tc>
                <w:tcPr>
                  <w:tcW w:w="803" w:type="dxa"/>
                  <w:shd w:val="clear" w:color="auto" w:fill="FFFFFF"/>
                  <w:noWrap w:val="0"/>
                  <w:vAlign w:val="center"/>
                </w:tcPr>
                <w:p w14:paraId="3934CB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Arial" w:cs="Times New Roman"/>
                      <w:snapToGrid w:val="0"/>
                      <w:color w:val="auto"/>
                      <w:sz w:val="21"/>
                      <w:szCs w:val="21"/>
                      <w:highlight w:val="none"/>
                      <w:lang w:val="en-US" w:eastAsia="zh-CN" w:bidi="ar-SA"/>
                    </w:rPr>
                    <w:t>-8</w:t>
                  </w:r>
                </w:p>
              </w:tc>
              <w:tc>
                <w:tcPr>
                  <w:tcW w:w="803" w:type="dxa"/>
                  <w:shd w:val="clear" w:color="auto" w:fill="FFFFFF"/>
                  <w:noWrap w:val="0"/>
                  <w:vAlign w:val="center"/>
                </w:tcPr>
                <w:p w14:paraId="00569F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Arial" w:cs="Times New Roman"/>
                      <w:snapToGrid w:val="0"/>
                      <w:color w:val="auto"/>
                      <w:sz w:val="21"/>
                      <w:szCs w:val="21"/>
                      <w:highlight w:val="none"/>
                      <w:lang w:val="en-US" w:eastAsia="zh-CN" w:bidi="ar-SA"/>
                    </w:rPr>
                    <w:t>56</w:t>
                  </w:r>
                </w:p>
              </w:tc>
              <w:tc>
                <w:tcPr>
                  <w:tcW w:w="808" w:type="dxa"/>
                  <w:shd w:val="clear" w:color="auto" w:fill="FFFFFF"/>
                  <w:noWrap w:val="0"/>
                  <w:vAlign w:val="center"/>
                </w:tcPr>
                <w:p w14:paraId="21B1DE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Arial" w:cs="Times New Roman"/>
                      <w:snapToGrid w:val="0"/>
                      <w:color w:val="auto"/>
                      <w:sz w:val="21"/>
                      <w:szCs w:val="21"/>
                      <w:highlight w:val="none"/>
                      <w:lang w:val="en-US" w:eastAsia="zh-CN" w:bidi="ar-SA"/>
                    </w:rPr>
                    <w:t>1.2</w:t>
                  </w:r>
                </w:p>
              </w:tc>
              <w:tc>
                <w:tcPr>
                  <w:tcW w:w="993" w:type="dxa"/>
                  <w:shd w:val="clear" w:color="auto" w:fill="FFFFFF"/>
                  <w:noWrap w:val="0"/>
                  <w:vAlign w:val="center"/>
                </w:tcPr>
                <w:p w14:paraId="4ADC95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Arial" w:cs="Times New Roman"/>
                      <w:color w:val="auto"/>
                      <w:sz w:val="21"/>
                      <w:szCs w:val="21"/>
                      <w:highlight w:val="none"/>
                    </w:rPr>
                    <w:t>昼间</w:t>
                  </w:r>
                </w:p>
              </w:tc>
              <w:tc>
                <w:tcPr>
                  <w:tcW w:w="1419" w:type="dxa"/>
                  <w:shd w:val="clear" w:color="auto" w:fill="FFFFFF"/>
                  <w:noWrap w:val="0"/>
                  <w:vAlign w:val="center"/>
                </w:tcPr>
                <w:p w14:paraId="5FCA20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Arial" w:cs="Times New Roman"/>
                      <w:snapToGrid w:val="0"/>
                      <w:color w:val="auto"/>
                      <w:sz w:val="21"/>
                      <w:szCs w:val="21"/>
                      <w:highlight w:val="none"/>
                      <w:lang w:val="en-US" w:eastAsia="zh-CN" w:bidi="ar-SA"/>
                    </w:rPr>
                    <w:t>68.59</w:t>
                  </w:r>
                </w:p>
              </w:tc>
              <w:tc>
                <w:tcPr>
                  <w:tcW w:w="1420" w:type="dxa"/>
                  <w:shd w:val="clear" w:color="auto" w:fill="FFFFFF"/>
                  <w:noWrap w:val="0"/>
                  <w:vAlign w:val="center"/>
                </w:tcPr>
                <w:p w14:paraId="09B940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70</w:t>
                  </w:r>
                </w:p>
              </w:tc>
              <w:tc>
                <w:tcPr>
                  <w:tcW w:w="1190" w:type="dxa"/>
                  <w:shd w:val="clear" w:color="auto" w:fill="FFFFFF"/>
                  <w:noWrap w:val="0"/>
                  <w:vAlign w:val="center"/>
                </w:tcPr>
                <w:p w14:paraId="504EB0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达标</w:t>
                  </w:r>
                </w:p>
              </w:tc>
            </w:tr>
            <w:tr w14:paraId="745C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53" w:hRule="exact"/>
                <w:jc w:val="center"/>
              </w:trPr>
              <w:tc>
                <w:tcPr>
                  <w:tcW w:w="1102" w:type="dxa"/>
                  <w:shd w:val="clear" w:color="auto" w:fill="FFFFFF"/>
                  <w:noWrap w:val="0"/>
                  <w:vAlign w:val="center"/>
                </w:tcPr>
                <w:p w14:paraId="0E7D19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南侧</w:t>
                  </w:r>
                </w:p>
              </w:tc>
              <w:tc>
                <w:tcPr>
                  <w:tcW w:w="803" w:type="dxa"/>
                  <w:shd w:val="clear" w:color="auto" w:fill="FFFFFF"/>
                  <w:noWrap w:val="0"/>
                  <w:vAlign w:val="center"/>
                </w:tcPr>
                <w:p w14:paraId="19CBC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Arial" w:cs="Times New Roman"/>
                      <w:snapToGrid w:val="0"/>
                      <w:color w:val="auto"/>
                      <w:sz w:val="21"/>
                      <w:szCs w:val="21"/>
                      <w:highlight w:val="none"/>
                      <w:lang w:val="en-US" w:eastAsia="zh-CN" w:bidi="ar-SA"/>
                    </w:rPr>
                    <w:t>-4</w:t>
                  </w:r>
                </w:p>
              </w:tc>
              <w:tc>
                <w:tcPr>
                  <w:tcW w:w="803" w:type="dxa"/>
                  <w:shd w:val="clear" w:color="auto" w:fill="FFFFFF"/>
                  <w:noWrap w:val="0"/>
                  <w:vAlign w:val="center"/>
                </w:tcPr>
                <w:p w14:paraId="7EDED4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Arial" w:cs="Times New Roman"/>
                      <w:snapToGrid w:val="0"/>
                      <w:color w:val="auto"/>
                      <w:sz w:val="21"/>
                      <w:szCs w:val="21"/>
                      <w:highlight w:val="none"/>
                      <w:lang w:val="en-US" w:eastAsia="zh-CN" w:bidi="ar-SA"/>
                    </w:rPr>
                    <w:t>-30</w:t>
                  </w:r>
                </w:p>
              </w:tc>
              <w:tc>
                <w:tcPr>
                  <w:tcW w:w="808" w:type="dxa"/>
                  <w:shd w:val="clear" w:color="auto" w:fill="FFFFFF"/>
                  <w:noWrap w:val="0"/>
                  <w:vAlign w:val="center"/>
                </w:tcPr>
                <w:p w14:paraId="4D6D61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Arial" w:cs="Times New Roman"/>
                      <w:snapToGrid w:val="0"/>
                      <w:color w:val="auto"/>
                      <w:sz w:val="21"/>
                      <w:szCs w:val="21"/>
                      <w:highlight w:val="none"/>
                      <w:lang w:val="en-US" w:eastAsia="zh-CN" w:bidi="ar-SA"/>
                    </w:rPr>
                    <w:t>1.2</w:t>
                  </w:r>
                </w:p>
              </w:tc>
              <w:tc>
                <w:tcPr>
                  <w:tcW w:w="993" w:type="dxa"/>
                  <w:shd w:val="clear" w:color="auto" w:fill="FFFFFF"/>
                  <w:noWrap w:val="0"/>
                  <w:vAlign w:val="center"/>
                </w:tcPr>
                <w:p w14:paraId="17BD4A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Arial" w:cs="Times New Roman"/>
                      <w:color w:val="auto"/>
                      <w:sz w:val="21"/>
                      <w:szCs w:val="21"/>
                      <w:highlight w:val="none"/>
                    </w:rPr>
                    <w:t>昼间</w:t>
                  </w:r>
                </w:p>
              </w:tc>
              <w:tc>
                <w:tcPr>
                  <w:tcW w:w="1419" w:type="dxa"/>
                  <w:shd w:val="clear" w:color="auto" w:fill="FFFFFF"/>
                  <w:noWrap w:val="0"/>
                  <w:vAlign w:val="center"/>
                </w:tcPr>
                <w:p w14:paraId="18C094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Arial" w:cs="Times New Roman"/>
                      <w:snapToGrid w:val="0"/>
                      <w:color w:val="auto"/>
                      <w:sz w:val="21"/>
                      <w:szCs w:val="21"/>
                      <w:highlight w:val="none"/>
                      <w:lang w:val="en-US" w:eastAsia="zh-CN" w:bidi="ar-SA"/>
                    </w:rPr>
                    <w:t>65.39</w:t>
                  </w:r>
                </w:p>
              </w:tc>
              <w:tc>
                <w:tcPr>
                  <w:tcW w:w="1420" w:type="dxa"/>
                  <w:shd w:val="clear" w:color="auto" w:fill="FFFFFF"/>
                  <w:noWrap w:val="0"/>
                  <w:vAlign w:val="center"/>
                </w:tcPr>
                <w:p w14:paraId="494B0B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70</w:t>
                  </w:r>
                </w:p>
              </w:tc>
              <w:tc>
                <w:tcPr>
                  <w:tcW w:w="1190" w:type="dxa"/>
                  <w:shd w:val="clear" w:color="auto" w:fill="FFFFFF"/>
                  <w:noWrap w:val="0"/>
                  <w:vAlign w:val="center"/>
                </w:tcPr>
                <w:p w14:paraId="11FE74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达标</w:t>
                  </w:r>
                </w:p>
              </w:tc>
            </w:tr>
            <w:tr w14:paraId="6FF5C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53" w:hRule="exact"/>
                <w:jc w:val="center"/>
              </w:trPr>
              <w:tc>
                <w:tcPr>
                  <w:tcW w:w="1102" w:type="dxa"/>
                  <w:shd w:val="clear" w:color="auto" w:fill="FFFFFF"/>
                  <w:noWrap w:val="0"/>
                  <w:vAlign w:val="center"/>
                </w:tcPr>
                <w:p w14:paraId="7F3374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西侧</w:t>
                  </w:r>
                </w:p>
              </w:tc>
              <w:tc>
                <w:tcPr>
                  <w:tcW w:w="803" w:type="dxa"/>
                  <w:shd w:val="clear" w:color="auto" w:fill="FFFFFF"/>
                  <w:noWrap w:val="0"/>
                  <w:vAlign w:val="center"/>
                </w:tcPr>
                <w:p w14:paraId="3212C0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Arial" w:cs="Times New Roman"/>
                      <w:snapToGrid w:val="0"/>
                      <w:color w:val="auto"/>
                      <w:sz w:val="21"/>
                      <w:szCs w:val="21"/>
                      <w:highlight w:val="none"/>
                      <w:lang w:val="en-US" w:eastAsia="zh-CN" w:bidi="ar-SA"/>
                    </w:rPr>
                    <w:t>-47</w:t>
                  </w:r>
                </w:p>
              </w:tc>
              <w:tc>
                <w:tcPr>
                  <w:tcW w:w="803" w:type="dxa"/>
                  <w:shd w:val="clear" w:color="auto" w:fill="FFFFFF"/>
                  <w:noWrap w:val="0"/>
                  <w:vAlign w:val="center"/>
                </w:tcPr>
                <w:p w14:paraId="74E0BF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Arial" w:cs="Times New Roman"/>
                      <w:snapToGrid w:val="0"/>
                      <w:color w:val="auto"/>
                      <w:sz w:val="21"/>
                      <w:szCs w:val="21"/>
                      <w:highlight w:val="none"/>
                      <w:lang w:val="en-US" w:eastAsia="zh-CN" w:bidi="ar-SA"/>
                    </w:rPr>
                    <w:t>-5</w:t>
                  </w:r>
                </w:p>
              </w:tc>
              <w:tc>
                <w:tcPr>
                  <w:tcW w:w="808" w:type="dxa"/>
                  <w:shd w:val="clear" w:color="auto" w:fill="FFFFFF"/>
                  <w:noWrap w:val="0"/>
                  <w:vAlign w:val="center"/>
                </w:tcPr>
                <w:p w14:paraId="2C25CA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Arial" w:cs="Times New Roman"/>
                      <w:snapToGrid w:val="0"/>
                      <w:color w:val="auto"/>
                      <w:sz w:val="21"/>
                      <w:szCs w:val="21"/>
                      <w:highlight w:val="none"/>
                      <w:lang w:val="en-US" w:eastAsia="zh-CN" w:bidi="ar-SA"/>
                    </w:rPr>
                    <w:t>1.2</w:t>
                  </w:r>
                </w:p>
              </w:tc>
              <w:tc>
                <w:tcPr>
                  <w:tcW w:w="993" w:type="dxa"/>
                  <w:shd w:val="clear" w:color="auto" w:fill="FFFFFF"/>
                  <w:noWrap w:val="0"/>
                  <w:vAlign w:val="center"/>
                </w:tcPr>
                <w:p w14:paraId="1CFD7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Arial" w:cs="Times New Roman"/>
                      <w:color w:val="auto"/>
                      <w:sz w:val="21"/>
                      <w:szCs w:val="21"/>
                      <w:highlight w:val="none"/>
                    </w:rPr>
                    <w:t>昼间</w:t>
                  </w:r>
                </w:p>
              </w:tc>
              <w:tc>
                <w:tcPr>
                  <w:tcW w:w="1419" w:type="dxa"/>
                  <w:shd w:val="clear" w:color="auto" w:fill="FFFFFF"/>
                  <w:noWrap w:val="0"/>
                  <w:vAlign w:val="center"/>
                </w:tcPr>
                <w:p w14:paraId="79791E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Arial" w:cs="Times New Roman"/>
                      <w:snapToGrid w:val="0"/>
                      <w:color w:val="auto"/>
                      <w:sz w:val="21"/>
                      <w:szCs w:val="21"/>
                      <w:highlight w:val="none"/>
                      <w:lang w:val="en-US" w:eastAsia="zh-CN" w:bidi="ar-SA"/>
                    </w:rPr>
                    <w:t>64.04</w:t>
                  </w:r>
                </w:p>
              </w:tc>
              <w:tc>
                <w:tcPr>
                  <w:tcW w:w="1420" w:type="dxa"/>
                  <w:shd w:val="clear" w:color="auto" w:fill="FFFFFF"/>
                  <w:noWrap w:val="0"/>
                  <w:vAlign w:val="center"/>
                </w:tcPr>
                <w:p w14:paraId="21D633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70</w:t>
                  </w:r>
                </w:p>
              </w:tc>
              <w:tc>
                <w:tcPr>
                  <w:tcW w:w="1190" w:type="dxa"/>
                  <w:shd w:val="clear" w:color="auto" w:fill="FFFFFF"/>
                  <w:noWrap w:val="0"/>
                  <w:vAlign w:val="center"/>
                </w:tcPr>
                <w:p w14:paraId="6C8D0A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达标</w:t>
                  </w:r>
                </w:p>
              </w:tc>
            </w:tr>
            <w:tr w14:paraId="6E78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53" w:hRule="exact"/>
                <w:jc w:val="center"/>
              </w:trPr>
              <w:tc>
                <w:tcPr>
                  <w:tcW w:w="1102" w:type="dxa"/>
                  <w:shd w:val="clear" w:color="auto" w:fill="FFFFFF"/>
                  <w:noWrap w:val="0"/>
                  <w:vAlign w:val="center"/>
                </w:tcPr>
                <w:p w14:paraId="037CA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Arial" w:cs="Times New Roman"/>
                      <w:color w:val="auto"/>
                      <w:sz w:val="21"/>
                      <w:szCs w:val="21"/>
                      <w:highlight w:val="none"/>
                    </w:rPr>
                    <w:t>北侧</w:t>
                  </w:r>
                </w:p>
              </w:tc>
              <w:tc>
                <w:tcPr>
                  <w:tcW w:w="803" w:type="dxa"/>
                  <w:shd w:val="clear" w:color="auto" w:fill="FFFFFF"/>
                  <w:noWrap w:val="0"/>
                  <w:vAlign w:val="center"/>
                </w:tcPr>
                <w:p w14:paraId="57111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Arial" w:cs="Times New Roman"/>
                      <w:snapToGrid w:val="0"/>
                      <w:color w:val="auto"/>
                      <w:sz w:val="21"/>
                      <w:szCs w:val="21"/>
                      <w:highlight w:val="none"/>
                      <w:lang w:val="en-US" w:eastAsia="zh-CN" w:bidi="ar-SA"/>
                    </w:rPr>
                    <w:t>-1</w:t>
                  </w:r>
                </w:p>
              </w:tc>
              <w:tc>
                <w:tcPr>
                  <w:tcW w:w="803" w:type="dxa"/>
                  <w:shd w:val="clear" w:color="auto" w:fill="FFFFFF"/>
                  <w:noWrap w:val="0"/>
                  <w:vAlign w:val="center"/>
                </w:tcPr>
                <w:p w14:paraId="57E16F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Arial" w:cs="Times New Roman"/>
                      <w:snapToGrid w:val="0"/>
                      <w:color w:val="auto"/>
                      <w:sz w:val="21"/>
                      <w:szCs w:val="21"/>
                      <w:highlight w:val="none"/>
                      <w:lang w:val="en-US" w:eastAsia="zh-CN" w:bidi="ar-SA"/>
                    </w:rPr>
                    <w:t>56</w:t>
                  </w:r>
                </w:p>
              </w:tc>
              <w:tc>
                <w:tcPr>
                  <w:tcW w:w="808" w:type="dxa"/>
                  <w:shd w:val="clear" w:color="auto" w:fill="FFFFFF"/>
                  <w:noWrap w:val="0"/>
                  <w:vAlign w:val="center"/>
                </w:tcPr>
                <w:p w14:paraId="7FAB2D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Arial" w:cs="Times New Roman"/>
                      <w:snapToGrid w:val="0"/>
                      <w:color w:val="auto"/>
                      <w:sz w:val="21"/>
                      <w:szCs w:val="21"/>
                      <w:highlight w:val="none"/>
                      <w:lang w:val="en-US" w:eastAsia="zh-CN" w:bidi="ar-SA"/>
                    </w:rPr>
                    <w:t>1.2</w:t>
                  </w:r>
                </w:p>
              </w:tc>
              <w:tc>
                <w:tcPr>
                  <w:tcW w:w="993" w:type="dxa"/>
                  <w:shd w:val="clear" w:color="auto" w:fill="FFFFFF"/>
                  <w:noWrap w:val="0"/>
                  <w:vAlign w:val="center"/>
                </w:tcPr>
                <w:p w14:paraId="297720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Arial" w:cs="Times New Roman"/>
                      <w:color w:val="auto"/>
                      <w:sz w:val="21"/>
                      <w:szCs w:val="21"/>
                      <w:highlight w:val="none"/>
                    </w:rPr>
                    <w:t>昼间</w:t>
                  </w:r>
                </w:p>
              </w:tc>
              <w:tc>
                <w:tcPr>
                  <w:tcW w:w="1419" w:type="dxa"/>
                  <w:shd w:val="clear" w:color="auto" w:fill="FFFFFF"/>
                  <w:noWrap w:val="0"/>
                  <w:vAlign w:val="center"/>
                </w:tcPr>
                <w:p w14:paraId="22375E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Arial" w:cs="Times New Roman"/>
                      <w:snapToGrid w:val="0"/>
                      <w:color w:val="auto"/>
                      <w:sz w:val="21"/>
                      <w:szCs w:val="21"/>
                      <w:highlight w:val="none"/>
                      <w:lang w:val="en-US" w:eastAsia="zh-CN" w:bidi="ar-SA"/>
                    </w:rPr>
                    <w:t>68.73</w:t>
                  </w:r>
                </w:p>
              </w:tc>
              <w:tc>
                <w:tcPr>
                  <w:tcW w:w="1420" w:type="dxa"/>
                  <w:shd w:val="clear" w:color="auto" w:fill="FFFFFF"/>
                  <w:noWrap w:val="0"/>
                  <w:vAlign w:val="center"/>
                </w:tcPr>
                <w:p w14:paraId="446222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snapToGrid w:val="0"/>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70</w:t>
                  </w:r>
                </w:p>
              </w:tc>
              <w:tc>
                <w:tcPr>
                  <w:tcW w:w="1190" w:type="dxa"/>
                  <w:shd w:val="clear" w:color="auto" w:fill="FFFFFF"/>
                  <w:noWrap w:val="0"/>
                  <w:vAlign w:val="center"/>
                </w:tcPr>
                <w:p w14:paraId="3FC812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Arial" w:cs="Times New Roman"/>
                      <w:color w:val="auto"/>
                      <w:sz w:val="21"/>
                      <w:szCs w:val="21"/>
                      <w:highlight w:val="none"/>
                      <w:lang w:val="en-US" w:eastAsia="zh-CN"/>
                    </w:rPr>
                  </w:pPr>
                  <w:r>
                    <w:rPr>
                      <w:rFonts w:hint="default" w:ascii="Times New Roman" w:hAnsi="Times New Roman" w:eastAsia="Arial" w:cs="Times New Roman"/>
                      <w:color w:val="auto"/>
                      <w:sz w:val="21"/>
                      <w:szCs w:val="21"/>
                      <w:highlight w:val="none"/>
                    </w:rPr>
                    <w:t>达标</w:t>
                  </w:r>
                </w:p>
              </w:tc>
            </w:tr>
          </w:tbl>
          <w:p w14:paraId="0DA8A78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表中坐标以</w:t>
            </w:r>
            <w:r>
              <w:rPr>
                <w:rFonts w:hint="default" w:ascii="Times New Roman" w:hAnsi="Times New Roman" w:cs="Times New Roman"/>
                <w:bCs/>
                <w:color w:val="auto"/>
                <w:sz w:val="21"/>
                <w:highlight w:val="none"/>
                <w:lang w:val="en-US" w:eastAsia="zh-CN"/>
              </w:rPr>
              <w:t>1#施工场地的</w:t>
            </w:r>
            <w:r>
              <w:rPr>
                <w:rFonts w:hint="default" w:ascii="Times New Roman" w:hAnsi="Times New Roman" w:eastAsia="宋体" w:cs="Times New Roman"/>
                <w:bCs/>
                <w:color w:val="auto"/>
                <w:sz w:val="21"/>
                <w:highlight w:val="none"/>
              </w:rPr>
              <w:t>中心（</w:t>
            </w:r>
            <w:r>
              <w:rPr>
                <w:rFonts w:hint="default" w:ascii="Times New Roman" w:hAnsi="Times New Roman" w:eastAsia="宋体" w:cs="Times New Roman"/>
                <w:bCs/>
                <w:color w:val="auto"/>
                <w:sz w:val="21"/>
                <w:highlight w:val="none"/>
                <w:lang w:eastAsia="zh-CN"/>
              </w:rPr>
              <w:t>107°20′25.97407″,30°52′58.91602″</w:t>
            </w:r>
            <w:r>
              <w:rPr>
                <w:rFonts w:hint="default" w:ascii="Times New Roman" w:hAnsi="Times New Roman" w:eastAsia="宋体" w:cs="Times New Roman"/>
                <w:bCs/>
                <w:color w:val="auto"/>
                <w:sz w:val="21"/>
                <w:highlight w:val="none"/>
              </w:rPr>
              <w:t>）</w:t>
            </w:r>
            <w:r>
              <w:rPr>
                <w:rFonts w:hint="default" w:ascii="Times New Roman" w:hAnsi="Times New Roman" w:eastAsia="宋体" w:cs="Times New Roman"/>
                <w:bCs/>
                <w:color w:val="auto"/>
                <w:sz w:val="21"/>
                <w:szCs w:val="21"/>
                <w:highlight w:val="none"/>
              </w:rPr>
              <w:t>为坐标原点，正东向为X轴正方向，正北向为Y轴正方向。</w:t>
            </w:r>
          </w:p>
          <w:p w14:paraId="040C1960">
            <w:pPr>
              <w:keepNext w:val="0"/>
              <w:keepLines w:val="0"/>
              <w:pageBreakBefore w:val="0"/>
              <w:widowControl/>
              <w:kinsoku/>
              <w:wordWrap/>
              <w:overflowPunct/>
              <w:topLinePunct w:val="0"/>
              <w:autoSpaceDE/>
              <w:autoSpaceDN/>
              <w:bidi w:val="0"/>
              <w:adjustRightInd w:val="0"/>
              <w:snapToGrid w:val="0"/>
              <w:ind w:left="0" w:leftChars="0" w:firstLine="480" w:firstLineChars="200"/>
              <w:textAlignment w:val="auto"/>
              <w:rPr>
                <w:rFonts w:hint="default"/>
                <w:b w:val="0"/>
                <w:bCs w:val="0"/>
                <w:color w:val="auto"/>
                <w:highlight w:val="none"/>
                <w:lang w:val="en-US" w:eastAsia="zh-CN"/>
              </w:rPr>
            </w:pPr>
            <w:r>
              <w:rPr>
                <w:rFonts w:hint="default" w:ascii="Times New Roman" w:hAnsi="Times New Roman" w:eastAsia="宋体" w:cs="Times New Roman"/>
                <w:color w:val="auto"/>
                <w:sz w:val="24"/>
                <w:highlight w:val="none"/>
              </w:rPr>
              <w:t>根</w:t>
            </w:r>
            <w:r>
              <w:rPr>
                <w:rFonts w:hint="default" w:ascii="Times New Roman" w:hAnsi="Times New Roman" w:eastAsia="宋体" w:cs="Times New Roman"/>
                <w:color w:val="auto"/>
                <w:sz w:val="24"/>
                <w:szCs w:val="24"/>
                <w:highlight w:val="none"/>
              </w:rPr>
              <w:t>据</w:t>
            </w:r>
            <w:r>
              <w:rPr>
                <w:rFonts w:hint="default" w:ascii="Times New Roman" w:hAnsi="Times New Roman" w:eastAsia="宋体" w:cs="Times New Roman"/>
                <w:color w:val="auto"/>
                <w:kern w:val="0"/>
                <w:sz w:val="24"/>
                <w:szCs w:val="24"/>
                <w:highlight w:val="none"/>
              </w:rPr>
              <w:t>表</w:t>
            </w:r>
            <w:r>
              <w:rPr>
                <w:rFonts w:hint="default" w:ascii="Times New Roman" w:hAnsi="Times New Roman" w:eastAsia="宋体" w:cs="Times New Roman"/>
                <w:color w:val="auto"/>
                <w:kern w:val="0"/>
                <w:sz w:val="24"/>
                <w:szCs w:val="24"/>
                <w:highlight w:val="none"/>
                <w:lang w:eastAsia="zh-CN"/>
              </w:rPr>
              <w:t>4.2-</w:t>
            </w:r>
            <w:r>
              <w:rPr>
                <w:rFonts w:hint="eastAsia" w:cs="Times New Roman"/>
                <w:color w:val="auto"/>
                <w:kern w:val="0"/>
                <w:sz w:val="24"/>
                <w:szCs w:val="24"/>
                <w:highlight w:val="none"/>
                <w:lang w:val="en-US" w:eastAsia="zh-CN"/>
              </w:rPr>
              <w:t>6</w:t>
            </w:r>
            <w:r>
              <w:rPr>
                <w:rFonts w:hint="default" w:ascii="Times New Roman" w:hAnsi="Times New Roman" w:eastAsia="宋体" w:cs="Times New Roman"/>
                <w:color w:val="auto"/>
                <w:sz w:val="24"/>
                <w:szCs w:val="24"/>
                <w:highlight w:val="none"/>
              </w:rPr>
              <w:t>预测结果可知</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kern w:val="0"/>
                <w:sz w:val="24"/>
                <w:szCs w:val="24"/>
                <w:highlight w:val="none"/>
                <w:lang w:val="en-US" w:eastAsia="zh-CN"/>
              </w:rPr>
              <w:t>施工场地</w:t>
            </w:r>
            <w:r>
              <w:rPr>
                <w:rFonts w:hint="eastAsia" w:ascii="Times New Roman" w:hAnsi="Times New Roman" w:eastAsia="宋体" w:cs="Times New Roman"/>
                <w:color w:val="auto"/>
                <w:kern w:val="0"/>
                <w:sz w:val="24"/>
                <w:szCs w:val="24"/>
                <w:highlight w:val="none"/>
                <w:lang w:eastAsia="zh-CN"/>
              </w:rPr>
              <w:t>场界</w:t>
            </w:r>
            <w:r>
              <w:rPr>
                <w:rFonts w:hint="default" w:ascii="Times New Roman" w:hAnsi="Times New Roman" w:eastAsia="宋体" w:cs="Times New Roman"/>
                <w:color w:val="auto"/>
                <w:sz w:val="24"/>
                <w:szCs w:val="24"/>
                <w:highlight w:val="none"/>
              </w:rPr>
              <w:t>噪声预测值昼间均能满足</w:t>
            </w:r>
            <w:r>
              <w:rPr>
                <w:rFonts w:hint="eastAsia"/>
                <w:b w:val="0"/>
                <w:bCs w:val="0"/>
                <w:color w:val="auto"/>
                <w:highlight w:val="none"/>
                <w:lang w:val="en-US" w:eastAsia="zh-CN"/>
              </w:rPr>
              <w:t>《建筑施工场界环境噪声排放标准》（GB12523-2011）标准要求</w:t>
            </w:r>
            <w:r>
              <w:rPr>
                <w:rFonts w:hint="default" w:ascii="Times New Roman" w:hAnsi="Times New Roman" w:eastAsia="宋体" w:cs="Times New Roman"/>
                <w:color w:val="auto"/>
                <w:sz w:val="24"/>
                <w:szCs w:val="24"/>
                <w:highlight w:val="none"/>
              </w:rPr>
              <w:t>。</w:t>
            </w:r>
          </w:p>
          <w:p w14:paraId="0886659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highlight w:val="none"/>
              </w:rPr>
            </w:pPr>
            <w:r>
              <w:rPr>
                <w:rFonts w:hint="eastAsia"/>
                <w:b w:val="0"/>
                <w:bCs w:val="0"/>
                <w:color w:val="auto"/>
                <w:highlight w:val="none"/>
                <w:lang w:val="en-US" w:eastAsia="zh-CN"/>
              </w:rPr>
              <w:t>（2）噪声影响分析</w:t>
            </w:r>
          </w:p>
          <w:p w14:paraId="6EFC3AB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施工期建设产生的噪声对周围区域环境有一定的影响，这种影响是短期的、暂时的，而且具有局部地段特性。根据《建筑施工场界环境噪声排放标准》（GB12523-2011），施工阶段作业噪声限值为：昼间70dB(A)，夜间55dB(A)。从表4.2-3可知，在不采取积极降噪措施情况下，仅凭距离衰减，昼间影响范围在30m范围内，夜间影响距离在150m范围内。</w:t>
            </w:r>
          </w:p>
          <w:p w14:paraId="3EFA221B">
            <w:pPr>
              <w:ind w:firstLine="480"/>
              <w:rPr>
                <w:rFonts w:hAnsi="Times New Roman"/>
                <w:bCs/>
                <w:color w:val="auto"/>
                <w:highlight w:val="none"/>
              </w:rPr>
            </w:pPr>
            <w:r>
              <w:rPr>
                <w:rFonts w:hint="eastAsia" w:ascii="Times New Roman" w:hAnsi="Times New Roman" w:cs="Times New Roman"/>
                <w:color w:val="auto"/>
                <w:highlight w:val="none"/>
              </w:rPr>
              <w:t>为了减轻施工期对周围环境的影响，施工单位应严格遵守《中华人民</w:t>
            </w:r>
            <w:r>
              <w:rPr>
                <w:rFonts w:hint="eastAsia" w:hAnsi="Times New Roman"/>
                <w:bCs/>
                <w:color w:val="auto"/>
                <w:highlight w:val="none"/>
              </w:rPr>
              <w:t>共和国噪声污染防治法》中关于建筑施工噪声污染防治的有关规定和《建筑施工场界环境噪声排放标准》（GB12523-2011）的要求，合理安排施工计划并采取较严格的施工管理措施。</w:t>
            </w:r>
            <w:r>
              <w:rPr>
                <w:rFonts w:hint="default" w:ascii="Times New Roman" w:hAnsi="Times New Roman" w:cs="Times New Roman"/>
                <w:color w:val="auto"/>
                <w:highlight w:val="none"/>
              </w:rPr>
              <w:t>合理安排施工时间，</w:t>
            </w:r>
            <w:r>
              <w:rPr>
                <w:rFonts w:hint="eastAsia" w:cs="Times New Roman"/>
                <w:color w:val="auto"/>
                <w:highlight w:val="none"/>
                <w:lang w:val="en-US" w:eastAsia="zh-CN"/>
              </w:rPr>
              <w:t>分段施工，</w:t>
            </w:r>
            <w:r>
              <w:rPr>
                <w:rFonts w:hint="default" w:ascii="Times New Roman" w:hAnsi="Times New Roman" w:cs="Times New Roman"/>
                <w:color w:val="auto"/>
                <w:highlight w:val="none"/>
              </w:rPr>
              <w:t>禁止夜间施工；在居民集中的施工段，在人们睡眠休息时间午间12：00～14：00禁止施工；合理安排施工工序，对同一施工段涉及多项施工内容时，避开同步施工，分项施工，避免增加噪声贡献值</w:t>
            </w:r>
            <w:r>
              <w:rPr>
                <w:rFonts w:hint="eastAsia" w:hAnsi="Times New Roman" w:cs="Times New Roman"/>
                <w:color w:val="auto"/>
                <w:highlight w:val="none"/>
                <w:lang w:eastAsia="zh-CN"/>
              </w:rPr>
              <w:t>。</w:t>
            </w:r>
            <w:r>
              <w:rPr>
                <w:rFonts w:hAnsi="Times New Roman"/>
                <w:bCs/>
                <w:color w:val="auto"/>
                <w:highlight w:val="none"/>
              </w:rPr>
              <w:t>由于本项目施工工期较短，施工作业强度较小，经采取</w:t>
            </w:r>
            <w:r>
              <w:rPr>
                <w:rFonts w:hint="eastAsia" w:hAnsi="Times New Roman"/>
                <w:bCs/>
                <w:color w:val="auto"/>
                <w:highlight w:val="none"/>
                <w:lang w:val="en-US" w:eastAsia="zh-CN"/>
              </w:rPr>
              <w:t>相关</w:t>
            </w:r>
            <w:r>
              <w:rPr>
                <w:rFonts w:hAnsi="Times New Roman"/>
                <w:bCs/>
                <w:color w:val="auto"/>
                <w:highlight w:val="none"/>
              </w:rPr>
              <w:t>措施后，项目施工对周边声环境敏感点的影响可控，不会出现扰民现象，且施工期噪声影响会随着施工的结束而结束。</w:t>
            </w:r>
          </w:p>
          <w:p w14:paraId="718A9110">
            <w:pPr>
              <w:ind w:left="0" w:leftChars="0" w:firstLine="480" w:firstLineChars="0"/>
              <w:rPr>
                <w:rFonts w:hint="eastAsia" w:hAnsi="Times New Roman"/>
                <w:b/>
                <w:bCs w:val="0"/>
                <w:color w:val="auto"/>
                <w:highlight w:val="none"/>
                <w:lang w:val="en-US" w:eastAsia="zh-CN"/>
              </w:rPr>
            </w:pPr>
            <w:r>
              <w:rPr>
                <w:rFonts w:hint="eastAsia"/>
                <w:bCs/>
                <w:color w:val="auto"/>
                <w:sz w:val="24"/>
                <w:highlight w:val="none"/>
                <w:lang w:bidi="ar"/>
              </w:rPr>
              <w:t>综上</w:t>
            </w:r>
            <w:r>
              <w:rPr>
                <w:bCs/>
                <w:color w:val="auto"/>
                <w:sz w:val="24"/>
                <w:highlight w:val="none"/>
                <w:lang w:bidi="ar"/>
              </w:rPr>
              <w:t>，在采取以上环保措施后，施工期对周边声环境质量影响较小。</w:t>
            </w:r>
          </w:p>
          <w:p w14:paraId="7407C5F9">
            <w:pPr>
              <w:ind w:left="0" w:leftChars="0" w:firstLine="0" w:firstLineChars="0"/>
              <w:rPr>
                <w:rFonts w:hint="default" w:hAnsi="Times New Roman"/>
                <w:b/>
                <w:bCs w:val="0"/>
                <w:color w:val="auto"/>
                <w:highlight w:val="none"/>
                <w:lang w:val="en-US"/>
              </w:rPr>
            </w:pPr>
            <w:r>
              <w:rPr>
                <w:rFonts w:hint="eastAsia" w:hAnsi="Times New Roman"/>
                <w:b/>
                <w:bCs w:val="0"/>
                <w:color w:val="auto"/>
                <w:highlight w:val="none"/>
                <w:lang w:val="en-US" w:eastAsia="zh-CN"/>
              </w:rPr>
              <w:t>4.2.3.1</w:t>
            </w:r>
            <w:r>
              <w:rPr>
                <w:rFonts w:hint="eastAsia"/>
                <w:b/>
                <w:bCs w:val="0"/>
                <w:color w:val="auto"/>
                <w:highlight w:val="none"/>
                <w:lang w:val="en-US" w:eastAsia="zh-CN"/>
              </w:rPr>
              <w:t xml:space="preserve"> 清河镇段及杨家镇段</w:t>
            </w:r>
          </w:p>
          <w:p w14:paraId="38CD1E46">
            <w:pPr>
              <w:ind w:firstLine="480"/>
              <w:jc w:val="left"/>
              <w:rPr>
                <w:rFonts w:hint="eastAsia"/>
                <w:color w:val="auto"/>
                <w:sz w:val="24"/>
                <w:highlight w:val="none"/>
                <w:lang w:val="en-US" w:eastAsia="zh-CN"/>
              </w:rPr>
            </w:pPr>
            <w:r>
              <w:rPr>
                <w:rFonts w:hint="eastAsia"/>
                <w:bCs/>
                <w:color w:val="auto"/>
                <w:highlight w:val="none"/>
                <w:lang w:val="en-US" w:eastAsia="zh-CN"/>
              </w:rPr>
              <w:t>该段施工期噪声主要为</w:t>
            </w:r>
            <w:r>
              <w:rPr>
                <w:rFonts w:hint="eastAsia"/>
                <w:color w:val="auto"/>
                <w:sz w:val="24"/>
                <w:highlight w:val="none"/>
              </w:rPr>
              <w:t>施工机械噪声和施工车辆噪声</w:t>
            </w:r>
            <w:r>
              <w:rPr>
                <w:rFonts w:hint="eastAsia"/>
                <w:color w:val="auto"/>
                <w:sz w:val="24"/>
                <w:highlight w:val="none"/>
                <w:lang w:eastAsia="zh-CN"/>
              </w:rPr>
              <w:t>，</w:t>
            </w:r>
            <w:r>
              <w:rPr>
                <w:rFonts w:hint="eastAsia"/>
                <w:color w:val="auto"/>
                <w:sz w:val="24"/>
                <w:highlight w:val="none"/>
                <w:lang w:val="en-US" w:eastAsia="zh-CN"/>
              </w:rPr>
              <w:t>源强</w:t>
            </w:r>
            <w:r>
              <w:rPr>
                <w:rFonts w:hint="eastAsia"/>
                <w:color w:val="auto"/>
                <w:sz w:val="24"/>
                <w:highlight w:val="none"/>
              </w:rPr>
              <w:t>在</w:t>
            </w:r>
            <w:r>
              <w:rPr>
                <w:rFonts w:hint="eastAsia"/>
                <w:color w:val="auto"/>
                <w:sz w:val="24"/>
                <w:highlight w:val="none"/>
                <w:lang w:val="en-US" w:eastAsia="zh-CN"/>
              </w:rPr>
              <w:t>80</w:t>
            </w:r>
            <w:r>
              <w:rPr>
                <w:color w:val="auto"/>
                <w:sz w:val="24"/>
                <w:highlight w:val="none"/>
              </w:rPr>
              <w:t>~</w:t>
            </w:r>
            <w:r>
              <w:rPr>
                <w:rFonts w:hint="eastAsia"/>
                <w:color w:val="auto"/>
                <w:sz w:val="24"/>
                <w:highlight w:val="none"/>
                <w:lang w:val="en-US" w:eastAsia="zh-CN"/>
              </w:rPr>
              <w:t>100</w:t>
            </w:r>
            <w:r>
              <w:rPr>
                <w:color w:val="auto"/>
                <w:sz w:val="24"/>
                <w:highlight w:val="none"/>
              </w:rPr>
              <w:t>dB（A）</w:t>
            </w:r>
            <w:r>
              <w:rPr>
                <w:rFonts w:hint="eastAsia"/>
                <w:color w:val="auto"/>
                <w:sz w:val="24"/>
                <w:highlight w:val="none"/>
              </w:rPr>
              <w:t>之间</w:t>
            </w:r>
            <w:r>
              <w:rPr>
                <w:rFonts w:hint="eastAsia"/>
                <w:color w:val="auto"/>
                <w:sz w:val="24"/>
                <w:highlight w:val="none"/>
                <w:lang w:eastAsia="zh-CN"/>
              </w:rPr>
              <w:t>。</w:t>
            </w:r>
            <w:r>
              <w:rPr>
                <w:rFonts w:hint="eastAsia"/>
                <w:color w:val="auto"/>
                <w:sz w:val="24"/>
                <w:highlight w:val="none"/>
                <w:lang w:val="en-US" w:eastAsia="zh-CN"/>
              </w:rPr>
              <w:t>根据调查，项目施工期合理安排施工作业时间，夜间不施工；施工前与当地居民的沟通，取得了当地居民谅解和支持。根据调查，项目施工期间未发生噪声扰民及环保投诉。根据现状监测结果，项目施工结束后，区域声环境满足2类标准要求。</w:t>
            </w:r>
          </w:p>
          <w:p w14:paraId="5B23C0E3">
            <w:pPr>
              <w:ind w:firstLine="480"/>
              <w:rPr>
                <w:rFonts w:hint="eastAsia" w:ascii="Times New Roman" w:hAnsi="Times New Roman" w:eastAsia="宋体" w:cs="Times New Roman"/>
                <w:color w:val="auto"/>
                <w:highlight w:val="none"/>
                <w:lang w:eastAsia="zh-CN"/>
              </w:rPr>
            </w:pPr>
            <w:r>
              <w:rPr>
                <w:rFonts w:hint="eastAsia"/>
                <w:bCs/>
                <w:color w:val="auto"/>
                <w:sz w:val="24"/>
                <w:highlight w:val="none"/>
                <w:lang w:bidi="ar"/>
              </w:rPr>
              <w:t>综上</w:t>
            </w:r>
            <w:r>
              <w:rPr>
                <w:bCs/>
                <w:color w:val="auto"/>
                <w:sz w:val="24"/>
                <w:highlight w:val="none"/>
                <w:lang w:bidi="ar"/>
              </w:rPr>
              <w:t>，</w:t>
            </w:r>
            <w:r>
              <w:rPr>
                <w:rFonts w:hAnsi="Times New Roman"/>
                <w:bCs/>
                <w:color w:val="auto"/>
                <w:highlight w:val="none"/>
              </w:rPr>
              <w:t>本项目施工工期较短，施工作业强度较小</w:t>
            </w:r>
            <w:r>
              <w:rPr>
                <w:rFonts w:hint="eastAsia" w:hAnsi="Times New Roman"/>
                <w:bCs/>
                <w:color w:val="auto"/>
                <w:highlight w:val="none"/>
                <w:lang w:eastAsia="zh-CN"/>
              </w:rPr>
              <w:t>。</w:t>
            </w:r>
            <w:r>
              <w:rPr>
                <w:bCs/>
                <w:color w:val="auto"/>
                <w:sz w:val="24"/>
                <w:highlight w:val="none"/>
                <w:lang w:bidi="ar"/>
              </w:rPr>
              <w:t>在采取以上环保措施后，施工期对周边声环境质量影响较小</w:t>
            </w:r>
            <w:r>
              <w:rPr>
                <w:rFonts w:hint="eastAsia"/>
                <w:bCs/>
                <w:color w:val="auto"/>
                <w:sz w:val="24"/>
                <w:highlight w:val="none"/>
                <w:lang w:eastAsia="zh-CN" w:bidi="ar"/>
              </w:rPr>
              <w:t>。</w:t>
            </w:r>
          </w:p>
          <w:p w14:paraId="65F287DA">
            <w:pPr>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4.2.4 施工期固体废物污染影响分析</w:t>
            </w:r>
          </w:p>
          <w:p w14:paraId="580211C1">
            <w:pPr>
              <w:ind w:left="0" w:leftChars="0" w:firstLine="0" w:firstLineChars="0"/>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4.2.4.1 二郎及福兴段、石河镇段及双拱场段</w:t>
            </w:r>
          </w:p>
          <w:p w14:paraId="5F6A317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施工期产生的固体废物主要为</w:t>
            </w:r>
            <w:r>
              <w:rPr>
                <w:rFonts w:hint="eastAsia" w:cs="Times New Roman"/>
                <w:color w:val="auto"/>
                <w:highlight w:val="none"/>
                <w:lang w:eastAsia="zh-CN"/>
              </w:rPr>
              <w:t>土石方弃渣、疏浚淤泥、废包装、建筑垃圾、</w:t>
            </w:r>
            <w:r>
              <w:rPr>
                <w:rFonts w:hint="eastAsia" w:cs="Times New Roman"/>
                <w:color w:val="auto"/>
                <w:highlight w:val="none"/>
                <w:lang w:val="en-US" w:eastAsia="zh-CN"/>
              </w:rPr>
              <w:t>岸坡清理废物</w:t>
            </w:r>
            <w:r>
              <w:rPr>
                <w:rFonts w:hint="eastAsia" w:cs="Times New Roman"/>
                <w:color w:val="auto"/>
                <w:highlight w:val="none"/>
                <w:lang w:eastAsia="zh-CN"/>
              </w:rPr>
              <w:t>和施工人员生活垃圾</w:t>
            </w:r>
            <w:r>
              <w:rPr>
                <w:rFonts w:hint="default" w:ascii="Times New Roman" w:hAnsi="Times New Roman" w:cs="Times New Roman"/>
                <w:color w:val="auto"/>
                <w:highlight w:val="none"/>
              </w:rPr>
              <w:t>。</w:t>
            </w:r>
          </w:p>
          <w:p w14:paraId="08B43A95">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（1）土石方弃渣</w:t>
            </w:r>
          </w:p>
          <w:p w14:paraId="1A2A792F">
            <w:pPr>
              <w:ind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项目</w:t>
            </w:r>
            <w:r>
              <w:rPr>
                <w:rFonts w:hint="default" w:ascii="Times New Roman" w:hAnsi="Times New Roman" w:cs="Times New Roman"/>
                <w:color w:val="auto"/>
                <w:szCs w:val="24"/>
                <w:highlight w:val="none"/>
              </w:rPr>
              <w:t>开挖</w:t>
            </w:r>
            <w:r>
              <w:rPr>
                <w:rFonts w:hint="eastAsia" w:cs="Times New Roman"/>
                <w:color w:val="auto"/>
                <w:szCs w:val="24"/>
                <w:highlight w:val="none"/>
                <w:lang w:val="en-US" w:eastAsia="zh-CN"/>
              </w:rPr>
              <w:t>总</w:t>
            </w:r>
            <w:r>
              <w:rPr>
                <w:rFonts w:hint="default" w:ascii="Times New Roman" w:hAnsi="Times New Roman" w:cs="Times New Roman"/>
                <w:color w:val="auto"/>
                <w:szCs w:val="24"/>
                <w:highlight w:val="none"/>
              </w:rPr>
              <w:t>量</w:t>
            </w:r>
            <w:r>
              <w:rPr>
                <w:rFonts w:hint="eastAsia" w:cs="Times New Roman"/>
                <w:color w:val="auto"/>
                <w:highlight w:val="none"/>
                <w:lang w:val="en-US" w:eastAsia="zh-CN"/>
              </w:rPr>
              <w:t>24.32万</w:t>
            </w:r>
            <w:r>
              <w:rPr>
                <w:rFonts w:hint="default" w:ascii="Times New Roman" w:hAnsi="Times New Roman" w:eastAsia="TimesNewRomanPSMT"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（自然方），经土石方平衡后，弃渣量为</w:t>
            </w:r>
            <w:r>
              <w:rPr>
                <w:rFonts w:hint="eastAsia" w:cs="Times New Roman"/>
                <w:color w:val="auto"/>
                <w:highlight w:val="none"/>
                <w:lang w:val="en-US" w:eastAsia="zh-CN"/>
              </w:rPr>
              <w:t>2.98万m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w:t>
            </w:r>
            <w:r>
              <w:rPr>
                <w:rFonts w:hint="default" w:ascii="Times New Roman" w:hAnsi="Times New Roman" w:cs="Times New Roman"/>
                <w:color w:val="auto"/>
                <w:highlight w:val="none"/>
              </w:rPr>
              <w:t>自然方</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不单独设弃渣场，经土石方平衡后产生的弃渣，</w:t>
            </w:r>
            <w:r>
              <w:rPr>
                <w:rFonts w:hint="eastAsia" w:cs="Times New Roman"/>
                <w:color w:val="auto"/>
                <w:sz w:val="24"/>
                <w:szCs w:val="24"/>
                <w:highlight w:val="none"/>
                <w:lang w:val="en-US" w:eastAsia="zh-CN"/>
              </w:rPr>
              <w:t>可直接利用的部分由周边居民用于农田做肥料，沉淀泥渣和</w:t>
            </w:r>
            <w:r>
              <w:rPr>
                <w:rFonts w:hint="eastAsia"/>
                <w:color w:val="auto"/>
                <w:sz w:val="24"/>
                <w:szCs w:val="24"/>
                <w:highlight w:val="none"/>
                <w:lang w:val="en-US" w:eastAsia="zh-CN"/>
              </w:rPr>
              <w:t>含砂石量多的疏浚砂石用于沿线低洼地区回填</w:t>
            </w:r>
            <w:r>
              <w:rPr>
                <w:rFonts w:hint="eastAsia" w:cs="Times New Roman"/>
                <w:color w:val="auto"/>
                <w:sz w:val="24"/>
                <w:szCs w:val="24"/>
                <w:highlight w:val="none"/>
                <w:lang w:val="en-US" w:eastAsia="zh-CN"/>
              </w:rPr>
              <w:t>；经晾干后的不可直接利用清淤淤泥运往市政规划的弃渣场</w:t>
            </w:r>
            <w:r>
              <w:rPr>
                <w:rFonts w:hint="default" w:ascii="Times New Roman" w:hAnsi="Times New Roman" w:cs="Times New Roman"/>
                <w:color w:val="auto"/>
                <w:szCs w:val="24"/>
                <w:highlight w:val="none"/>
              </w:rPr>
              <w:t>。</w:t>
            </w:r>
          </w:p>
          <w:p w14:paraId="1687F8B6">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（2）疏浚淤泥</w:t>
            </w:r>
          </w:p>
          <w:p w14:paraId="09D9FDA5">
            <w:pPr>
              <w:ind w:firstLine="480"/>
              <w:rPr>
                <w:color w:val="auto"/>
                <w:highlight w:val="none"/>
              </w:rPr>
            </w:pPr>
            <w:r>
              <w:rPr>
                <w:rFonts w:hint="eastAsia"/>
                <w:color w:val="auto"/>
                <w:highlight w:val="none"/>
              </w:rPr>
              <w:t>清淤范围为</w:t>
            </w:r>
            <w:r>
              <w:rPr>
                <w:rFonts w:hint="eastAsia"/>
                <w:color w:val="auto"/>
                <w:highlight w:val="none"/>
                <w:lang w:val="en-US" w:eastAsia="zh-CN"/>
              </w:rPr>
              <w:t>石河镇二郎、福兴段、石河镇</w:t>
            </w:r>
            <w:r>
              <w:rPr>
                <w:rFonts w:hint="eastAsia"/>
                <w:color w:val="auto"/>
                <w:highlight w:val="none"/>
              </w:rPr>
              <w:t>河段范围，清淤高程为设计河床高程，清淤长度为</w:t>
            </w:r>
            <w:r>
              <w:rPr>
                <w:rFonts w:hint="eastAsia"/>
                <w:color w:val="auto"/>
                <w:highlight w:val="none"/>
                <w:lang w:val="en-US" w:eastAsia="zh-CN"/>
              </w:rPr>
              <w:t>21.287km</w:t>
            </w:r>
            <w:r>
              <w:rPr>
                <w:rFonts w:hint="eastAsia"/>
                <w:color w:val="auto"/>
                <w:highlight w:val="none"/>
              </w:rPr>
              <w:t>。</w:t>
            </w:r>
            <w:r>
              <w:rPr>
                <w:rFonts w:hint="eastAsia"/>
                <w:color w:val="auto"/>
                <w:highlight w:val="none"/>
                <w:lang w:eastAsia="zh-CN"/>
              </w:rPr>
              <w:t>清淤河段主要为二郎整治k0+000~k5+634和福兴整治k0+000~k1+795、石0+000~石2+450和双0+000~双2+150</w:t>
            </w:r>
            <w:r>
              <w:rPr>
                <w:color w:val="auto"/>
                <w:highlight w:val="none"/>
              </w:rPr>
              <w:t>。</w:t>
            </w:r>
          </w:p>
          <w:p w14:paraId="2911CD3A">
            <w:pPr>
              <w:pStyle w:val="33"/>
              <w:ind w:firstLine="480"/>
              <w:rPr>
                <w:color w:val="auto"/>
                <w:highlight w:val="none"/>
              </w:rPr>
            </w:pPr>
            <w:r>
              <w:rPr>
                <w:color w:val="auto"/>
                <w:highlight w:val="none"/>
              </w:rPr>
              <w:t>二郎</w:t>
            </w:r>
            <w:r>
              <w:rPr>
                <w:rFonts w:hint="eastAsia"/>
                <w:color w:val="auto"/>
                <w:highlight w:val="none"/>
                <w:lang w:val="en-US" w:eastAsia="zh-CN"/>
              </w:rPr>
              <w:t>段清淤长度5634</w:t>
            </w:r>
            <w:r>
              <w:rPr>
                <w:color w:val="auto"/>
                <w:highlight w:val="none"/>
              </w:rPr>
              <w:t>m</w:t>
            </w:r>
            <w:r>
              <w:rPr>
                <w:rFonts w:hint="eastAsia"/>
                <w:color w:val="auto"/>
                <w:highlight w:val="none"/>
                <w:lang w:eastAsia="zh-CN"/>
              </w:rPr>
              <w:t>，</w:t>
            </w:r>
            <w:r>
              <w:rPr>
                <w:color w:val="auto"/>
                <w:highlight w:val="none"/>
              </w:rPr>
              <w:t>河宽25~30m</w:t>
            </w:r>
            <w:r>
              <w:rPr>
                <w:rFonts w:hint="eastAsia"/>
                <w:color w:val="auto"/>
                <w:highlight w:val="none"/>
                <w:lang w:eastAsia="zh-CN"/>
              </w:rPr>
              <w:t>。平均清淤厚度0.50m，</w:t>
            </w:r>
            <w:r>
              <w:rPr>
                <w:rFonts w:hint="eastAsia"/>
                <w:color w:val="auto"/>
                <w:highlight w:val="none"/>
              </w:rPr>
              <w:t>清淤量为</w:t>
            </w:r>
            <w:r>
              <w:rPr>
                <w:rFonts w:hint="eastAsia"/>
                <w:color w:val="auto"/>
                <w:highlight w:val="none"/>
                <w:lang w:eastAsia="zh-CN"/>
              </w:rPr>
              <w:t>76059</w:t>
            </w:r>
            <w:r>
              <w:rPr>
                <w:color w:val="auto"/>
                <w:highlight w:val="none"/>
              </w:rPr>
              <w:t>m</w:t>
            </w:r>
            <w:r>
              <w:rPr>
                <w:color w:val="auto"/>
                <w:highlight w:val="none"/>
                <w:vertAlign w:val="superscript"/>
              </w:rPr>
              <w:t>3</w:t>
            </w:r>
            <w:r>
              <w:rPr>
                <w:color w:val="auto"/>
                <w:highlight w:val="none"/>
              </w:rPr>
              <w:t>。福兴</w:t>
            </w:r>
            <w:r>
              <w:rPr>
                <w:rFonts w:hint="eastAsia"/>
                <w:color w:val="auto"/>
                <w:highlight w:val="none"/>
                <w:lang w:val="en-US" w:eastAsia="zh-CN"/>
              </w:rPr>
              <w:t>段清淤长度</w:t>
            </w:r>
            <w:r>
              <w:rPr>
                <w:color w:val="auto"/>
                <w:highlight w:val="none"/>
              </w:rPr>
              <w:t>1795.00m</w:t>
            </w:r>
            <w:r>
              <w:rPr>
                <w:rFonts w:hint="eastAsia"/>
                <w:color w:val="auto"/>
                <w:highlight w:val="none"/>
                <w:lang w:eastAsia="zh-CN"/>
              </w:rPr>
              <w:t>，</w:t>
            </w:r>
            <w:r>
              <w:rPr>
                <w:color w:val="auto"/>
                <w:highlight w:val="none"/>
              </w:rPr>
              <w:t>河宽5~10m</w:t>
            </w:r>
            <w:r>
              <w:rPr>
                <w:rFonts w:hint="eastAsia"/>
                <w:color w:val="auto"/>
                <w:highlight w:val="none"/>
                <w:lang w:eastAsia="zh-CN"/>
              </w:rPr>
              <w:t>，平均清淤厚度0.40m</w:t>
            </w:r>
            <w:r>
              <w:rPr>
                <w:color w:val="auto"/>
                <w:highlight w:val="none"/>
              </w:rPr>
              <w:t>，</w:t>
            </w:r>
            <w:r>
              <w:rPr>
                <w:rFonts w:hint="eastAsia"/>
                <w:color w:val="auto"/>
                <w:highlight w:val="none"/>
              </w:rPr>
              <w:t>清淤量为</w:t>
            </w:r>
            <w:r>
              <w:rPr>
                <w:rFonts w:hint="eastAsia"/>
                <w:color w:val="auto"/>
                <w:highlight w:val="none"/>
                <w:lang w:eastAsia="zh-CN"/>
              </w:rPr>
              <w:t>5026</w:t>
            </w:r>
            <w:r>
              <w:rPr>
                <w:color w:val="auto"/>
                <w:highlight w:val="none"/>
              </w:rPr>
              <w:t>m</w:t>
            </w:r>
            <w:r>
              <w:rPr>
                <w:color w:val="auto"/>
                <w:highlight w:val="none"/>
                <w:vertAlign w:val="superscript"/>
              </w:rPr>
              <w:t>3</w:t>
            </w:r>
            <w:r>
              <w:rPr>
                <w:color w:val="auto"/>
                <w:highlight w:val="none"/>
              </w:rPr>
              <w:t>。</w:t>
            </w:r>
          </w:p>
          <w:p w14:paraId="02F407DD">
            <w:pPr>
              <w:ind w:firstLine="482"/>
              <w:rPr>
                <w:color w:val="auto"/>
                <w:highlight w:val="none"/>
              </w:rPr>
            </w:pPr>
            <w:r>
              <w:rPr>
                <w:b w:val="0"/>
                <w:bCs w:val="0"/>
                <w:color w:val="auto"/>
                <w:highlight w:val="none"/>
              </w:rPr>
              <w:t>石河镇段</w:t>
            </w:r>
            <w:r>
              <w:rPr>
                <w:rFonts w:hint="eastAsia"/>
                <w:b w:val="0"/>
                <w:bCs w:val="0"/>
                <w:color w:val="auto"/>
                <w:highlight w:val="none"/>
                <w:lang w:val="en-US" w:eastAsia="zh-CN"/>
              </w:rPr>
              <w:t>清淤长度2450m</w:t>
            </w:r>
            <w:r>
              <w:rPr>
                <w:b w:val="0"/>
                <w:bCs w:val="0"/>
                <w:color w:val="auto"/>
                <w:highlight w:val="none"/>
              </w:rPr>
              <w:t>，平均河宽</w:t>
            </w:r>
            <w:r>
              <w:rPr>
                <w:rFonts w:hint="eastAsia"/>
                <w:b w:val="0"/>
                <w:bCs w:val="0"/>
                <w:color w:val="auto"/>
                <w:highlight w:val="none"/>
                <w:lang w:val="en-US" w:eastAsia="zh-CN"/>
              </w:rPr>
              <w:t>7</w:t>
            </w:r>
            <w:r>
              <w:rPr>
                <w:b w:val="0"/>
                <w:bCs w:val="0"/>
                <w:color w:val="auto"/>
                <w:highlight w:val="none"/>
              </w:rPr>
              <w:t>~15m，</w:t>
            </w:r>
            <w:r>
              <w:rPr>
                <w:rFonts w:hint="eastAsia"/>
                <w:b w:val="0"/>
                <w:bCs w:val="0"/>
                <w:color w:val="auto"/>
                <w:highlight w:val="none"/>
                <w:lang w:eastAsia="zh-CN"/>
              </w:rPr>
              <w:t>平均清淤厚度0.</w:t>
            </w:r>
            <w:r>
              <w:rPr>
                <w:rFonts w:hint="eastAsia"/>
                <w:b w:val="0"/>
                <w:bCs w:val="0"/>
                <w:color w:val="auto"/>
                <w:highlight w:val="none"/>
                <w:lang w:val="en-US" w:eastAsia="zh-CN"/>
              </w:rPr>
              <w:t>22</w:t>
            </w:r>
            <w:r>
              <w:rPr>
                <w:rFonts w:hint="eastAsia"/>
                <w:b w:val="0"/>
                <w:bCs w:val="0"/>
                <w:color w:val="auto"/>
                <w:highlight w:val="none"/>
                <w:lang w:eastAsia="zh-CN"/>
              </w:rPr>
              <w:t>m，</w:t>
            </w:r>
            <w:r>
              <w:rPr>
                <w:b w:val="0"/>
                <w:bCs w:val="0"/>
                <w:color w:val="auto"/>
                <w:highlight w:val="none"/>
              </w:rPr>
              <w:t>疏浚量约5451m</w:t>
            </w:r>
            <w:r>
              <w:rPr>
                <w:b w:val="0"/>
                <w:bCs w:val="0"/>
                <w:color w:val="auto"/>
                <w:highlight w:val="none"/>
                <w:vertAlign w:val="superscript"/>
              </w:rPr>
              <w:t>3</w:t>
            </w:r>
            <w:r>
              <w:rPr>
                <w:b w:val="0"/>
                <w:bCs w:val="0"/>
                <w:color w:val="auto"/>
                <w:highlight w:val="none"/>
              </w:rPr>
              <w:t>。</w:t>
            </w:r>
            <w:r>
              <w:rPr>
                <w:rFonts w:hint="eastAsia"/>
                <w:b w:val="0"/>
                <w:bCs w:val="0"/>
                <w:color w:val="auto"/>
                <w:highlight w:val="none"/>
                <w:lang w:val="en-US" w:eastAsia="zh-CN"/>
              </w:rPr>
              <w:t>双拱场段清淤长度2150m</w:t>
            </w:r>
            <w:r>
              <w:rPr>
                <w:b w:val="0"/>
                <w:bCs w:val="0"/>
                <w:color w:val="auto"/>
                <w:highlight w:val="none"/>
              </w:rPr>
              <w:t>，平均</w:t>
            </w:r>
            <w:r>
              <w:rPr>
                <w:b w:val="0"/>
                <w:bCs w:val="0"/>
                <w:color w:val="auto"/>
                <w:highlight w:val="none"/>
                <w:lang w:val="zh-CN"/>
              </w:rPr>
              <w:t>河宽13~27m</w:t>
            </w:r>
            <w:r>
              <w:rPr>
                <w:b w:val="0"/>
                <w:bCs w:val="0"/>
                <w:color w:val="auto"/>
                <w:highlight w:val="none"/>
              </w:rPr>
              <w:t>，</w:t>
            </w:r>
            <w:r>
              <w:rPr>
                <w:rFonts w:hint="eastAsia"/>
                <w:b w:val="0"/>
                <w:bCs w:val="0"/>
                <w:color w:val="auto"/>
                <w:highlight w:val="none"/>
                <w:lang w:eastAsia="zh-CN"/>
              </w:rPr>
              <w:t>平均清淤厚度0.</w:t>
            </w:r>
            <w:r>
              <w:rPr>
                <w:rFonts w:hint="eastAsia"/>
                <w:b w:val="0"/>
                <w:bCs w:val="0"/>
                <w:color w:val="auto"/>
                <w:highlight w:val="none"/>
                <w:lang w:val="en-US" w:eastAsia="zh-CN"/>
              </w:rPr>
              <w:t>2</w:t>
            </w:r>
            <w:r>
              <w:rPr>
                <w:rFonts w:hint="eastAsia"/>
                <w:b w:val="0"/>
                <w:bCs w:val="0"/>
                <w:color w:val="auto"/>
                <w:highlight w:val="none"/>
                <w:lang w:eastAsia="zh-CN"/>
              </w:rPr>
              <w:t>0m</w:t>
            </w:r>
            <w:r>
              <w:rPr>
                <w:b w:val="0"/>
                <w:bCs w:val="0"/>
                <w:color w:val="auto"/>
                <w:highlight w:val="none"/>
              </w:rPr>
              <w:t>，双拱疏浚量约7291m</w:t>
            </w:r>
            <w:r>
              <w:rPr>
                <w:b w:val="0"/>
                <w:bCs w:val="0"/>
                <w:color w:val="auto"/>
                <w:highlight w:val="none"/>
                <w:vertAlign w:val="superscript"/>
              </w:rPr>
              <w:t>3</w:t>
            </w:r>
            <w:r>
              <w:rPr>
                <w:rFonts w:hint="eastAsia"/>
                <w:b w:val="0"/>
                <w:bCs w:val="0"/>
                <w:color w:val="auto"/>
                <w:highlight w:val="none"/>
                <w:lang w:eastAsia="zh-CN"/>
              </w:rPr>
              <w:t>。</w:t>
            </w:r>
            <w:r>
              <w:rPr>
                <w:b w:val="0"/>
                <w:bCs w:val="0"/>
                <w:color w:val="auto"/>
                <w:highlight w:val="none"/>
              </w:rPr>
              <w:t>疏浚边坡坡比不陡于1:3.0，清淤边界离原始岸坡距离大于5m</w:t>
            </w:r>
            <w:r>
              <w:rPr>
                <w:rFonts w:ascii="Times New Roman" w:hAnsi="Times New Roman" w:eastAsia="宋体" w:cs="Times New Roman"/>
                <w:b w:val="0"/>
                <w:bCs w:val="0"/>
                <w:color w:val="auto"/>
                <w:highlight w:val="none"/>
              </w:rPr>
              <w:t>。</w:t>
            </w:r>
          </w:p>
          <w:p w14:paraId="6D7DE390">
            <w:pP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可直接利用的部分由周边居民用于农田做肥料，</w:t>
            </w:r>
            <w:r>
              <w:rPr>
                <w:rFonts w:hint="eastAsia"/>
                <w:color w:val="auto"/>
                <w:sz w:val="24"/>
                <w:szCs w:val="24"/>
                <w:highlight w:val="none"/>
                <w:lang w:val="en-US" w:eastAsia="zh-CN"/>
              </w:rPr>
              <w:t>含砂石量多的疏浚砂石用于沿线低洼地区回填</w:t>
            </w:r>
            <w:r>
              <w:rPr>
                <w:rFonts w:hint="eastAsia" w:cs="Times New Roman"/>
                <w:color w:val="auto"/>
                <w:sz w:val="24"/>
                <w:szCs w:val="24"/>
                <w:highlight w:val="none"/>
                <w:lang w:val="en-US" w:eastAsia="zh-CN"/>
              </w:rPr>
              <w:t>；经晾干后的不可直接利用清淤淤泥运往市政规划的弃渣场</w:t>
            </w:r>
            <w:r>
              <w:rPr>
                <w:rFonts w:hint="eastAsia" w:cs="Times New Roman"/>
                <w:color w:val="auto"/>
                <w:szCs w:val="24"/>
                <w:highlight w:val="none"/>
                <w:lang w:eastAsia="zh-CN"/>
              </w:rPr>
              <w:t>。</w:t>
            </w:r>
          </w:p>
          <w:p w14:paraId="6CBB964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（3）废包装</w:t>
            </w:r>
          </w:p>
          <w:p w14:paraId="5F470F0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本项目防治白蚁过程中，采用白蚁防治药品进行防治，属于农药。使用后将产生废弃包装瓶及药粉包装袋。</w:t>
            </w:r>
          </w:p>
          <w:p w14:paraId="015BAE1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本项目选用的防治白蚁的药剂在土壤中具有很高的亲合作用，且其水溶性又低，因此，风险情况下，药剂对水环境的影响较小，故实际影响可接受，因此，本项目药剂选用合理。</w:t>
            </w:r>
          </w:p>
          <w:p w14:paraId="77D1DD6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废弃包装属于危险废物，根据《国家危险废物名录》废物类别HW04农药废物，废物代码为900-003-04。</w:t>
            </w:r>
          </w:p>
          <w:p w14:paraId="0F6743E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根据《国家危险废物名录》（2025年版）附录中“危险废物豁免管理清单”中豁免条款：“第6条，代码900-003-04：农药使用后被废弃的与农药直接接触或者含有农药残余物的包装物”可以豁免，豁免条件：①依据《农药包装废弃物回收处理管理办法》收集农药包装废弃物并转移到所设定的集中贮存点，收集过程不按危险废物管理；②运输：满足《农药包装废弃物回收处理管理办法》中的运输要求，不按危险废物进行运输。</w:t>
            </w:r>
          </w:p>
          <w:p w14:paraId="63981C6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本项目农药包装废弃物根据《农药包装废弃物回收处理管理办法》，施工单位对废弃的</w:t>
            </w:r>
            <w:r>
              <w:rPr>
                <w:rFonts w:hint="eastAsia"/>
                <w:color w:val="auto"/>
                <w:sz w:val="24"/>
                <w:szCs w:val="32"/>
                <w:highlight w:val="none"/>
              </w:rPr>
              <w:t>白蚁防治废包装</w:t>
            </w:r>
            <w:r>
              <w:rPr>
                <w:rFonts w:hint="eastAsia"/>
                <w:b w:val="0"/>
                <w:bCs w:val="0"/>
                <w:color w:val="auto"/>
                <w:highlight w:val="none"/>
                <w:lang w:val="en-US" w:eastAsia="zh-CN"/>
              </w:rPr>
              <w:t>进行收集，送至农药经营店，由农药经营店进行回收。因此，本项目农药包装废弃物豁免环节包括：收集、运输，可不按危险废物进行管理。</w:t>
            </w:r>
          </w:p>
          <w:p w14:paraId="367DF6CD">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环评要求：建设单位、施工单位应严格按照《农药包装废弃物回收处理管理办法》，对废弃的</w:t>
            </w:r>
            <w:r>
              <w:rPr>
                <w:rFonts w:hint="eastAsia"/>
                <w:color w:val="auto"/>
                <w:sz w:val="24"/>
                <w:szCs w:val="32"/>
                <w:highlight w:val="none"/>
              </w:rPr>
              <w:t>白蚁防治废包装</w:t>
            </w:r>
            <w:r>
              <w:rPr>
                <w:rFonts w:hint="eastAsia"/>
                <w:b w:val="0"/>
                <w:bCs w:val="0"/>
                <w:color w:val="auto"/>
                <w:highlight w:val="none"/>
                <w:lang w:val="en-US" w:eastAsia="zh-CN"/>
              </w:rPr>
              <w:t>进行收集，送至农药经营店，由农药经营店进行回收。严禁任意丢弃，防止污染环境。</w:t>
            </w:r>
          </w:p>
          <w:p w14:paraId="6DDE4E3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b w:val="0"/>
                <w:bCs w:val="0"/>
                <w:color w:val="auto"/>
                <w:highlight w:val="none"/>
                <w:lang w:val="en-US" w:eastAsia="zh-CN"/>
              </w:rPr>
            </w:pPr>
            <w:r>
              <w:rPr>
                <w:rFonts w:hint="eastAsia"/>
                <w:b w:val="0"/>
                <w:bCs w:val="0"/>
                <w:color w:val="auto"/>
                <w:highlight w:val="none"/>
                <w:lang w:val="en-US" w:eastAsia="zh-CN"/>
              </w:rPr>
              <w:t>根据《农药包装废弃物回收处理管理办法》，施工单位对废弃的</w:t>
            </w:r>
            <w:r>
              <w:rPr>
                <w:rFonts w:hint="eastAsia"/>
                <w:color w:val="auto"/>
                <w:sz w:val="24"/>
                <w:szCs w:val="32"/>
                <w:highlight w:val="none"/>
              </w:rPr>
              <w:t>白蚁防治废包装</w:t>
            </w:r>
            <w:r>
              <w:rPr>
                <w:rFonts w:hint="eastAsia"/>
                <w:b w:val="0"/>
                <w:bCs w:val="0"/>
                <w:color w:val="auto"/>
                <w:highlight w:val="none"/>
                <w:lang w:val="en-US" w:eastAsia="zh-CN"/>
              </w:rPr>
              <w:t>进行收集，送至农药经营店，由农药经营店进行回收。严禁任意丢弃，防止污染环境。</w:t>
            </w:r>
          </w:p>
          <w:p w14:paraId="1CBA9F90">
            <w:pPr>
              <w:ind w:firstLine="480"/>
              <w:rPr>
                <w:rFonts w:hint="eastAsia" w:eastAsia="宋体"/>
                <w:b w:val="0"/>
                <w:bCs w:val="0"/>
                <w:color w:val="auto"/>
                <w:highlight w:val="none"/>
                <w:lang w:val="en-US" w:eastAsia="zh-CN"/>
              </w:rPr>
            </w:pPr>
            <w:r>
              <w:rPr>
                <w:rFonts w:hint="eastAsia"/>
                <w:b w:val="0"/>
                <w:bCs w:val="0"/>
                <w:color w:val="auto"/>
                <w:highlight w:val="none"/>
                <w:lang w:val="en-US" w:eastAsia="zh-CN"/>
              </w:rPr>
              <w:t>（4）岸坡清理</w:t>
            </w:r>
            <w:r>
              <w:rPr>
                <w:rFonts w:hint="eastAsia" w:eastAsia="宋体"/>
                <w:b w:val="0"/>
                <w:bCs w:val="0"/>
                <w:color w:val="auto"/>
                <w:highlight w:val="none"/>
                <w:lang w:val="en-US" w:eastAsia="zh-CN"/>
              </w:rPr>
              <w:t>废物</w:t>
            </w:r>
          </w:p>
          <w:p w14:paraId="51AF9E19">
            <w:pPr>
              <w:ind w:firstLine="480"/>
              <w:rPr>
                <w:rFonts w:hint="eastAsia" w:eastAsia="宋体"/>
                <w:b w:val="0"/>
                <w:bCs w:val="0"/>
                <w:color w:val="auto"/>
                <w:highlight w:val="none"/>
                <w:lang w:val="en-US" w:eastAsia="zh-CN"/>
              </w:rPr>
            </w:pPr>
            <w:r>
              <w:rPr>
                <w:rFonts w:hint="eastAsia" w:eastAsia="宋体"/>
                <w:b w:val="0"/>
                <w:bCs w:val="0"/>
                <w:color w:val="auto"/>
                <w:highlight w:val="none"/>
                <w:lang w:val="en-US" w:eastAsia="zh-CN"/>
              </w:rPr>
              <w:t>岸坡清理废物中的生活垃圾交</w:t>
            </w:r>
            <w:r>
              <w:rPr>
                <w:rFonts w:hint="default" w:eastAsia="宋体"/>
                <w:b w:val="0"/>
                <w:bCs w:val="0"/>
                <w:color w:val="auto"/>
                <w:highlight w:val="none"/>
                <w:lang w:val="en-US" w:eastAsia="zh-CN"/>
              </w:rPr>
              <w:t>由环卫部门清运</w:t>
            </w:r>
            <w:r>
              <w:rPr>
                <w:rFonts w:hint="eastAsia" w:eastAsia="宋体"/>
                <w:b w:val="0"/>
                <w:bCs w:val="0"/>
                <w:color w:val="auto"/>
                <w:highlight w:val="none"/>
                <w:lang w:val="en-US" w:eastAsia="zh-CN"/>
              </w:rPr>
              <w:t>，建筑废渣</w:t>
            </w:r>
            <w:r>
              <w:rPr>
                <w:rFonts w:hint="default" w:eastAsia="宋体"/>
                <w:b w:val="0"/>
                <w:bCs w:val="0"/>
                <w:color w:val="auto"/>
                <w:highlight w:val="none"/>
                <w:lang w:val="en-US" w:eastAsia="zh-CN"/>
              </w:rPr>
              <w:t>作为弃渣运往市政规划的弃渣场</w:t>
            </w:r>
            <w:r>
              <w:rPr>
                <w:rFonts w:hint="eastAsia" w:eastAsia="宋体"/>
                <w:b w:val="0"/>
                <w:bCs w:val="0"/>
                <w:color w:val="auto"/>
                <w:highlight w:val="none"/>
                <w:lang w:val="en-US" w:eastAsia="zh-CN"/>
              </w:rPr>
              <w:t>。</w:t>
            </w:r>
          </w:p>
          <w:p w14:paraId="6635456D">
            <w:pPr>
              <w:ind w:firstLine="480"/>
              <w:rPr>
                <w:rFonts w:hint="default" w:ascii="Times New Roman" w:hAnsi="Times New Roman" w:cs="Times New Roman"/>
                <w:color w:val="auto"/>
                <w:highlight w:val="none"/>
              </w:rPr>
            </w:pPr>
            <w:r>
              <w:rPr>
                <w:rFonts w:hint="eastAsia"/>
                <w:b w:val="0"/>
                <w:bCs w:val="0"/>
                <w:color w:val="auto"/>
                <w:highlight w:val="none"/>
                <w:lang w:val="en-US" w:eastAsia="zh-CN"/>
              </w:rPr>
              <w:t>（5）</w:t>
            </w:r>
            <w:r>
              <w:rPr>
                <w:rFonts w:hint="default" w:ascii="Times New Roman" w:hAnsi="Times New Roman" w:cs="Times New Roman"/>
                <w:color w:val="auto"/>
                <w:highlight w:val="none"/>
              </w:rPr>
              <w:t>建筑垃圾</w:t>
            </w:r>
          </w:p>
          <w:p w14:paraId="3B7B69B5">
            <w:pPr>
              <w:ind w:firstLine="480"/>
              <w:rPr>
                <w:rFonts w:hint="default" w:ascii="Times New Roman" w:hAnsi="Times New Roman" w:cs="Times New Roman"/>
                <w:bCs/>
                <w:color w:val="auto"/>
                <w:highlight w:val="none"/>
              </w:rPr>
            </w:pPr>
            <w:r>
              <w:rPr>
                <w:rFonts w:hint="default" w:ascii="Times New Roman" w:hAnsi="Times New Roman" w:cs="Times New Roman"/>
                <w:color w:val="auto"/>
                <w:highlight w:val="none"/>
              </w:rPr>
              <w:t>本项目施工过程以及施工结束后临时建筑的拆除等过程会产生建筑垃圾，主要包括砂石、石块、废金属、废钢筋、钢材等。</w:t>
            </w:r>
            <w:r>
              <w:rPr>
                <w:rFonts w:hint="default" w:ascii="Times New Roman" w:hAnsi="Times New Roman" w:cs="Times New Roman"/>
                <w:bCs/>
                <w:color w:val="auto"/>
                <w:highlight w:val="none"/>
              </w:rPr>
              <w:t>施工阶段产生的废木、废钢筋、废包装袋等可作为资源回收的材料被回收利用，不能回收的则统一运至</w:t>
            </w:r>
            <w:r>
              <w:rPr>
                <w:rFonts w:hint="eastAsia" w:cs="Times New Roman"/>
                <w:bCs/>
                <w:color w:val="auto"/>
                <w:highlight w:val="none"/>
                <w:lang w:eastAsia="zh-CN"/>
              </w:rPr>
              <w:t>大竹县</w:t>
            </w:r>
            <w:r>
              <w:rPr>
                <w:rFonts w:hint="default" w:ascii="Times New Roman" w:hAnsi="Times New Roman" w:cs="Times New Roman"/>
                <w:bCs/>
                <w:color w:val="auto"/>
                <w:highlight w:val="none"/>
              </w:rPr>
              <w:t>指定的建筑垃圾处置场处理。施工单位不能将建筑垃圾乱放、乱倒、随意堆弃；杜绝超高、超载装运建筑垃圾，运输过程中保持有效遮盖，不得撒漏。</w:t>
            </w:r>
            <w:r>
              <w:rPr>
                <w:rFonts w:hint="default" w:ascii="Times New Roman" w:hAnsi="Times New Roman" w:cs="Times New Roman"/>
                <w:color w:val="auto"/>
                <w:highlight w:val="none"/>
              </w:rPr>
              <w:t>在采取上述措施后建筑垃圾对环境影响很小。</w:t>
            </w:r>
          </w:p>
          <w:p w14:paraId="16CEEE57">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5</w:t>
            </w:r>
            <w:r>
              <w:rPr>
                <w:rFonts w:hint="default" w:ascii="Times New Roman" w:hAnsi="Times New Roman" w:cs="Times New Roman"/>
                <w:color w:val="auto"/>
                <w:highlight w:val="none"/>
              </w:rPr>
              <w:t>）生活垃圾</w:t>
            </w:r>
          </w:p>
          <w:p w14:paraId="0EE9880E">
            <w:pPr>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rPr>
              <w:t>本项目</w:t>
            </w:r>
            <w:r>
              <w:rPr>
                <w:rFonts w:hint="eastAsia" w:cs="Times New Roman"/>
                <w:b w:val="0"/>
                <w:bCs w:val="0"/>
                <w:color w:val="auto"/>
                <w:highlight w:val="none"/>
                <w:lang w:val="en-US" w:eastAsia="zh-CN"/>
              </w:rPr>
              <w:t>二郎及福兴段、石河镇段及双拱场段</w:t>
            </w:r>
            <w:r>
              <w:rPr>
                <w:rFonts w:hint="default" w:ascii="Times New Roman" w:hAnsi="Times New Roman" w:cs="Times New Roman"/>
                <w:b w:val="0"/>
                <w:bCs w:val="0"/>
                <w:color w:val="auto"/>
                <w:highlight w:val="none"/>
              </w:rPr>
              <w:t>高峰期施工劳动力人数</w:t>
            </w:r>
            <w:r>
              <w:rPr>
                <w:rFonts w:hint="eastAsia" w:cs="Times New Roman"/>
                <w:b w:val="0"/>
                <w:bCs w:val="0"/>
                <w:color w:val="auto"/>
                <w:highlight w:val="none"/>
                <w:lang w:val="en-US" w:eastAsia="zh-CN"/>
              </w:rPr>
              <w:t>共</w:t>
            </w:r>
            <w:r>
              <w:rPr>
                <w:rFonts w:hint="eastAsia" w:cs="Times New Roman"/>
                <w:b w:val="0"/>
                <w:bCs w:val="0"/>
                <w:color w:val="auto"/>
                <w:szCs w:val="24"/>
                <w:highlight w:val="none"/>
                <w:lang w:val="en-US" w:eastAsia="zh-CN"/>
              </w:rPr>
              <w:t>509</w:t>
            </w:r>
            <w:r>
              <w:rPr>
                <w:rFonts w:hint="default" w:ascii="Times New Roman" w:hAnsi="Times New Roman" w:cs="Times New Roman"/>
                <w:b w:val="0"/>
                <w:bCs w:val="0"/>
                <w:color w:val="auto"/>
                <w:szCs w:val="24"/>
                <w:highlight w:val="none"/>
              </w:rPr>
              <w:t>人/d，平均劳动力人数</w:t>
            </w:r>
            <w:r>
              <w:rPr>
                <w:rFonts w:hint="eastAsia" w:cs="Times New Roman"/>
                <w:b w:val="0"/>
                <w:bCs w:val="0"/>
                <w:color w:val="auto"/>
                <w:szCs w:val="24"/>
                <w:highlight w:val="none"/>
                <w:lang w:val="en-US" w:eastAsia="zh-CN"/>
              </w:rPr>
              <w:t>共423</w:t>
            </w:r>
            <w:r>
              <w:rPr>
                <w:rFonts w:hint="default" w:ascii="Times New Roman" w:hAnsi="Times New Roman" w:cs="Times New Roman"/>
                <w:b w:val="0"/>
                <w:bCs w:val="0"/>
                <w:color w:val="auto"/>
                <w:szCs w:val="24"/>
                <w:highlight w:val="none"/>
              </w:rPr>
              <w:t>人</w:t>
            </w:r>
            <w:r>
              <w:rPr>
                <w:rFonts w:hint="default" w:ascii="Times New Roman" w:hAnsi="Times New Roman" w:cs="Times New Roman"/>
                <w:color w:val="auto"/>
                <w:szCs w:val="24"/>
                <w:highlight w:val="none"/>
              </w:rPr>
              <w:t>/d</w:t>
            </w:r>
            <w:r>
              <w:rPr>
                <w:rFonts w:hint="default" w:ascii="Times New Roman" w:hAnsi="Times New Roman" w:cs="Times New Roman"/>
                <w:color w:val="auto"/>
                <w:highlight w:val="none"/>
              </w:rPr>
              <w:t>。本次按高峰时期劳动人数核算，生活垃圾0.5kg/d人计，则施工人员生活垃圾产生量为0.</w:t>
            </w:r>
            <w:r>
              <w:rPr>
                <w:rFonts w:hint="eastAsia" w:cs="Times New Roman"/>
                <w:color w:val="auto"/>
                <w:highlight w:val="none"/>
                <w:lang w:val="en-US" w:eastAsia="zh-CN"/>
              </w:rPr>
              <w:t>25</w:t>
            </w:r>
            <w:r>
              <w:rPr>
                <w:rFonts w:hint="default" w:ascii="Times New Roman" w:hAnsi="Times New Roman" w:cs="Times New Roman"/>
                <w:color w:val="auto"/>
                <w:highlight w:val="none"/>
              </w:rPr>
              <w:t>t/d，设垃圾桶集中收集后，</w:t>
            </w:r>
            <w:r>
              <w:rPr>
                <w:rFonts w:hint="default" w:ascii="Times New Roman" w:hAnsi="Times New Roman" w:cs="Times New Roman"/>
                <w:bCs/>
                <w:color w:val="auto"/>
                <w:highlight w:val="none"/>
              </w:rPr>
              <w:t>通过附近居民区已有的生活垃圾收集点收集并由环卫部门统一清运到垃圾填埋场处理</w:t>
            </w:r>
            <w:r>
              <w:rPr>
                <w:rFonts w:hint="default" w:ascii="Times New Roman" w:hAnsi="Times New Roman" w:cs="Times New Roman"/>
                <w:color w:val="auto"/>
                <w:highlight w:val="none"/>
              </w:rPr>
              <w:t>，对外环境影响较小。</w:t>
            </w:r>
          </w:p>
          <w:p w14:paraId="6FA0ACC9">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ascii="Times New Roman" w:hAnsi="Times New Roman" w:cs="Times New Roman"/>
                <w:color w:val="auto"/>
                <w:highlight w:val="none"/>
                <w:lang w:val="en-US"/>
              </w:rPr>
            </w:pPr>
            <w:r>
              <w:rPr>
                <w:rFonts w:hint="eastAsia" w:cs="Times New Roman"/>
                <w:b/>
                <w:bCs/>
                <w:color w:val="auto"/>
                <w:highlight w:val="none"/>
                <w:lang w:val="en-US" w:eastAsia="zh-CN"/>
              </w:rPr>
              <w:t xml:space="preserve"> 4.2.4.2 清河镇段及杨家镇段</w:t>
            </w:r>
          </w:p>
          <w:p w14:paraId="5EB6EA15">
            <w:pPr>
              <w:adjustRightInd w:val="0"/>
              <w:snapToGrid w:val="0"/>
              <w:spacing w:line="360" w:lineRule="auto"/>
              <w:ind w:firstLine="482" w:firstLineChars="200"/>
              <w:rPr>
                <w:rFonts w:hint="eastAsia"/>
                <w:b/>
                <w:color w:val="auto"/>
                <w:sz w:val="24"/>
                <w:highlight w:val="none"/>
              </w:rPr>
            </w:pPr>
            <w:r>
              <w:rPr>
                <w:rFonts w:hint="eastAsia"/>
                <w:b/>
                <w:color w:val="auto"/>
                <w:sz w:val="24"/>
                <w:highlight w:val="none"/>
                <w:lang w:val="en-US" w:eastAsia="zh-CN"/>
              </w:rPr>
              <w:t>·</w:t>
            </w:r>
            <w:r>
              <w:rPr>
                <w:rFonts w:hint="eastAsia"/>
                <w:b/>
                <w:color w:val="auto"/>
                <w:sz w:val="24"/>
                <w:highlight w:val="none"/>
              </w:rPr>
              <w:t>土石方弃渣</w:t>
            </w:r>
          </w:p>
          <w:p w14:paraId="43225992">
            <w:pPr>
              <w:adjustRightInd w:val="0"/>
              <w:snapToGrid w:val="0"/>
              <w:spacing w:line="360" w:lineRule="auto"/>
              <w:ind w:firstLine="480" w:firstLineChars="200"/>
              <w:rPr>
                <w:rFonts w:hint="eastAsia"/>
                <w:color w:val="auto"/>
                <w:sz w:val="24"/>
                <w:highlight w:val="none"/>
              </w:rPr>
            </w:pPr>
            <w:r>
              <w:rPr>
                <w:rFonts w:hint="eastAsia"/>
                <w:color w:val="auto"/>
                <w:sz w:val="24"/>
                <w:highlight w:val="none"/>
                <w:lang w:val="en-US" w:eastAsia="zh-CN"/>
              </w:rPr>
              <w:t>经调查，施工期项目未设置弃渣场。弃渣期</w:t>
            </w:r>
            <w:r>
              <w:rPr>
                <w:rFonts w:hint="eastAsia"/>
                <w:color w:val="auto"/>
                <w:sz w:val="24"/>
                <w:highlight w:val="none"/>
              </w:rPr>
              <w:t>用于</w:t>
            </w:r>
            <w:r>
              <w:rPr>
                <w:rFonts w:hint="eastAsia"/>
                <w:color w:val="auto"/>
                <w:sz w:val="24"/>
                <w:highlight w:val="none"/>
                <w:lang w:val="en-US" w:eastAsia="zh-CN"/>
              </w:rPr>
              <w:t>河段</w:t>
            </w:r>
            <w:r>
              <w:rPr>
                <w:rFonts w:hint="eastAsia"/>
                <w:color w:val="auto"/>
                <w:sz w:val="24"/>
                <w:highlight w:val="none"/>
              </w:rPr>
              <w:t>堤后</w:t>
            </w:r>
            <w:r>
              <w:rPr>
                <w:rFonts w:hint="eastAsia"/>
                <w:color w:val="auto"/>
                <w:sz w:val="24"/>
                <w:highlight w:val="none"/>
                <w:lang w:val="en-US" w:eastAsia="zh-CN"/>
              </w:rPr>
              <w:t>低洼处</w:t>
            </w:r>
            <w:r>
              <w:rPr>
                <w:rFonts w:hint="eastAsia"/>
                <w:color w:val="auto"/>
                <w:sz w:val="24"/>
                <w:highlight w:val="none"/>
              </w:rPr>
              <w:t>回填利用。</w:t>
            </w:r>
          </w:p>
          <w:p w14:paraId="06D86D20">
            <w:pPr>
              <w:tabs>
                <w:tab w:val="left" w:pos="1260"/>
              </w:tabs>
              <w:adjustRightInd w:val="0"/>
              <w:snapToGrid w:val="0"/>
              <w:spacing w:line="360" w:lineRule="auto"/>
              <w:ind w:firstLine="482" w:firstLineChars="200"/>
              <w:rPr>
                <w:rFonts w:hint="eastAsia" w:eastAsia="宋体"/>
                <w:b/>
                <w:color w:val="auto"/>
                <w:sz w:val="24"/>
                <w:highlight w:val="none"/>
                <w:lang w:val="en-US" w:eastAsia="zh-CN"/>
              </w:rPr>
            </w:pPr>
            <w:r>
              <w:rPr>
                <w:rFonts w:hint="eastAsia"/>
                <w:b/>
                <w:color w:val="auto"/>
                <w:sz w:val="24"/>
                <w:highlight w:val="none"/>
                <w:lang w:val="en-US" w:eastAsia="zh-CN"/>
              </w:rPr>
              <w:t>·</w:t>
            </w:r>
            <w:r>
              <w:rPr>
                <w:rFonts w:hint="eastAsia"/>
                <w:b/>
                <w:color w:val="auto"/>
                <w:sz w:val="24"/>
                <w:highlight w:val="none"/>
              </w:rPr>
              <w:t>疏浚</w:t>
            </w:r>
            <w:r>
              <w:rPr>
                <w:rFonts w:hint="eastAsia"/>
                <w:b/>
                <w:color w:val="auto"/>
                <w:sz w:val="24"/>
                <w:highlight w:val="none"/>
                <w:lang w:val="en-US" w:eastAsia="zh-CN"/>
              </w:rPr>
              <w:t>淤积物</w:t>
            </w:r>
          </w:p>
          <w:p w14:paraId="12737AC0">
            <w:pPr>
              <w:tabs>
                <w:tab w:val="left" w:pos="1260"/>
              </w:tabs>
              <w:adjustRightInd w:val="0"/>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项目疏浚淤积物包括疏浚淤泥和少量生活垃圾。项目疏浚打捞的少量生活垃圾收集后，交当地村镇环卫处置。</w:t>
            </w:r>
          </w:p>
          <w:p w14:paraId="0BCCC607">
            <w:pPr>
              <w:tabs>
                <w:tab w:val="left" w:pos="1260"/>
              </w:tabs>
              <w:adjustRightInd w:val="0"/>
              <w:snapToGrid w:val="0"/>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砂石含量高的疏浚淤泥用于场地回填，含泥量高的淤泥全部用于护坡作为种植土利用。根据现状监测，河道底泥满足相关标准要求。表明项目施工未对河道底泥造成污染。</w:t>
            </w:r>
          </w:p>
          <w:p w14:paraId="113AA3FC">
            <w:pPr>
              <w:tabs>
                <w:tab w:val="left" w:pos="1260"/>
              </w:tabs>
              <w:adjustRightInd w:val="0"/>
              <w:snapToGrid w:val="0"/>
              <w:spacing w:line="360" w:lineRule="auto"/>
              <w:ind w:firstLine="482" w:firstLineChars="200"/>
              <w:rPr>
                <w:rFonts w:hint="eastAsia"/>
                <w:b/>
                <w:color w:val="auto"/>
                <w:sz w:val="24"/>
                <w:highlight w:val="none"/>
              </w:rPr>
            </w:pPr>
            <w:r>
              <w:rPr>
                <w:rFonts w:hint="eastAsia"/>
                <w:b/>
                <w:color w:val="auto"/>
                <w:sz w:val="24"/>
                <w:highlight w:val="none"/>
                <w:lang w:val="en-US" w:eastAsia="zh-CN"/>
              </w:rPr>
              <w:t>·</w:t>
            </w:r>
            <w:r>
              <w:rPr>
                <w:rFonts w:hint="eastAsia"/>
                <w:b/>
                <w:color w:val="auto"/>
                <w:sz w:val="24"/>
                <w:highlight w:val="none"/>
              </w:rPr>
              <w:t>建筑垃圾</w:t>
            </w:r>
          </w:p>
          <w:p w14:paraId="2ECE0EB9">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项目施工期间</w:t>
            </w:r>
            <w:r>
              <w:rPr>
                <w:color w:val="auto"/>
                <w:sz w:val="24"/>
                <w:highlight w:val="none"/>
              </w:rPr>
              <w:t>废木、废钢筋、废包装袋等</w:t>
            </w:r>
            <w:r>
              <w:rPr>
                <w:rFonts w:hint="eastAsia"/>
                <w:color w:val="auto"/>
                <w:sz w:val="24"/>
                <w:highlight w:val="none"/>
                <w:lang w:val="en-US" w:eastAsia="zh-CN"/>
              </w:rPr>
              <w:t>可回收利用收集后，外卖物资回收单位；</w:t>
            </w:r>
            <w:r>
              <w:rPr>
                <w:color w:val="auto"/>
                <w:sz w:val="24"/>
                <w:highlight w:val="none"/>
              </w:rPr>
              <w:t>不能回收</w:t>
            </w:r>
            <w:r>
              <w:rPr>
                <w:rFonts w:hint="eastAsia"/>
                <w:color w:val="auto"/>
                <w:sz w:val="24"/>
                <w:highlight w:val="none"/>
                <w:lang w:val="en-US" w:eastAsia="zh-CN"/>
              </w:rPr>
              <w:t>利用部分，</w:t>
            </w:r>
            <w:r>
              <w:rPr>
                <w:color w:val="auto"/>
                <w:sz w:val="24"/>
                <w:highlight w:val="none"/>
              </w:rPr>
              <w:t>运至</w:t>
            </w:r>
            <w:r>
              <w:rPr>
                <w:rFonts w:hint="eastAsia"/>
                <w:color w:val="auto"/>
                <w:sz w:val="24"/>
                <w:highlight w:val="none"/>
                <w:lang w:val="en-US" w:eastAsia="zh-CN"/>
              </w:rPr>
              <w:t>当地市政部门</w:t>
            </w:r>
            <w:r>
              <w:rPr>
                <w:color w:val="auto"/>
                <w:sz w:val="24"/>
                <w:highlight w:val="none"/>
              </w:rPr>
              <w:t>指定的</w:t>
            </w:r>
            <w:r>
              <w:rPr>
                <w:rFonts w:hint="eastAsia"/>
                <w:color w:val="auto"/>
                <w:sz w:val="24"/>
                <w:highlight w:val="none"/>
                <w:lang w:val="en-US" w:eastAsia="zh-CN"/>
              </w:rPr>
              <w:t>弃渣场处置</w:t>
            </w:r>
            <w:r>
              <w:rPr>
                <w:color w:val="auto"/>
                <w:sz w:val="24"/>
                <w:highlight w:val="none"/>
              </w:rPr>
              <w:t>。</w:t>
            </w:r>
          </w:p>
          <w:p w14:paraId="0C198AD7">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·生活垃圾</w:t>
            </w:r>
          </w:p>
          <w:p w14:paraId="5516A4DB">
            <w:pPr>
              <w:adjustRightInd w:val="0"/>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施工期生活垃圾依托当地环卫处置。</w:t>
            </w:r>
          </w:p>
          <w:p w14:paraId="60D6F518">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现场调查，项目河段及岸坡残留有少量生活垃圾和建筑垃圾。施工场地镍遗留有部分施工设备、施工材料及砂石等。</w:t>
            </w:r>
          </w:p>
          <w:p w14:paraId="691C8D4C">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因此，本次评价提出反馈意见：</w:t>
            </w:r>
          </w:p>
          <w:p w14:paraId="1483224C">
            <w:pPr>
              <w:numPr>
                <w:ilvl w:val="0"/>
                <w:numId w:val="8"/>
              </w:numPr>
              <w:adjustRightInd w:val="0"/>
              <w:snapToGrid w:val="0"/>
              <w:spacing w:line="360" w:lineRule="auto"/>
              <w:ind w:firstLine="480" w:firstLineChars="200"/>
              <w:rPr>
                <w:rFonts w:hint="eastAsia"/>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清除施工场地内遗留施工设备、</w:t>
            </w:r>
            <w:r>
              <w:rPr>
                <w:rFonts w:hint="eastAsia"/>
                <w:color w:val="auto"/>
                <w:sz w:val="24"/>
                <w:szCs w:val="24"/>
                <w:highlight w:val="none"/>
                <w:lang w:val="en-US" w:eastAsia="zh-CN"/>
              </w:rPr>
              <w:t>砂石、</w:t>
            </w:r>
            <w:r>
              <w:rPr>
                <w:rFonts w:hint="eastAsia" w:ascii="Times New Roman" w:hAnsi="Times New Roman" w:eastAsia="宋体"/>
                <w:color w:val="auto"/>
                <w:sz w:val="24"/>
                <w:szCs w:val="24"/>
                <w:highlight w:val="none"/>
                <w:lang w:val="en-US" w:eastAsia="zh-CN"/>
              </w:rPr>
              <w:t>施工材料等</w:t>
            </w:r>
            <w:r>
              <w:rPr>
                <w:rFonts w:hint="eastAsia"/>
                <w:color w:val="auto"/>
                <w:sz w:val="24"/>
                <w:szCs w:val="24"/>
                <w:highlight w:val="none"/>
                <w:lang w:val="en-US" w:eastAsia="zh-CN"/>
              </w:rPr>
              <w:t>。</w:t>
            </w:r>
          </w:p>
          <w:p w14:paraId="45A48E1A">
            <w:pPr>
              <w:numPr>
                <w:ilvl w:val="0"/>
                <w:numId w:val="8"/>
              </w:numPr>
              <w:adjustRightInd w:val="0"/>
              <w:snapToGrid w:val="0"/>
              <w:spacing w:line="360" w:lineRule="auto"/>
              <w:ind w:firstLine="480" w:firstLineChars="200"/>
              <w:rPr>
                <w:rFonts w:hint="default"/>
                <w:color w:val="auto"/>
                <w:sz w:val="24"/>
                <w:szCs w:val="24"/>
                <w:highlight w:val="none"/>
                <w:lang w:val="en-US" w:eastAsia="zh-CN"/>
              </w:rPr>
            </w:pPr>
            <w:r>
              <w:rPr>
                <w:rFonts w:hint="eastAsia"/>
                <w:color w:val="auto"/>
                <w:sz w:val="24"/>
                <w:szCs w:val="24"/>
                <w:highlight w:val="none"/>
                <w:lang w:val="en-US" w:eastAsia="zh-CN"/>
              </w:rPr>
              <w:t>清除施工河段沿线残留的</w:t>
            </w:r>
            <w:r>
              <w:rPr>
                <w:rFonts w:hint="eastAsia" w:ascii="Times New Roman" w:hAnsi="Times New Roman" w:eastAsia="宋体"/>
                <w:color w:val="auto"/>
                <w:sz w:val="24"/>
                <w:szCs w:val="24"/>
                <w:highlight w:val="none"/>
                <w:lang w:val="en-US" w:eastAsia="zh-CN"/>
              </w:rPr>
              <w:t>生活垃圾及建筑垃圾</w:t>
            </w:r>
            <w:r>
              <w:rPr>
                <w:rFonts w:hint="eastAsia"/>
                <w:color w:val="auto"/>
                <w:sz w:val="24"/>
                <w:szCs w:val="24"/>
                <w:highlight w:val="none"/>
                <w:lang w:val="en-US" w:eastAsia="zh-CN"/>
              </w:rPr>
              <w:t>。</w:t>
            </w:r>
          </w:p>
          <w:p w14:paraId="1E83C702">
            <w:pPr>
              <w:spacing w:line="240" w:lineRule="auto"/>
              <w:ind w:firstLine="0" w:firstLineChars="0"/>
              <w:rPr>
                <w:rFonts w:hint="default" w:ascii="Times New Roman" w:hAnsi="Times New Roman" w:eastAsia="黑体" w:cs="Times New Roman"/>
                <w:color w:val="auto"/>
                <w:sz w:val="30"/>
                <w:szCs w:val="30"/>
                <w:highlight w:val="none"/>
                <w:vertAlign w:val="baseline"/>
              </w:rPr>
            </w:pPr>
          </w:p>
        </w:tc>
      </w:tr>
      <w:tr w14:paraId="32BC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dxa"/>
            <w:shd w:val="clear" w:color="auto" w:fill="auto"/>
            <w:vAlign w:val="center"/>
          </w:tcPr>
          <w:p w14:paraId="4527199F">
            <w:pPr>
              <w:pStyle w:val="15"/>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运营期生态环境影响分析</w:t>
            </w:r>
          </w:p>
        </w:tc>
        <w:tc>
          <w:tcPr>
            <w:tcW w:w="8908" w:type="dxa"/>
            <w:vAlign w:val="top"/>
          </w:tcPr>
          <w:p w14:paraId="748E18EF">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4.3 运营期生态环境影响分析</w:t>
            </w:r>
          </w:p>
          <w:p w14:paraId="78B0930F">
            <w:pPr>
              <w:ind w:firstLine="480" w:firstLineChars="20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lang w:val="en-US" w:eastAsia="zh-CN"/>
              </w:rPr>
              <w:t>本项目属于河道防洪</w:t>
            </w:r>
            <w:r>
              <w:rPr>
                <w:rFonts w:hint="eastAsia" w:cs="Times New Roman"/>
                <w:b w:val="0"/>
                <w:bCs w:val="0"/>
                <w:color w:val="auto"/>
                <w:highlight w:val="none"/>
                <w:lang w:val="en-US" w:eastAsia="zh-CN"/>
              </w:rPr>
              <w:t>治理</w:t>
            </w:r>
            <w:r>
              <w:rPr>
                <w:rFonts w:hint="default" w:ascii="Times New Roman" w:hAnsi="Times New Roman" w:cs="Times New Roman"/>
                <w:b w:val="0"/>
                <w:bCs w:val="0"/>
                <w:color w:val="auto"/>
                <w:highlight w:val="none"/>
                <w:lang w:val="en-US" w:eastAsia="zh-CN"/>
              </w:rPr>
              <w:t>工程。营运期，项目自身无污染物产生。通过施工期实施的生态减缓措施，在生态系统自我修复作用下，</w:t>
            </w:r>
            <w:r>
              <w:rPr>
                <w:rFonts w:hint="eastAsia" w:cs="Times New Roman"/>
                <w:b w:val="0"/>
                <w:bCs w:val="0"/>
                <w:color w:val="auto"/>
                <w:highlight w:val="none"/>
                <w:lang w:val="en-US" w:eastAsia="zh-CN"/>
              </w:rPr>
              <w:t>营运期</w:t>
            </w:r>
            <w:r>
              <w:rPr>
                <w:rFonts w:hint="default" w:ascii="Times New Roman" w:hAnsi="Times New Roman" w:cs="Times New Roman"/>
                <w:b w:val="0"/>
                <w:bCs w:val="0"/>
                <w:color w:val="auto"/>
                <w:highlight w:val="none"/>
                <w:lang w:val="en-US" w:eastAsia="zh-CN"/>
              </w:rPr>
              <w:t>内生态系统将逐步恢复。</w:t>
            </w:r>
          </w:p>
          <w:p w14:paraId="07255039">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4.3.1 对水生生态及鱼类的影响</w:t>
            </w:r>
          </w:p>
          <w:p w14:paraId="004FCAB9">
            <w:pPr>
              <w:adjustRightInd w:val="0"/>
              <w:snapToGrid w:val="0"/>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（1）对水生生态的影响</w:t>
            </w:r>
          </w:p>
          <w:p w14:paraId="51542B70">
            <w:pPr>
              <w:pStyle w:val="3"/>
              <w:rPr>
                <w:rFonts w:hint="eastAsia"/>
                <w:color w:val="auto"/>
                <w:highlight w:val="none"/>
                <w:lang w:val="en-US" w:eastAsia="zh-CN"/>
              </w:rPr>
            </w:pPr>
            <w:r>
              <w:rPr>
                <w:rFonts w:hint="eastAsia"/>
                <w:color w:val="auto"/>
                <w:highlight w:val="none"/>
                <w:lang w:val="en-US" w:eastAsia="zh-CN"/>
              </w:rPr>
              <w:t>项目施工中将对河道局部产生一定的扰动，进而对</w:t>
            </w:r>
            <w:r>
              <w:rPr>
                <w:rFonts w:hint="default" w:ascii="Times New Roman" w:hAnsi="Times New Roman" w:cs="Times New Roman"/>
                <w:bCs/>
                <w:color w:val="auto"/>
                <w:highlight w:val="none"/>
              </w:rPr>
              <w:t>底栖动物、水生维管束植物的栖息生境</w:t>
            </w:r>
            <w:r>
              <w:rPr>
                <w:rFonts w:hint="eastAsia" w:cs="Times New Roman"/>
                <w:bCs/>
                <w:color w:val="auto"/>
                <w:highlight w:val="none"/>
                <w:lang w:val="en-US" w:eastAsia="zh-CN"/>
              </w:rPr>
              <w:t>有局部改变，产生一定的局部不利影响。项目建成后，可减少河道沿岸水土流失，改善水质，有利于河道</w:t>
            </w:r>
            <w:r>
              <w:rPr>
                <w:rFonts w:hint="default" w:ascii="Times New Roman" w:hAnsi="Times New Roman" w:cs="Times New Roman"/>
                <w:bCs/>
                <w:color w:val="auto"/>
                <w:highlight w:val="none"/>
              </w:rPr>
              <w:t>底栖动物、水生维管束植物</w:t>
            </w:r>
            <w:r>
              <w:rPr>
                <w:rFonts w:hint="eastAsia" w:cs="Times New Roman"/>
                <w:bCs/>
                <w:color w:val="auto"/>
                <w:highlight w:val="none"/>
                <w:lang w:val="en-US" w:eastAsia="zh-CN"/>
              </w:rPr>
              <w:t>的自我恢复及水生生态系统构建</w:t>
            </w:r>
            <w:r>
              <w:rPr>
                <w:rFonts w:hint="default" w:ascii="Times New Roman" w:hAnsi="Times New Roman" w:cs="Times New Roman"/>
                <w:bCs/>
                <w:color w:val="auto"/>
                <w:highlight w:val="none"/>
              </w:rPr>
              <w:t>。工程建成后，使工程区原来的河床底质结构发生变化，影响底栖动物、水生维管束植物的栖息生境</w:t>
            </w:r>
            <w:r>
              <w:rPr>
                <w:rFonts w:hint="eastAsia" w:cs="Times New Roman"/>
                <w:bCs/>
                <w:color w:val="auto"/>
                <w:highlight w:val="none"/>
                <w:lang w:eastAsia="zh-CN"/>
              </w:rPr>
              <w:t>。</w:t>
            </w:r>
            <w:r>
              <w:rPr>
                <w:rFonts w:hint="default" w:ascii="Times New Roman" w:hAnsi="Times New Roman" w:cs="Times New Roman"/>
                <w:bCs/>
                <w:color w:val="auto"/>
                <w:highlight w:val="none"/>
              </w:rPr>
              <w:t>项目采取的护坡、护岸形式均为生态护坡、护岸，</w:t>
            </w:r>
            <w:r>
              <w:rPr>
                <w:rFonts w:hint="eastAsia"/>
                <w:color w:val="auto"/>
                <w:highlight w:val="none"/>
                <w:lang w:val="en-US" w:eastAsia="zh-CN"/>
              </w:rPr>
              <w:t>减少了河道沿岸面源污染，改善了河道水质。</w:t>
            </w:r>
          </w:p>
          <w:p w14:paraId="19A8E22F">
            <w:pPr>
              <w:adjustRightInd w:val="0"/>
              <w:snapToGrid w:val="0"/>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（2）对鱼类的影响</w:t>
            </w:r>
          </w:p>
          <w:p w14:paraId="7730F909">
            <w:pPr>
              <w:rPr>
                <w:rFonts w:hint="eastAsia" w:ascii="Times New Roman" w:hAnsi="Times New Roman" w:eastAsia="宋体" w:cs="Times New Roman"/>
                <w:bCs/>
                <w:color w:val="auto"/>
                <w:highlight w:val="none"/>
                <w:lang w:val="en-US" w:eastAsia="zh-CN"/>
              </w:rPr>
            </w:pPr>
            <w:r>
              <w:rPr>
                <w:rFonts w:hint="eastAsia" w:cs="Times New Roman"/>
                <w:bCs/>
                <w:color w:val="auto"/>
                <w:highlight w:val="none"/>
                <w:lang w:val="en-US" w:eastAsia="zh-CN"/>
              </w:rPr>
              <w:t>项目评价段内主要为</w:t>
            </w:r>
            <w:r>
              <w:rPr>
                <w:rFonts w:hint="default" w:ascii="Arial" w:hAnsi="Arial" w:eastAsia="Arial" w:cs="Arial"/>
                <w:i w:val="0"/>
                <w:iCs w:val="0"/>
                <w:caps w:val="0"/>
                <w:color w:val="auto"/>
                <w:spacing w:val="0"/>
                <w:highlight w:val="none"/>
                <w:shd w:val="clear" w:fill="FFFFFF"/>
              </w:rPr>
              <w:t>青鱼、草鱼、鲢鱼和鳙鱼</w:t>
            </w:r>
            <w:r>
              <w:rPr>
                <w:rFonts w:hint="eastAsia" w:ascii="Arial" w:hAnsi="Arial" w:eastAsia="宋体" w:cs="Arial"/>
                <w:i w:val="0"/>
                <w:iCs w:val="0"/>
                <w:caps w:val="0"/>
                <w:color w:val="auto"/>
                <w:spacing w:val="0"/>
                <w:highlight w:val="none"/>
                <w:shd w:val="clear" w:fill="FFFFFF"/>
                <w:lang w:val="en-US" w:eastAsia="zh-CN"/>
              </w:rPr>
              <w:t>这</w:t>
            </w:r>
            <w:r>
              <w:rPr>
                <w:rFonts w:hint="eastAsia" w:cs="Times New Roman"/>
                <w:bCs/>
                <w:color w:val="auto"/>
                <w:highlight w:val="none"/>
                <w:lang w:val="en-US" w:eastAsia="zh-CN"/>
              </w:rPr>
              <w:t>四大家鱼，不涉及</w:t>
            </w:r>
            <w:r>
              <w:rPr>
                <w:rFonts w:hint="default" w:ascii="Times New Roman" w:hAnsi="Times New Roman" w:cs="Times New Roman"/>
                <w:color w:val="auto"/>
                <w:szCs w:val="21"/>
                <w:highlight w:val="none"/>
              </w:rPr>
              <w:t>鱼类等水生生物的洄游通道及“三场”</w:t>
            </w:r>
            <w:r>
              <w:rPr>
                <w:rFonts w:hint="eastAsia" w:cs="Times New Roman"/>
                <w:color w:val="auto"/>
                <w:szCs w:val="21"/>
                <w:highlight w:val="none"/>
                <w:lang w:eastAsia="zh-CN"/>
              </w:rPr>
              <w:t>。</w:t>
            </w:r>
          </w:p>
          <w:p w14:paraId="6FFD86E6">
            <w:pPr>
              <w:adjustRightInd w:val="0"/>
              <w:snapToGrid w:val="0"/>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工程建成运行后，区域防洪能力增强，有利于河势稳定，防止了冲刷对河流生境的影响。在河流生境得到改善的同时，间接有利于水体渔业产量提高，从而促进渔业资源的发展。</w:t>
            </w:r>
          </w:p>
          <w:p w14:paraId="754147C8">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snapToGrid w:val="0"/>
                <w:color w:val="auto"/>
                <w:sz w:val="24"/>
                <w:szCs w:val="22"/>
                <w:highlight w:val="none"/>
                <w:lang w:val="en-US" w:eastAsia="zh-CN" w:bidi="ar-SA"/>
              </w:rPr>
            </w:pPr>
            <w:r>
              <w:rPr>
                <w:rFonts w:hint="default" w:ascii="Times New Roman" w:hAnsi="Times New Roman" w:cs="Times New Roman"/>
                <w:bCs/>
                <w:color w:val="auto"/>
                <w:highlight w:val="none"/>
              </w:rPr>
              <w:t>项目</w:t>
            </w:r>
            <w:r>
              <w:rPr>
                <w:rFonts w:hint="eastAsia" w:cs="Times New Roman"/>
                <w:bCs/>
                <w:color w:val="auto"/>
                <w:highlight w:val="none"/>
                <w:lang w:val="en-US" w:eastAsia="zh-CN"/>
              </w:rPr>
              <w:t>施工期短</w:t>
            </w:r>
            <w:r>
              <w:rPr>
                <w:rFonts w:hint="default" w:ascii="Times New Roman" w:hAnsi="Times New Roman" w:cs="Times New Roman"/>
                <w:bCs/>
                <w:color w:val="auto"/>
                <w:highlight w:val="none"/>
              </w:rPr>
              <w:t>，对各工程河段底质、流速、流量、水温及透明度等一系列的水文因</w:t>
            </w:r>
            <w:r>
              <w:rPr>
                <w:rFonts w:hint="default" w:ascii="Times New Roman" w:hAnsi="Times New Roman" w:eastAsia="宋体" w:cs="Times New Roman"/>
                <w:snapToGrid w:val="0"/>
                <w:color w:val="auto"/>
                <w:sz w:val="24"/>
                <w:szCs w:val="22"/>
                <w:highlight w:val="none"/>
                <w:lang w:val="en-US" w:eastAsia="zh-CN" w:bidi="ar-SA"/>
              </w:rPr>
              <w:t>素影响较小</w:t>
            </w:r>
            <w:r>
              <w:rPr>
                <w:rFonts w:hint="eastAsia" w:ascii="Times New Roman" w:hAnsi="Times New Roman" w:eastAsia="宋体" w:cs="Times New Roman"/>
                <w:snapToGrid w:val="0"/>
                <w:color w:val="auto"/>
                <w:sz w:val="24"/>
                <w:szCs w:val="22"/>
                <w:highlight w:val="none"/>
                <w:lang w:val="en-US" w:eastAsia="zh-CN" w:bidi="ar-SA"/>
              </w:rPr>
              <w:t>。施工结束后，影响随之消失</w:t>
            </w:r>
            <w:r>
              <w:rPr>
                <w:rFonts w:hint="default" w:ascii="Times New Roman" w:hAnsi="Times New Roman" w:eastAsia="宋体" w:cs="Times New Roman"/>
                <w:snapToGrid w:val="0"/>
                <w:color w:val="auto"/>
                <w:sz w:val="24"/>
                <w:szCs w:val="22"/>
                <w:highlight w:val="none"/>
                <w:lang w:val="en-US" w:eastAsia="zh-CN" w:bidi="ar-SA"/>
              </w:rPr>
              <w:t>。</w:t>
            </w:r>
          </w:p>
          <w:p w14:paraId="7C85AD21">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snapToGrid w:val="0"/>
                <w:color w:val="auto"/>
                <w:sz w:val="24"/>
                <w:szCs w:val="22"/>
                <w:highlight w:val="none"/>
                <w:lang w:val="en-US" w:eastAsia="zh-CN" w:bidi="ar-SA"/>
              </w:rPr>
            </w:pPr>
            <w:r>
              <w:rPr>
                <w:rFonts w:hint="default" w:ascii="Times New Roman" w:hAnsi="Times New Roman" w:eastAsia="宋体" w:cs="Times New Roman"/>
                <w:snapToGrid w:val="0"/>
                <w:color w:val="auto"/>
                <w:sz w:val="24"/>
                <w:szCs w:val="22"/>
                <w:highlight w:val="none"/>
                <w:lang w:val="en-US" w:eastAsia="zh-CN" w:bidi="ar-SA"/>
              </w:rPr>
              <w:t>（3）对区域景观影响</w:t>
            </w:r>
          </w:p>
          <w:p w14:paraId="066A9FD5">
            <w:pPr>
              <w:pStyle w:val="3"/>
              <w:keepNext w:val="0"/>
              <w:keepLines w:val="0"/>
              <w:pageBreakBefore w:val="0"/>
              <w:widowControl w:val="0"/>
              <w:kinsoku/>
              <w:wordWrap/>
              <w:overflowPunct/>
              <w:topLinePunct w:val="0"/>
              <w:autoSpaceDE/>
              <w:autoSpaceDN/>
              <w:bidi w:val="0"/>
              <w:textAlignment w:val="auto"/>
              <w:rPr>
                <w:rFonts w:hint="eastAsia"/>
                <w:color w:val="auto"/>
                <w:highlight w:val="none"/>
                <w:lang w:val="en-US" w:eastAsia="zh-CN"/>
              </w:rPr>
            </w:pPr>
            <w:r>
              <w:rPr>
                <w:rFonts w:hint="eastAsia" w:ascii="Times New Roman" w:hAnsi="Times New Roman" w:eastAsia="宋体" w:cs="Times New Roman"/>
                <w:snapToGrid w:val="0"/>
                <w:color w:val="auto"/>
                <w:sz w:val="24"/>
                <w:szCs w:val="22"/>
                <w:highlight w:val="none"/>
                <w:lang w:val="en-US" w:eastAsia="zh-CN" w:bidi="ar-SA"/>
              </w:rPr>
              <w:t>河道施工段所在区域属于</w:t>
            </w:r>
            <w:r>
              <w:rPr>
                <w:rFonts w:hint="eastAsia"/>
                <w:color w:val="auto"/>
                <w:highlight w:val="none"/>
                <w:lang w:val="en-US" w:eastAsia="zh-CN"/>
              </w:rPr>
              <w:t>农村人居生态环境。目前河道沿岸损坏严重、河道淤积，杂草丛生，现有河道景观与区域人居环境不协调。项目实施后，在满足防洪要求下，同时改善了河道护岸护坡的自然景观，与区域人居环境协调。</w:t>
            </w:r>
          </w:p>
          <w:p w14:paraId="70DD3DD2">
            <w:pPr>
              <w:pStyle w:val="3"/>
              <w:rPr>
                <w:rFonts w:hint="default"/>
                <w:color w:val="auto"/>
                <w:highlight w:val="none"/>
                <w:lang w:val="en-US" w:eastAsia="zh-CN"/>
              </w:rPr>
            </w:pPr>
            <w:r>
              <w:rPr>
                <w:rFonts w:hint="eastAsia"/>
                <w:color w:val="auto"/>
                <w:highlight w:val="none"/>
                <w:lang w:val="en-US" w:eastAsia="zh-CN"/>
              </w:rPr>
              <w:t>因此，评价认为项目实施后，对区域景观呈正影响。</w:t>
            </w:r>
          </w:p>
          <w:p w14:paraId="2209186D">
            <w:pPr>
              <w:ind w:firstLine="0" w:firstLineChars="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4.3.2 对陆生生态的影响分析</w:t>
            </w:r>
          </w:p>
          <w:p w14:paraId="49B810A5">
            <w:pPr>
              <w:adjustRightInd w:val="0"/>
              <w:snapToGrid w:val="0"/>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（1）对陆生植物的影响分析</w:t>
            </w:r>
          </w:p>
          <w:p w14:paraId="6A68D989">
            <w:pPr>
              <w:adjustRightInd w:val="0"/>
              <w:snapToGrid w:val="0"/>
              <w:spacing w:line="360" w:lineRule="auto"/>
              <w:ind w:firstLine="480" w:firstLineChars="200"/>
              <w:rPr>
                <w:rFonts w:hint="eastAsia"/>
                <w:bCs/>
                <w:color w:val="auto"/>
                <w:sz w:val="24"/>
                <w:highlight w:val="none"/>
              </w:rPr>
            </w:pPr>
            <w:r>
              <w:rPr>
                <w:rFonts w:hint="eastAsia"/>
                <w:bCs/>
                <w:color w:val="auto"/>
                <w:sz w:val="24"/>
                <w:highlight w:val="none"/>
              </w:rPr>
              <w:t>工程运行期可有效提高区域堤防防洪能力，减少了洪水泛滥对陆生生境和植被的影响，有利于区域植被群落的相对稳定。</w:t>
            </w:r>
          </w:p>
          <w:p w14:paraId="55766E6E">
            <w:pPr>
              <w:adjustRightInd w:val="0"/>
              <w:snapToGrid w:val="0"/>
              <w:spacing w:line="360" w:lineRule="auto"/>
              <w:ind w:firstLine="480" w:firstLineChars="200"/>
              <w:rPr>
                <w:rFonts w:hint="eastAsia" w:eastAsia="宋体"/>
                <w:bCs/>
                <w:color w:val="auto"/>
                <w:sz w:val="24"/>
                <w:highlight w:val="none"/>
                <w:lang w:val="en-US" w:eastAsia="zh-CN"/>
              </w:rPr>
            </w:pPr>
            <w:r>
              <w:rPr>
                <w:rFonts w:hint="eastAsia"/>
                <w:color w:val="auto"/>
                <w:highlight w:val="none"/>
                <w:lang w:val="en-US" w:eastAsia="zh-CN"/>
              </w:rPr>
              <w:t>根据现场踏勘，植被分布在河道岸坡，主要为野生荒草地。项目岸坡施工将清除现有荒草地，对区域植被产生一定的不利影响。项目通过在岸坡合理规划种植绿化植被，可减缓项目对区域植被的影响</w:t>
            </w:r>
            <w:r>
              <w:rPr>
                <w:rFonts w:hint="eastAsia"/>
                <w:bCs/>
                <w:color w:val="auto"/>
                <w:sz w:val="24"/>
                <w:highlight w:val="none"/>
              </w:rPr>
              <w:t>。</w:t>
            </w:r>
          </w:p>
          <w:p w14:paraId="3EBE17AD">
            <w:pPr>
              <w:adjustRightInd w:val="0"/>
              <w:snapToGrid w:val="0"/>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（2）对陆生动物的影响分析</w:t>
            </w:r>
          </w:p>
          <w:p w14:paraId="6ABEEA5A">
            <w:pPr>
              <w:adjustRightInd w:val="0"/>
              <w:snapToGrid w:val="0"/>
              <w:ind w:firstLine="480" w:firstLineChars="200"/>
              <w:rPr>
                <w:rFonts w:hint="default" w:ascii="Times New Roman" w:hAnsi="Times New Roman" w:eastAsia="黑体" w:cs="Times New Roman"/>
                <w:color w:val="auto"/>
                <w:sz w:val="30"/>
                <w:szCs w:val="30"/>
                <w:highlight w:val="none"/>
                <w:vertAlign w:val="baseline"/>
              </w:rPr>
            </w:pPr>
            <w:r>
              <w:rPr>
                <w:rFonts w:hint="default" w:ascii="Times New Roman" w:hAnsi="Times New Roman" w:cs="Times New Roman"/>
                <w:bCs/>
                <w:color w:val="auto"/>
                <w:highlight w:val="none"/>
              </w:rPr>
              <w:t>工程实施后，被施工破坏的各种生境得到恢复，在施工期转移的动物重新回到场地内。施工结束后，动物重新回到原有栖息场所，人类活动对绿地中动物产生的影响较建设前无太多变化。</w:t>
            </w:r>
          </w:p>
        </w:tc>
      </w:tr>
      <w:tr w14:paraId="24CC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dxa"/>
            <w:shd w:val="clear" w:color="auto" w:fill="auto"/>
            <w:vAlign w:val="center"/>
          </w:tcPr>
          <w:p w14:paraId="518B5052">
            <w:pPr>
              <w:pStyle w:val="15"/>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选址选线合理性分析</w:t>
            </w:r>
          </w:p>
        </w:tc>
        <w:tc>
          <w:tcPr>
            <w:tcW w:w="8908" w:type="dxa"/>
            <w:vAlign w:val="center"/>
          </w:tcPr>
          <w:p w14:paraId="2070B911">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4.4 </w:t>
            </w:r>
            <w:r>
              <w:rPr>
                <w:rFonts w:hint="eastAsia" w:cs="Times New Roman"/>
                <w:b/>
                <w:bCs/>
                <w:color w:val="auto"/>
                <w:highlight w:val="none"/>
                <w:lang w:val="en-US" w:eastAsia="zh-CN"/>
              </w:rPr>
              <w:t>选址选线</w:t>
            </w:r>
            <w:r>
              <w:rPr>
                <w:rFonts w:hint="default" w:ascii="Times New Roman" w:hAnsi="Times New Roman" w:cs="Times New Roman"/>
                <w:b/>
                <w:bCs/>
                <w:color w:val="auto"/>
                <w:highlight w:val="none"/>
              </w:rPr>
              <w:t>合理性分析</w:t>
            </w:r>
          </w:p>
          <w:p w14:paraId="755FA3A6">
            <w:pPr>
              <w:pStyle w:val="3"/>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项目清河镇段及杨家段已经施工完。因此，本次评价不对该段开展选址选线合理性分析，仅对柳城河石河镇二郎段、福兴段、石河镇段、双拱场段进行分析。</w:t>
            </w:r>
          </w:p>
          <w:p w14:paraId="7761D529">
            <w:pPr>
              <w:pStyle w:val="3"/>
              <w:keepNext w:val="0"/>
              <w:keepLines w:val="0"/>
              <w:pageBreakBefore w:val="0"/>
              <w:widowControl w:val="0"/>
              <w:numPr>
                <w:ilvl w:val="0"/>
                <w:numId w:val="9"/>
              </w:numPr>
              <w:kinsoku/>
              <w:wordWrap/>
              <w:overflowPunct/>
              <w:topLinePunct w:val="0"/>
              <w:autoSpaceDE/>
              <w:autoSpaceDN/>
              <w:bidi w:val="0"/>
              <w:adjustRightInd/>
              <w:snapToGrid/>
              <w:ind w:leftChars="0" w:firstLine="480" w:firstLineChars="200"/>
              <w:textAlignment w:val="auto"/>
              <w:rPr>
                <w:rFonts w:hint="eastAsia"/>
                <w:color w:val="auto"/>
                <w:highlight w:val="none"/>
                <w:lang w:val="en-US" w:eastAsia="zh-CN"/>
              </w:rPr>
            </w:pPr>
            <w:r>
              <w:rPr>
                <w:rFonts w:hint="eastAsia"/>
                <w:color w:val="auto"/>
                <w:highlight w:val="none"/>
                <w:lang w:val="en-US" w:eastAsia="zh-CN"/>
              </w:rPr>
              <w:t>选线合理性分析</w:t>
            </w:r>
          </w:p>
          <w:p w14:paraId="75E8BF5E">
            <w:pPr>
              <w:pStyle w:val="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color w:val="auto"/>
                <w:highlight w:val="none"/>
                <w:lang w:val="en-US" w:eastAsia="zh-CN"/>
              </w:rPr>
            </w:pPr>
            <w:r>
              <w:rPr>
                <w:rFonts w:hint="eastAsia"/>
                <w:color w:val="auto"/>
                <w:highlight w:val="none"/>
                <w:lang w:val="en-US" w:eastAsia="zh-CN"/>
              </w:rPr>
              <w:t>本项目主要任务是对柳城河石河镇二郎段、福兴段、石河镇段、双拱场段进行防洪除涝治理，项目岸线布置均沿各工程河段现有河道布置。因此，评价认为项目岸线沿河道布置，选线合理。</w:t>
            </w:r>
          </w:p>
          <w:p w14:paraId="1912F636">
            <w:pPr>
              <w:pStyle w:val="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color w:val="auto"/>
                <w:highlight w:val="none"/>
                <w:lang w:val="en-US" w:eastAsia="zh-CN"/>
              </w:rPr>
            </w:pPr>
            <w:r>
              <w:rPr>
                <w:rFonts w:hint="eastAsia"/>
                <w:color w:val="auto"/>
                <w:highlight w:val="none"/>
                <w:lang w:val="en-US" w:eastAsia="zh-CN"/>
              </w:rPr>
              <w:t>2、临时工程选址合理性分析</w:t>
            </w:r>
          </w:p>
          <w:p w14:paraId="56F1FBE6">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（1）</w:t>
            </w:r>
            <w:r>
              <w:rPr>
                <w:rFonts w:hint="eastAsia" w:cs="Times New Roman"/>
                <w:color w:val="auto"/>
                <w:highlight w:val="none"/>
                <w:lang w:eastAsia="zh-CN"/>
              </w:rPr>
              <w:t>施工场地</w:t>
            </w:r>
          </w:p>
          <w:p w14:paraId="259B4BDC">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①外环境关系</w:t>
            </w:r>
          </w:p>
          <w:p w14:paraId="50FC5D09">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ascii="Times New Roman" w:hAnsi="Times New Roman" w:eastAsia="宋体" w:cs="Times New Roman"/>
                <w:color w:val="auto"/>
                <w:szCs w:val="24"/>
                <w:highlight w:val="none"/>
                <w:lang w:val="en-US" w:eastAsia="zh-CN"/>
              </w:rPr>
            </w:pPr>
            <w:r>
              <w:rPr>
                <w:rFonts w:hint="default" w:ascii="Times New Roman" w:hAnsi="Times New Roman" w:cs="Times New Roman"/>
                <w:color w:val="auto"/>
                <w:highlight w:val="none"/>
              </w:rPr>
              <w:t>本项目</w:t>
            </w:r>
            <w:r>
              <w:rPr>
                <w:rFonts w:hint="eastAsia" w:cs="Times New Roman"/>
                <w:color w:val="auto"/>
                <w:highlight w:val="none"/>
                <w:lang w:val="en-US" w:eastAsia="zh-CN"/>
              </w:rPr>
              <w:t>在石河镇</w:t>
            </w:r>
            <w:r>
              <w:rPr>
                <w:rFonts w:hint="default" w:ascii="Times New Roman" w:hAnsi="Times New Roman" w:cs="Times New Roman"/>
                <w:color w:val="auto"/>
                <w:szCs w:val="24"/>
                <w:highlight w:val="none"/>
              </w:rPr>
              <w:t>设置</w:t>
            </w:r>
            <w:r>
              <w:rPr>
                <w:rFonts w:hint="eastAsia" w:cs="Times New Roman"/>
                <w:color w:val="auto"/>
                <w:szCs w:val="24"/>
                <w:highlight w:val="none"/>
                <w:lang w:val="en-US" w:eastAsia="zh-CN"/>
              </w:rPr>
              <w:t>1</w:t>
            </w:r>
            <w:r>
              <w:rPr>
                <w:rFonts w:hint="default" w:ascii="Times New Roman" w:hAnsi="Times New Roman" w:cs="Times New Roman"/>
                <w:color w:val="auto"/>
                <w:szCs w:val="24"/>
                <w:highlight w:val="none"/>
              </w:rPr>
              <w:t>个</w:t>
            </w:r>
            <w:r>
              <w:rPr>
                <w:rFonts w:hint="eastAsia" w:cs="Times New Roman"/>
                <w:color w:val="auto"/>
                <w:szCs w:val="24"/>
                <w:highlight w:val="none"/>
                <w:lang w:val="en-US" w:eastAsia="zh-CN"/>
              </w:rPr>
              <w:t>1#</w:t>
            </w:r>
            <w:r>
              <w:rPr>
                <w:rFonts w:hint="eastAsia" w:cs="Times New Roman"/>
                <w:color w:val="auto"/>
                <w:szCs w:val="24"/>
                <w:highlight w:val="none"/>
                <w:lang w:eastAsia="zh-CN"/>
              </w:rPr>
              <w:t>施工场地</w:t>
            </w:r>
            <w:r>
              <w:rPr>
                <w:rFonts w:hint="default" w:ascii="Times New Roman" w:hAnsi="Times New Roman" w:cs="Times New Roman"/>
                <w:color w:val="auto"/>
                <w:szCs w:val="24"/>
                <w:highlight w:val="none"/>
              </w:rPr>
              <w:t>，</w:t>
            </w:r>
            <w:r>
              <w:rPr>
                <w:rFonts w:hint="default" w:ascii="Times New Roman" w:hAnsi="Times New Roman" w:cs="Times New Roman"/>
                <w:color w:val="auto"/>
                <w:sz w:val="24"/>
                <w:szCs w:val="24"/>
                <w:highlight w:val="none"/>
                <w:lang w:val="en-US" w:eastAsia="zh-CN"/>
              </w:rPr>
              <w:t>设置在</w:t>
            </w:r>
            <w:r>
              <w:rPr>
                <w:rFonts w:hint="eastAsia" w:cs="Times New Roman"/>
                <w:color w:val="auto"/>
                <w:sz w:val="24"/>
                <w:szCs w:val="24"/>
                <w:highlight w:val="none"/>
                <w:lang w:val="en-US" w:eastAsia="zh-CN"/>
              </w:rPr>
              <w:t>石河镇玉子铺村</w:t>
            </w:r>
            <w:r>
              <w:rPr>
                <w:rFonts w:hint="default" w:ascii="Times New Roman" w:hAnsi="Times New Roman" w:cs="Times New Roman"/>
                <w:color w:val="auto"/>
                <w:sz w:val="24"/>
                <w:szCs w:val="24"/>
                <w:highlight w:val="none"/>
              </w:rPr>
              <w:t>，临时占地面积</w:t>
            </w:r>
            <w:r>
              <w:rPr>
                <w:rFonts w:hint="eastAsia" w:ascii="Times New Roman" w:hAnsi="Times New Roman" w:cs="Times New Roman"/>
                <w:color w:val="auto"/>
                <w:sz w:val="24"/>
                <w:szCs w:val="24"/>
                <w:highlight w:val="none"/>
                <w:lang w:eastAsia="zh-CN"/>
              </w:rPr>
              <w:t>约</w:t>
            </w: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00</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r>
              <w:rPr>
                <w:rFonts w:hint="eastAsia" w:cs="Times New Roman"/>
                <w:color w:val="auto"/>
                <w:szCs w:val="24"/>
                <w:highlight w:val="none"/>
                <w:lang w:eastAsia="zh-CN"/>
              </w:rPr>
              <w:t>施工场地</w:t>
            </w:r>
            <w:r>
              <w:rPr>
                <w:rFonts w:hint="eastAsia" w:cs="Times New Roman"/>
                <w:color w:val="auto"/>
                <w:szCs w:val="24"/>
                <w:highlight w:val="none"/>
                <w:lang w:val="en-US" w:eastAsia="zh-CN"/>
              </w:rPr>
              <w:t>南侧为道路</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北侧、东北侧均为林地草地和居民点，西侧、东侧为林地草地</w:t>
            </w:r>
            <w:r>
              <w:rPr>
                <w:rFonts w:hint="default" w:ascii="Times New Roman" w:hAnsi="Times New Roman" w:cs="Times New Roman"/>
                <w:color w:val="auto"/>
                <w:szCs w:val="24"/>
                <w:highlight w:val="none"/>
              </w:rPr>
              <w:t>，距离最近的居民点</w:t>
            </w:r>
            <w:r>
              <w:rPr>
                <w:rFonts w:hint="eastAsia" w:cs="Times New Roman"/>
                <w:color w:val="auto"/>
                <w:szCs w:val="24"/>
                <w:highlight w:val="none"/>
                <w:lang w:val="en-US" w:eastAsia="zh-CN"/>
              </w:rPr>
              <w:t>在东北侧8m处</w:t>
            </w:r>
            <w:r>
              <w:rPr>
                <w:rFonts w:hint="default" w:ascii="Times New Roman" w:hAnsi="Times New Roman" w:cs="Times New Roman"/>
                <w:color w:val="auto"/>
                <w:szCs w:val="24"/>
                <w:highlight w:val="none"/>
              </w:rPr>
              <w:t>。</w:t>
            </w:r>
          </w:p>
          <w:p w14:paraId="176B472B">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②合理性分析</w:t>
            </w:r>
          </w:p>
          <w:p w14:paraId="0452ACAD">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根据现场勘查可知，项目</w:t>
            </w:r>
            <w:r>
              <w:rPr>
                <w:rFonts w:hint="eastAsia" w:cs="Times New Roman"/>
                <w:color w:val="auto"/>
                <w:highlight w:val="none"/>
                <w:lang w:val="en-US" w:eastAsia="zh-CN"/>
              </w:rPr>
              <w:t>的</w:t>
            </w:r>
            <w:r>
              <w:rPr>
                <w:rFonts w:hint="eastAsia" w:cs="Times New Roman"/>
                <w:color w:val="auto"/>
                <w:highlight w:val="none"/>
                <w:lang w:eastAsia="zh-CN"/>
              </w:rPr>
              <w:t>施工场地</w:t>
            </w:r>
            <w:r>
              <w:rPr>
                <w:rFonts w:hint="default" w:ascii="Times New Roman" w:hAnsi="Times New Roman" w:cs="Times New Roman"/>
                <w:color w:val="auto"/>
                <w:highlight w:val="none"/>
              </w:rPr>
              <w:t>选址四周50m范围</w:t>
            </w:r>
            <w:r>
              <w:rPr>
                <w:rFonts w:hint="eastAsia" w:cs="Times New Roman"/>
                <w:color w:val="auto"/>
                <w:highlight w:val="none"/>
                <w:lang w:val="en-US" w:eastAsia="zh-CN"/>
              </w:rPr>
              <w:t>内</w:t>
            </w:r>
            <w:r>
              <w:rPr>
                <w:rFonts w:hint="default" w:ascii="Times New Roman" w:hAnsi="Times New Roman" w:cs="Times New Roman"/>
                <w:color w:val="auto"/>
                <w:highlight w:val="none"/>
              </w:rPr>
              <w:t>距离最近的居民点</w:t>
            </w:r>
            <w:r>
              <w:rPr>
                <w:rFonts w:hint="eastAsia" w:cs="Times New Roman"/>
                <w:color w:val="auto"/>
                <w:highlight w:val="none"/>
                <w:lang w:val="en-US" w:eastAsia="zh-CN"/>
              </w:rPr>
              <w:t>在8m处</w:t>
            </w:r>
            <w:r>
              <w:rPr>
                <w:rFonts w:hint="eastAsia" w:cs="Times New Roman"/>
                <w:color w:val="auto"/>
                <w:highlight w:val="none"/>
                <w:lang w:eastAsia="zh-CN"/>
              </w:rPr>
              <w:t>。</w:t>
            </w:r>
            <w:r>
              <w:rPr>
                <w:rFonts w:hint="eastAsia" w:cs="Times New Roman"/>
                <w:color w:val="auto"/>
                <w:highlight w:val="none"/>
                <w:lang w:val="en-US" w:eastAsia="zh-CN"/>
              </w:rPr>
              <w:t>施工期</w:t>
            </w:r>
            <w:r>
              <w:rPr>
                <w:rFonts w:hint="default" w:ascii="Times New Roman" w:hAnsi="Times New Roman" w:cs="Times New Roman"/>
                <w:color w:val="auto"/>
                <w:highlight w:val="none"/>
              </w:rPr>
              <w:t>加强施工管理</w:t>
            </w:r>
            <w:r>
              <w:rPr>
                <w:rFonts w:hint="eastAsia" w:cs="Times New Roman"/>
                <w:color w:val="auto"/>
                <w:highlight w:val="none"/>
                <w:lang w:eastAsia="zh-CN"/>
              </w:rPr>
              <w:t>；</w:t>
            </w:r>
            <w:r>
              <w:rPr>
                <w:rFonts w:hint="default" w:ascii="Times New Roman" w:hAnsi="Times New Roman" w:cs="Times New Roman"/>
                <w:color w:val="auto"/>
                <w:highlight w:val="none"/>
              </w:rPr>
              <w:t>合理安排施工时间，禁止夜间施工；在居民集中的施工段，在人们睡眠休息时间</w:t>
            </w:r>
            <w:r>
              <w:rPr>
                <w:rFonts w:hint="eastAsia" w:cs="Times New Roman"/>
                <w:color w:val="auto"/>
                <w:highlight w:val="none"/>
                <w:lang w:val="en-US" w:eastAsia="zh-CN"/>
              </w:rPr>
              <w:t>避免</w:t>
            </w:r>
            <w:r>
              <w:rPr>
                <w:rFonts w:hint="default" w:ascii="Times New Roman" w:hAnsi="Times New Roman" w:cs="Times New Roman"/>
                <w:color w:val="auto"/>
                <w:highlight w:val="none"/>
              </w:rPr>
              <w:t>施工；合理安排施工工序，对同一施工段涉及多项施工内容时，避开同步施工，分项施工</w:t>
            </w:r>
            <w:r>
              <w:rPr>
                <w:rFonts w:hint="eastAsia" w:cs="Times New Roman"/>
                <w:color w:val="auto"/>
                <w:highlight w:val="none"/>
                <w:lang w:eastAsia="zh-CN"/>
              </w:rPr>
              <w:t>。</w:t>
            </w:r>
            <w:r>
              <w:rPr>
                <w:rFonts w:hint="eastAsia" w:cs="Times New Roman"/>
                <w:color w:val="auto"/>
                <w:highlight w:val="none"/>
                <w:lang w:val="en-US" w:eastAsia="zh-CN"/>
              </w:rPr>
              <w:t>通过采取上述措施后，</w:t>
            </w:r>
            <w:r>
              <w:rPr>
                <w:rFonts w:hint="default" w:ascii="Times New Roman" w:hAnsi="Times New Roman" w:cs="Times New Roman"/>
                <w:color w:val="auto"/>
                <w:highlight w:val="none"/>
              </w:rPr>
              <w:t>对农户影响较小，且施工期影响短暂，随着施工期的结束而结束。</w:t>
            </w:r>
          </w:p>
          <w:p w14:paraId="0848F56A">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间挖掘机、推土机、自卸汽车等机械车辆仅在早、晚期间进出施工机械停放场，产生的扬尘、噪声影响时段较短，通过洒水降尘、合理安排施工时间，禁止夜间施工等措施降低施工机械进出施工区对周边居民、大气环境及周边声环境的影响。施工人员生活污水通过租住民房现有生活污水处理设施处理后用作农田施肥，不外排；施工机械和运输车辆冲洗废水</w:t>
            </w:r>
            <w:r>
              <w:rPr>
                <w:rFonts w:hint="eastAsia" w:ascii="Times New Roman" w:hAnsi="Times New Roman" w:cs="Times New Roman"/>
                <w:color w:val="auto"/>
                <w:highlight w:val="none"/>
                <w:lang w:eastAsia="zh-CN"/>
              </w:rPr>
              <w:t>、</w:t>
            </w:r>
            <w:r>
              <w:rPr>
                <w:rFonts w:hint="eastAsia" w:cs="Times New Roman"/>
                <w:color w:val="auto"/>
                <w:szCs w:val="21"/>
                <w:highlight w:val="none"/>
                <w:lang w:eastAsia="zh-CN"/>
              </w:rPr>
              <w:t>拌和</w:t>
            </w:r>
            <w:r>
              <w:rPr>
                <w:rFonts w:hint="default" w:ascii="Times New Roman" w:hAnsi="Times New Roman" w:cs="Times New Roman"/>
                <w:color w:val="auto"/>
                <w:szCs w:val="21"/>
                <w:highlight w:val="none"/>
              </w:rPr>
              <w:t>系统冲洗废水</w:t>
            </w:r>
            <w:r>
              <w:rPr>
                <w:rFonts w:hint="eastAsia" w:ascii="Times New Roman" w:hAnsi="Times New Roman" w:cs="Times New Roman"/>
                <w:color w:val="auto"/>
                <w:szCs w:val="21"/>
                <w:highlight w:val="none"/>
                <w:lang w:val="en-US" w:eastAsia="zh-CN"/>
              </w:rPr>
              <w:t>等</w:t>
            </w:r>
            <w:r>
              <w:rPr>
                <w:rFonts w:hint="default" w:ascii="Times New Roman" w:hAnsi="Times New Roman" w:cs="Times New Roman"/>
                <w:color w:val="auto"/>
                <w:highlight w:val="none"/>
              </w:rPr>
              <w:t>施工废水通过沉淀池处理后用于洒水降尘；</w:t>
            </w:r>
            <w:r>
              <w:rPr>
                <w:rFonts w:hint="eastAsia" w:cs="Times New Roman"/>
                <w:color w:val="auto"/>
                <w:sz w:val="24"/>
                <w:szCs w:val="24"/>
                <w:highlight w:val="none"/>
                <w:lang w:val="en-US" w:eastAsia="zh-CN"/>
              </w:rPr>
              <w:t>基坑渗水经</w:t>
            </w:r>
            <w:r>
              <w:rPr>
                <w:rFonts w:hint="default" w:ascii="Times New Roman" w:hAnsi="Times New Roman" w:cs="Times New Roman"/>
                <w:color w:val="auto"/>
                <w:sz w:val="24"/>
                <w:szCs w:val="24"/>
                <w:highlight w:val="none"/>
              </w:rPr>
              <w:t>集水井收集</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由潜污泵抽排至沉淀池</w:t>
            </w:r>
            <w:r>
              <w:rPr>
                <w:rFonts w:hint="eastAsia" w:ascii="Times New Roman" w:hAnsi="Times New Roman" w:cs="Times New Roman"/>
                <w:color w:val="auto"/>
                <w:sz w:val="24"/>
                <w:szCs w:val="24"/>
                <w:highlight w:val="none"/>
                <w:lang w:val="en-US" w:eastAsia="zh-CN"/>
              </w:rPr>
              <w:t>处理</w:t>
            </w:r>
            <w:r>
              <w:rPr>
                <w:rFonts w:hint="default" w:ascii="Times New Roman" w:hAnsi="Times New Roman" w:cs="Times New Roman"/>
                <w:color w:val="auto"/>
                <w:sz w:val="24"/>
                <w:szCs w:val="24"/>
                <w:highlight w:val="none"/>
                <w:lang w:val="fr-FR" w:eastAsia="zh-CN"/>
              </w:rPr>
              <w:t>后</w:t>
            </w:r>
            <w:r>
              <w:rPr>
                <w:rFonts w:hint="default" w:ascii="Times New Roman" w:hAnsi="Times New Roman" w:cs="Times New Roman"/>
                <w:color w:val="auto"/>
                <w:sz w:val="24"/>
                <w:szCs w:val="24"/>
                <w:highlight w:val="none"/>
                <w:lang w:val="en-US" w:eastAsia="zh-CN"/>
              </w:rPr>
              <w:t>再由</w:t>
            </w:r>
            <w:r>
              <w:rPr>
                <w:rFonts w:hint="default" w:ascii="Times New Roman" w:hAnsi="Times New Roman" w:cs="Times New Roman"/>
                <w:color w:val="auto"/>
                <w:sz w:val="24"/>
                <w:szCs w:val="24"/>
                <w:highlight w:val="none"/>
                <w:lang w:val="fr-FR" w:eastAsia="zh-CN"/>
              </w:rPr>
              <w:t>清水泵</w:t>
            </w:r>
            <w:r>
              <w:rPr>
                <w:rFonts w:hint="eastAsia" w:ascii="Times New Roman" w:hAnsi="Times New Roman" w:cs="Times New Roman"/>
                <w:color w:val="auto"/>
                <w:sz w:val="24"/>
                <w:szCs w:val="24"/>
                <w:highlight w:val="none"/>
                <w:lang w:val="fr-FR" w:eastAsia="zh-CN"/>
              </w:rPr>
              <w:t>排入河流</w:t>
            </w:r>
            <w:r>
              <w:rPr>
                <w:rFonts w:hint="eastAsia" w:cs="Times New Roman"/>
                <w:color w:val="auto"/>
                <w:sz w:val="24"/>
                <w:szCs w:val="24"/>
                <w:highlight w:val="none"/>
                <w:lang w:eastAsia="zh-CN"/>
              </w:rPr>
              <w:t>；</w:t>
            </w:r>
            <w:r>
              <w:rPr>
                <w:rFonts w:hint="default" w:ascii="Times New Roman" w:hAnsi="Times New Roman" w:cs="Times New Roman"/>
                <w:color w:val="auto"/>
                <w:highlight w:val="none"/>
              </w:rPr>
              <w:t>施工扬尘通过洒水降尘的措施处理，拌和粉尘采取喷淋降尘的措施；施工人员生活垃圾交由环卫部门定期清运处置。</w:t>
            </w:r>
          </w:p>
          <w:p w14:paraId="20A22E49">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综上，在采取严格的环保措施后</w:t>
            </w:r>
            <w:r>
              <w:rPr>
                <w:rFonts w:hint="eastAsia" w:cs="Times New Roman"/>
                <w:color w:val="auto"/>
                <w:highlight w:val="none"/>
                <w:lang w:eastAsia="zh-CN"/>
              </w:rPr>
              <w:t>施工场地</w:t>
            </w:r>
            <w:r>
              <w:rPr>
                <w:rFonts w:hint="default" w:ascii="Times New Roman" w:hAnsi="Times New Roman" w:cs="Times New Roman"/>
                <w:color w:val="auto"/>
                <w:highlight w:val="none"/>
              </w:rPr>
              <w:t>的运行对周围居民影响较小</w:t>
            </w:r>
            <w:r>
              <w:rPr>
                <w:rFonts w:hint="eastAsia" w:cs="Times New Roman"/>
                <w:color w:val="auto"/>
                <w:highlight w:val="none"/>
                <w:lang w:eastAsia="zh-CN"/>
              </w:rPr>
              <w:t>，</w:t>
            </w:r>
            <w:r>
              <w:rPr>
                <w:rFonts w:hint="eastAsia" w:cs="Times New Roman"/>
                <w:color w:val="auto"/>
                <w:highlight w:val="none"/>
                <w:lang w:val="en-US" w:eastAsia="zh-CN"/>
              </w:rPr>
              <w:t>施工作业区的运行</w:t>
            </w:r>
            <w:r>
              <w:rPr>
                <w:rFonts w:hint="default" w:ascii="Times New Roman" w:hAnsi="Times New Roman" w:cs="Times New Roman"/>
                <w:color w:val="auto"/>
                <w:highlight w:val="none"/>
              </w:rPr>
              <w:t>对河流影响较小，故选址合理。</w:t>
            </w:r>
          </w:p>
          <w:p w14:paraId="528A9FBE">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（2）临时堆料场</w:t>
            </w:r>
          </w:p>
          <w:p w14:paraId="0028F770">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①外环境关系</w:t>
            </w:r>
          </w:p>
          <w:p w14:paraId="6AB5961A">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本项目在</w:t>
            </w:r>
            <w:r>
              <w:rPr>
                <w:rFonts w:hint="eastAsia" w:cs="Times New Roman"/>
                <w:color w:val="auto"/>
                <w:highlight w:val="none"/>
                <w:lang w:val="en-US" w:eastAsia="zh-CN"/>
              </w:rPr>
              <w:t>1#</w:t>
            </w:r>
            <w:r>
              <w:rPr>
                <w:rFonts w:hint="eastAsia" w:cs="Times New Roman"/>
                <w:color w:val="auto"/>
                <w:highlight w:val="none"/>
                <w:lang w:eastAsia="zh-CN"/>
              </w:rPr>
              <w:t>施工场地</w:t>
            </w:r>
            <w:r>
              <w:rPr>
                <w:rFonts w:hint="eastAsia" w:cs="Times New Roman"/>
                <w:color w:val="auto"/>
                <w:highlight w:val="none"/>
                <w:lang w:val="en-US" w:eastAsia="zh-CN"/>
              </w:rPr>
              <w:t>内</w:t>
            </w:r>
            <w:r>
              <w:rPr>
                <w:rFonts w:hint="default" w:ascii="Times New Roman" w:hAnsi="Times New Roman" w:cs="Times New Roman"/>
                <w:color w:val="auto"/>
                <w:highlight w:val="none"/>
              </w:rPr>
              <w:t>设</w:t>
            </w:r>
            <w:r>
              <w:rPr>
                <w:rFonts w:hint="default" w:ascii="Times New Roman" w:hAnsi="Times New Roman" w:cs="Times New Roman"/>
                <w:color w:val="auto"/>
                <w:szCs w:val="24"/>
                <w:highlight w:val="none"/>
              </w:rPr>
              <w:t>1处临时堆料场，</w:t>
            </w:r>
            <w:r>
              <w:rPr>
                <w:rFonts w:hint="eastAsia"/>
                <w:color w:val="auto"/>
                <w:sz w:val="24"/>
                <w:szCs w:val="24"/>
                <w:highlight w:val="none"/>
                <w:lang w:val="en-US" w:eastAsia="zh-CN"/>
              </w:rPr>
              <w:t>场内分别设置</w:t>
            </w:r>
            <w:r>
              <w:rPr>
                <w:rFonts w:hint="default" w:ascii="Times New Roman" w:hAnsi="Times New Roman" w:cs="Times New Roman"/>
                <w:color w:val="auto"/>
                <w:sz w:val="24"/>
                <w:szCs w:val="24"/>
                <w:highlight w:val="none"/>
              </w:rPr>
              <w:t>水泥、砂石</w:t>
            </w:r>
            <w:r>
              <w:rPr>
                <w:rFonts w:hint="eastAsia"/>
                <w:color w:val="auto"/>
                <w:sz w:val="24"/>
                <w:szCs w:val="24"/>
                <w:highlight w:val="none"/>
                <w:lang w:val="en-US" w:eastAsia="zh-CN"/>
              </w:rPr>
              <w:t>、表土等堆场，</w:t>
            </w:r>
            <w:r>
              <w:rPr>
                <w:rFonts w:hint="default" w:ascii="Times New Roman" w:hAnsi="Times New Roman" w:cs="Times New Roman"/>
                <w:color w:val="auto"/>
                <w:szCs w:val="24"/>
                <w:highlight w:val="none"/>
              </w:rPr>
              <w:t>占地类型为</w:t>
            </w:r>
            <w:r>
              <w:rPr>
                <w:rFonts w:hint="eastAsia" w:cs="Times New Roman"/>
                <w:color w:val="auto"/>
                <w:szCs w:val="24"/>
                <w:highlight w:val="none"/>
                <w:lang w:val="en-US" w:eastAsia="zh-CN"/>
              </w:rPr>
              <w:t>林地草地，</w:t>
            </w:r>
            <w:r>
              <w:rPr>
                <w:rFonts w:hint="default" w:ascii="Times New Roman" w:hAnsi="Times New Roman" w:cs="Times New Roman"/>
                <w:color w:val="auto"/>
                <w:szCs w:val="24"/>
                <w:highlight w:val="none"/>
              </w:rPr>
              <w:t>占地面积</w:t>
            </w:r>
            <w:r>
              <w:rPr>
                <w:rFonts w:hint="eastAsia" w:cs="Times New Roman"/>
                <w:color w:val="auto"/>
                <w:szCs w:val="24"/>
                <w:highlight w:val="none"/>
                <w:lang w:val="en-US" w:eastAsia="zh-CN"/>
              </w:rPr>
              <w:t>为3</w:t>
            </w:r>
            <w:r>
              <w:rPr>
                <w:rFonts w:hint="default" w:ascii="Times New Roman" w:hAnsi="Times New Roman" w:cs="Times New Roman"/>
                <w:color w:val="auto"/>
                <w:szCs w:val="24"/>
                <w:highlight w:val="none"/>
              </w:rPr>
              <w:t>00m</w:t>
            </w:r>
            <w:r>
              <w:rPr>
                <w:rFonts w:hint="default" w:ascii="Times New Roman" w:hAnsi="Times New Roman" w:cs="Times New Roman"/>
                <w:color w:val="auto"/>
                <w:szCs w:val="24"/>
                <w:highlight w:val="none"/>
                <w:vertAlign w:val="superscript"/>
              </w:rPr>
              <w:t>2</w:t>
            </w:r>
            <w:r>
              <w:rPr>
                <w:rFonts w:hint="default" w:ascii="Times New Roman" w:hAnsi="Times New Roman" w:cs="Times New Roman"/>
                <w:color w:val="auto"/>
                <w:szCs w:val="24"/>
                <w:highlight w:val="none"/>
              </w:rPr>
              <w:t>。临时堆料场</w:t>
            </w:r>
            <w:r>
              <w:rPr>
                <w:rFonts w:hint="eastAsia" w:cs="Times New Roman"/>
                <w:color w:val="auto"/>
                <w:szCs w:val="24"/>
                <w:highlight w:val="none"/>
                <w:lang w:val="en-US" w:eastAsia="zh-CN"/>
              </w:rPr>
              <w:t>南侧为道路</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北侧、东北侧均为林地草地和居民点，西侧、东侧为林地草地</w:t>
            </w:r>
            <w:r>
              <w:rPr>
                <w:rFonts w:hint="default" w:ascii="Times New Roman" w:hAnsi="Times New Roman" w:cs="Times New Roman"/>
                <w:color w:val="auto"/>
                <w:szCs w:val="24"/>
                <w:highlight w:val="none"/>
              </w:rPr>
              <w:t>，距离最近的居民点</w:t>
            </w:r>
            <w:r>
              <w:rPr>
                <w:rFonts w:hint="eastAsia" w:cs="Times New Roman"/>
                <w:color w:val="auto"/>
                <w:szCs w:val="24"/>
                <w:highlight w:val="none"/>
                <w:lang w:val="en-US" w:eastAsia="zh-CN"/>
              </w:rPr>
              <w:t>在东北侧15m处</w:t>
            </w:r>
            <w:r>
              <w:rPr>
                <w:rFonts w:hint="default" w:ascii="Times New Roman" w:hAnsi="Times New Roman" w:cs="Times New Roman"/>
                <w:color w:val="auto"/>
                <w:szCs w:val="24"/>
                <w:highlight w:val="none"/>
              </w:rPr>
              <w:t>。临时堆料场不涉及基本农田。</w:t>
            </w:r>
          </w:p>
          <w:p w14:paraId="38F7659F">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②合理性分析</w:t>
            </w:r>
          </w:p>
          <w:p w14:paraId="7DEEC38C">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根据现</w:t>
            </w:r>
            <w:r>
              <w:rPr>
                <w:rFonts w:hint="default" w:ascii="Times New Roman" w:hAnsi="Times New Roman" w:eastAsia="宋体" w:cs="Times New Roman"/>
                <w:color w:val="auto"/>
                <w:highlight w:val="none"/>
              </w:rPr>
              <w:t>场勘查可知，项目临时堆料场选址四周50m范围</w:t>
            </w:r>
            <w:r>
              <w:rPr>
                <w:rFonts w:hint="default" w:ascii="Times New Roman" w:hAnsi="Times New Roman" w:eastAsia="宋体" w:cs="Times New Roman"/>
                <w:color w:val="auto"/>
                <w:highlight w:val="none"/>
                <w:lang w:val="en-US" w:eastAsia="zh-CN"/>
              </w:rPr>
              <w:t>内</w:t>
            </w:r>
            <w:r>
              <w:rPr>
                <w:rFonts w:hint="default" w:ascii="Times New Roman" w:hAnsi="Times New Roman" w:eastAsia="宋体" w:cs="Times New Roman"/>
                <w:color w:val="auto"/>
                <w:highlight w:val="none"/>
              </w:rPr>
              <w:t>距离最近的居民点</w:t>
            </w:r>
            <w:r>
              <w:rPr>
                <w:rFonts w:hint="default" w:ascii="Times New Roman" w:hAnsi="Times New Roman" w:eastAsia="宋体" w:cs="Times New Roman"/>
                <w:color w:val="auto"/>
                <w:highlight w:val="none"/>
                <w:lang w:val="en-US" w:eastAsia="zh-CN"/>
              </w:rPr>
              <w:t>在</w:t>
            </w:r>
            <w:r>
              <w:rPr>
                <w:rFonts w:hint="eastAsia" w:ascii="Times New Roman" w:hAnsi="Times New Roman" w:eastAsia="宋体" w:cs="Times New Roman"/>
                <w:color w:val="auto"/>
                <w:highlight w:val="none"/>
                <w:lang w:val="en-US" w:eastAsia="zh-CN"/>
              </w:rPr>
              <w:t>15</w:t>
            </w:r>
            <w:r>
              <w:rPr>
                <w:rFonts w:hint="default" w:ascii="Times New Roman" w:hAnsi="Times New Roman" w:eastAsia="宋体" w:cs="Times New Roman"/>
                <w:color w:val="auto"/>
                <w:highlight w:val="none"/>
                <w:lang w:val="en-US" w:eastAsia="zh-CN"/>
              </w:rPr>
              <w:t>m处；</w:t>
            </w:r>
            <w:r>
              <w:rPr>
                <w:rFonts w:hint="default" w:ascii="Times New Roman" w:hAnsi="Times New Roman" w:eastAsia="宋体" w:cs="Times New Roman"/>
                <w:color w:val="auto"/>
                <w:highlight w:val="none"/>
              </w:rPr>
              <w:t>通过加强施工管理等措施后，对农户影响较小，且施工期影响短暂，随着施工期的结束而结束。</w:t>
            </w:r>
          </w:p>
          <w:p w14:paraId="71CFC6D4">
            <w:pPr>
              <w:ind w:firstLine="480"/>
              <w:jc w:val="left"/>
              <w:rPr>
                <w:color w:val="auto"/>
                <w:highlight w:val="none"/>
              </w:rPr>
            </w:pPr>
            <w:r>
              <w:rPr>
                <w:rFonts w:hint="default" w:ascii="Times New Roman" w:hAnsi="Times New Roman" w:eastAsia="宋体" w:cs="Times New Roman"/>
                <w:color w:val="auto"/>
                <w:highlight w:val="none"/>
              </w:rPr>
              <w:t>施工期间</w:t>
            </w:r>
            <w:r>
              <w:rPr>
                <w:rFonts w:hint="default" w:ascii="Times New Roman" w:hAnsi="Times New Roman" w:eastAsia="宋体" w:cs="Times New Roman"/>
                <w:color w:val="auto"/>
                <w:sz w:val="24"/>
                <w:szCs w:val="22"/>
                <w:highlight w:val="none"/>
              </w:rPr>
              <w:t>对堆存于临时堆料场的砂石料等采取篷布遮盖的措施以减少对周边居民的影响。</w:t>
            </w:r>
            <w:r>
              <w:rPr>
                <w:rFonts w:hint="default" w:ascii="Times New Roman" w:hAnsi="Times New Roman" w:eastAsia="宋体" w:cs="Times New Roman"/>
                <w:snapToGrid w:val="0"/>
                <w:color w:val="auto"/>
                <w:kern w:val="0"/>
                <w:sz w:val="24"/>
                <w:szCs w:val="22"/>
                <w:highlight w:val="none"/>
                <w:lang w:val="en-US" w:eastAsia="zh-CN" w:bidi="ar"/>
              </w:rPr>
              <w:t>在临时堆料场内平坦区域设置1个表土临时堆场，为临时用地。项目表土临时堆场选址处雨水汇集量较小，不易产生冲刷，不占用耕地。根据项目特点在沿线靠近中段平坦区域设置，减少运输和工程费用。同时表土临时堆场方便四周修建土质排水沟，土质沉砂池。</w:t>
            </w:r>
          </w:p>
          <w:p w14:paraId="20CE3991">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eastAsia" w:cs="Times New Roman"/>
                <w:color w:val="auto"/>
                <w:highlight w:val="none"/>
                <w:lang w:val="en-US" w:eastAsia="zh-CN"/>
              </w:rPr>
              <w:t>3</w:t>
            </w:r>
            <w:r>
              <w:rPr>
                <w:rFonts w:hint="default" w:ascii="Times New Roman" w:hAnsi="Times New Roman" w:cs="Times New Roman"/>
                <w:color w:val="auto"/>
                <w:highlight w:val="none"/>
              </w:rPr>
              <w:t>）</w:t>
            </w:r>
            <w:r>
              <w:rPr>
                <w:rFonts w:hint="eastAsia" w:ascii="Times New Roman" w:hAnsi="Times New Roman" w:eastAsia="宋体" w:cs="Times New Roman"/>
                <w:color w:val="auto"/>
                <w:highlight w:val="none"/>
                <w:lang w:val="en-US" w:eastAsia="zh-CN"/>
              </w:rPr>
              <w:t>疏浚淤泥干化场</w:t>
            </w:r>
          </w:p>
          <w:p w14:paraId="7E5D8D4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①外环境关系</w:t>
            </w:r>
          </w:p>
          <w:p w14:paraId="319FF2B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w:t>
            </w:r>
            <w:r>
              <w:rPr>
                <w:rFonts w:hint="eastAsia" w:cs="Times New Roman"/>
                <w:color w:val="auto"/>
                <w:highlight w:val="none"/>
                <w:lang w:val="en-US" w:eastAsia="zh-CN"/>
              </w:rPr>
              <w:t>在石河镇双拱场段设有1处</w:t>
            </w:r>
            <w:r>
              <w:rPr>
                <w:rFonts w:hint="eastAsia" w:ascii="Times New Roman" w:hAnsi="Times New Roman" w:eastAsia="宋体" w:cs="Times New Roman"/>
                <w:color w:val="auto"/>
                <w:highlight w:val="none"/>
                <w:lang w:val="en-US" w:eastAsia="zh-CN"/>
              </w:rPr>
              <w:t>疏浚淤泥干化场</w:t>
            </w:r>
            <w:r>
              <w:rPr>
                <w:rFonts w:hint="eastAsia" w:cs="Times New Roman"/>
                <w:color w:val="auto"/>
                <w:highlight w:val="none"/>
                <w:lang w:val="en-US" w:eastAsia="zh-CN"/>
              </w:rPr>
              <w:t>，</w:t>
            </w:r>
            <w:r>
              <w:rPr>
                <w:rFonts w:hint="default" w:ascii="Times New Roman" w:hAnsi="Times New Roman" w:cs="Times New Roman"/>
                <w:color w:val="auto"/>
                <w:highlight w:val="none"/>
              </w:rPr>
              <w:t>不涉及基本农田</w:t>
            </w:r>
            <w:r>
              <w:rPr>
                <w:rFonts w:hint="eastAsia" w:cs="Times New Roman"/>
                <w:color w:val="auto"/>
                <w:highlight w:val="none"/>
                <w:lang w:val="en-US" w:eastAsia="zh-CN"/>
              </w:rPr>
              <w:t>。</w:t>
            </w:r>
            <w:r>
              <w:rPr>
                <w:rFonts w:hint="default" w:ascii="Times New Roman" w:hAnsi="Times New Roman" w:cs="Times New Roman"/>
                <w:color w:val="auto"/>
                <w:sz w:val="24"/>
                <w:szCs w:val="24"/>
                <w:highlight w:val="none"/>
                <w:lang w:val="en-US" w:eastAsia="zh-CN"/>
              </w:rPr>
              <w:t>干化场位于</w:t>
            </w:r>
            <w:r>
              <w:rPr>
                <w:rFonts w:hint="eastAsia" w:cs="Times New Roman"/>
                <w:color w:val="auto"/>
                <w:sz w:val="24"/>
                <w:szCs w:val="24"/>
                <w:highlight w:val="none"/>
                <w:lang w:val="en-US" w:eastAsia="zh-CN"/>
              </w:rPr>
              <w:t>双0+200左岸</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临时占地</w:t>
            </w:r>
            <w:r>
              <w:rPr>
                <w:rFonts w:hint="default" w:ascii="Times New Roman" w:hAnsi="Times New Roman" w:cs="Times New Roman"/>
                <w:color w:val="auto"/>
                <w:sz w:val="24"/>
                <w:szCs w:val="24"/>
                <w:highlight w:val="none"/>
                <w:lang w:val="en-US" w:eastAsia="zh-CN"/>
              </w:rPr>
              <w:t>面积为600m</w:t>
            </w:r>
            <w:r>
              <w:rPr>
                <w:rFonts w:hint="default" w:ascii="Times New Roman" w:hAnsi="Times New Roman" w:cs="Times New Roman"/>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vertAlign w:val="baseline"/>
                <w:lang w:val="en-US" w:eastAsia="zh-CN"/>
              </w:rPr>
              <w:t>，占地类型为</w:t>
            </w:r>
            <w:r>
              <w:rPr>
                <w:rFonts w:hint="eastAsia" w:cs="Times New Roman"/>
                <w:b w:val="0"/>
                <w:bCs w:val="0"/>
                <w:color w:val="auto"/>
                <w:sz w:val="24"/>
                <w:szCs w:val="24"/>
                <w:highlight w:val="none"/>
                <w:vertAlign w:val="baseline"/>
                <w:lang w:val="en-US" w:eastAsia="zh-CN"/>
              </w:rPr>
              <w:t>耕地</w:t>
            </w:r>
            <w:r>
              <w:rPr>
                <w:rFonts w:hint="eastAsia"/>
                <w:color w:val="auto"/>
                <w:sz w:val="24"/>
                <w:szCs w:val="24"/>
                <w:highlight w:val="none"/>
                <w:lang w:val="en-US" w:eastAsia="zh-CN"/>
              </w:rPr>
              <w:t>；</w:t>
            </w:r>
            <w:r>
              <w:rPr>
                <w:rFonts w:hint="eastAsia" w:cs="Times New Roman"/>
                <w:color w:val="auto"/>
                <w:sz w:val="24"/>
                <w:szCs w:val="24"/>
                <w:highlight w:val="none"/>
                <w:lang w:val="en-US" w:eastAsia="zh-CN"/>
              </w:rPr>
              <w:t>东侧为耕地、道路和</w:t>
            </w:r>
            <w:r>
              <w:rPr>
                <w:rFonts w:hint="default" w:ascii="Times New Roman" w:hAnsi="Times New Roman" w:cs="Times New Roman"/>
                <w:color w:val="auto"/>
                <w:sz w:val="24"/>
                <w:szCs w:val="24"/>
                <w:highlight w:val="none"/>
              </w:rPr>
              <w:t>本项目治理河道，</w:t>
            </w:r>
            <w:r>
              <w:rPr>
                <w:rFonts w:hint="eastAsia" w:cs="Times New Roman"/>
                <w:color w:val="auto"/>
                <w:sz w:val="24"/>
                <w:szCs w:val="24"/>
                <w:highlight w:val="none"/>
                <w:lang w:val="en-US" w:eastAsia="zh-CN"/>
              </w:rPr>
              <w:t>南侧</w:t>
            </w:r>
            <w:r>
              <w:rPr>
                <w:rFonts w:hint="eastAsia" w:ascii="Times New Roman" w:hAnsi="Times New Roman" w:cs="Times New Roman"/>
                <w:color w:val="auto"/>
                <w:sz w:val="24"/>
                <w:szCs w:val="24"/>
                <w:highlight w:val="none"/>
                <w:lang w:val="en-US" w:eastAsia="zh-CN"/>
              </w:rPr>
              <w:t>为</w:t>
            </w:r>
            <w:r>
              <w:rPr>
                <w:rFonts w:hint="eastAsia" w:cs="Times New Roman"/>
                <w:color w:val="auto"/>
                <w:sz w:val="24"/>
                <w:szCs w:val="24"/>
                <w:highlight w:val="none"/>
                <w:lang w:val="en-US" w:eastAsia="zh-CN"/>
              </w:rPr>
              <w:t>耕地，北侧和西侧为林地</w:t>
            </w:r>
            <w:r>
              <w:rPr>
                <w:rFonts w:hint="default" w:ascii="Times New Roman" w:hAnsi="Times New Roman" w:cs="Times New Roman"/>
                <w:color w:val="auto"/>
                <w:sz w:val="24"/>
                <w:szCs w:val="24"/>
                <w:highlight w:val="none"/>
              </w:rPr>
              <w:t>，距离最近的居民点在</w:t>
            </w:r>
            <w:r>
              <w:rPr>
                <w:rFonts w:hint="eastAsia" w:cs="Times New Roman"/>
                <w:color w:val="auto"/>
                <w:sz w:val="24"/>
                <w:szCs w:val="24"/>
                <w:highlight w:val="none"/>
                <w:lang w:val="en-US" w:eastAsia="zh-CN"/>
              </w:rPr>
              <w:t>西南侧165</w:t>
            </w:r>
            <w:r>
              <w:rPr>
                <w:rFonts w:hint="default" w:ascii="Times New Roman" w:hAnsi="Times New Roman" w:cs="Times New Roman"/>
                <w:color w:val="auto"/>
                <w:sz w:val="24"/>
                <w:szCs w:val="24"/>
                <w:highlight w:val="none"/>
                <w:lang w:eastAsia="zh-CN"/>
              </w:rPr>
              <w:t>m</w:t>
            </w:r>
            <w:r>
              <w:rPr>
                <w:rFonts w:hint="default" w:ascii="Times New Roman" w:hAnsi="Times New Roman" w:cs="Times New Roman"/>
                <w:color w:val="auto"/>
                <w:sz w:val="24"/>
                <w:szCs w:val="24"/>
                <w:highlight w:val="none"/>
              </w:rPr>
              <w:t>处</w:t>
            </w:r>
            <w:r>
              <w:rPr>
                <w:rFonts w:hint="eastAsia" w:ascii="Times New Roman" w:hAnsi="Times New Roman" w:eastAsia="宋体" w:cs="Times New Roman"/>
                <w:color w:val="auto"/>
                <w:sz w:val="24"/>
                <w:szCs w:val="24"/>
                <w:highlight w:val="none"/>
                <w:lang w:val="en-US" w:eastAsia="zh-CN"/>
              </w:rPr>
              <w:t>。</w:t>
            </w:r>
          </w:p>
          <w:p w14:paraId="6ECE0FF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w:t>
            </w:r>
            <w:r>
              <w:rPr>
                <w:rFonts w:hint="eastAsia" w:ascii="Times New Roman" w:hAnsi="Times New Roman" w:eastAsia="宋体" w:cs="Times New Roman"/>
                <w:color w:val="auto"/>
                <w:highlight w:val="none"/>
                <w:lang w:val="en-US" w:eastAsia="zh-CN"/>
              </w:rPr>
              <w:t>合理性分析</w:t>
            </w:r>
          </w:p>
          <w:p w14:paraId="0872578F">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根据现场勘查可知，项目疏浚淤泥干化场选址四周50m范围</w:t>
            </w:r>
            <w:r>
              <w:rPr>
                <w:rFonts w:hint="eastAsia" w:cs="Times New Roman"/>
                <w:color w:val="auto"/>
                <w:highlight w:val="none"/>
                <w:lang w:val="en-US" w:eastAsia="zh-CN"/>
              </w:rPr>
              <w:t>内</w:t>
            </w:r>
            <w:r>
              <w:rPr>
                <w:rFonts w:hint="eastAsia" w:ascii="Times New Roman" w:hAnsi="Times New Roman" w:eastAsia="宋体" w:cs="Times New Roman"/>
                <w:color w:val="auto"/>
                <w:highlight w:val="none"/>
                <w:lang w:val="en-US" w:eastAsia="zh-CN"/>
              </w:rPr>
              <w:t>无居民居住，离项目最近的居民点</w:t>
            </w:r>
            <w:r>
              <w:rPr>
                <w:rFonts w:hint="eastAsia" w:cs="Times New Roman"/>
                <w:color w:val="auto"/>
                <w:highlight w:val="none"/>
                <w:lang w:val="en-US" w:eastAsia="zh-CN"/>
              </w:rPr>
              <w:t>在165</w:t>
            </w:r>
            <w:r>
              <w:rPr>
                <w:rFonts w:hint="eastAsia" w:ascii="Times New Roman" w:hAnsi="Times New Roman" w:eastAsia="宋体" w:cs="Times New Roman"/>
                <w:color w:val="auto"/>
                <w:highlight w:val="none"/>
                <w:lang w:val="en-US" w:eastAsia="zh-CN"/>
              </w:rPr>
              <w:t>m</w:t>
            </w:r>
            <w:r>
              <w:rPr>
                <w:rFonts w:hint="eastAsia" w:cs="Times New Roman"/>
                <w:color w:val="auto"/>
                <w:highlight w:val="none"/>
                <w:lang w:val="en-US" w:eastAsia="zh-CN"/>
              </w:rPr>
              <w:t>处</w:t>
            </w:r>
            <w:r>
              <w:rPr>
                <w:rFonts w:hint="eastAsia" w:ascii="Times New Roman" w:hAnsi="Times New Roman" w:eastAsia="宋体" w:cs="Times New Roman"/>
                <w:color w:val="auto"/>
                <w:highlight w:val="none"/>
                <w:lang w:val="en-US" w:eastAsia="zh-CN"/>
              </w:rPr>
              <w:t>；通过加强施工管理等措施后，对农户影响较小，且施工期影响短暂，随着施工期的结束而结束。</w:t>
            </w:r>
          </w:p>
          <w:p w14:paraId="24BDDF63">
            <w:pPr>
              <w:keepNext w:val="0"/>
              <w:keepLines w:val="0"/>
              <w:widowControl/>
              <w:suppressLineNumbers w:val="0"/>
              <w:ind w:firstLine="0" w:firstLineChars="0"/>
              <w:jc w:val="left"/>
              <w:rPr>
                <w:color w:val="auto"/>
                <w:highlight w:val="none"/>
              </w:rPr>
            </w:pPr>
            <w:r>
              <w:rPr>
                <w:rFonts w:hint="eastAsia" w:ascii="宋体" w:hAnsi="宋体" w:eastAsia="宋体" w:cs="宋体"/>
                <w:snapToGrid w:val="0"/>
                <w:color w:val="auto"/>
                <w:kern w:val="0"/>
                <w:sz w:val="24"/>
                <w:szCs w:val="24"/>
                <w:highlight w:val="none"/>
                <w:lang w:val="en-US" w:eastAsia="zh-CN" w:bidi="ar"/>
              </w:rPr>
              <w:t xml:space="preserve">淤泥干化场工艺为自然干化，依靠下渗和蒸发降低底泥的含水量。项目于淤泥干化场周边设置围挡，顶部需设置雨棚，防止雨水进入。为防止底泥污染物随排泥场退水入渗地下水，对地下水产生影响，淤泥干化场使用前应先进行防渗处理，底部采用 </w:t>
            </w:r>
            <w:r>
              <w:rPr>
                <w:rFonts w:hint="default" w:ascii="Times New Roman" w:hAnsi="Times New Roman" w:eastAsia="宋体" w:cs="Times New Roman"/>
                <w:snapToGrid w:val="0"/>
                <w:color w:val="auto"/>
                <w:kern w:val="0"/>
                <w:sz w:val="24"/>
                <w:szCs w:val="24"/>
                <w:highlight w:val="none"/>
                <w:lang w:val="en-US" w:eastAsia="zh-CN" w:bidi="ar"/>
              </w:rPr>
              <w:t xml:space="preserve">40cm </w:t>
            </w:r>
            <w:r>
              <w:rPr>
                <w:rFonts w:hint="eastAsia" w:ascii="宋体" w:hAnsi="宋体" w:eastAsia="宋体" w:cs="宋体"/>
                <w:snapToGrid w:val="0"/>
                <w:color w:val="auto"/>
                <w:kern w:val="0"/>
                <w:sz w:val="24"/>
                <w:szCs w:val="24"/>
                <w:highlight w:val="none"/>
                <w:lang w:val="en-US" w:eastAsia="zh-CN" w:bidi="ar"/>
              </w:rPr>
              <w:t>粘土作防渗层，防止余水及渗滤液下渗。</w:t>
            </w:r>
          </w:p>
          <w:p w14:paraId="38E0AE09">
            <w:pPr>
              <w:keepNext w:val="0"/>
              <w:keepLines w:val="0"/>
              <w:pageBreakBefore w:val="0"/>
              <w:widowControl/>
              <w:kinsoku/>
              <w:wordWrap/>
              <w:overflowPunct/>
              <w:topLinePunct w:val="0"/>
              <w:autoSpaceDE/>
              <w:autoSpaceDN/>
              <w:bidi w:val="0"/>
              <w:adjustRightInd/>
              <w:snapToGrid/>
              <w:ind w:left="0" w:leftChars="0" w:firstLine="480" w:firstLineChars="0"/>
              <w:jc w:val="left"/>
              <w:textAlignment w:val="auto"/>
              <w:rPr>
                <w:rFonts w:hint="eastAsia"/>
                <w:b w:val="0"/>
                <w:bCs w:val="0"/>
                <w:color w:val="auto"/>
                <w:highlight w:val="none"/>
                <w:lang w:val="en-US" w:eastAsia="zh-CN"/>
              </w:rPr>
            </w:pPr>
            <w:r>
              <w:rPr>
                <w:rFonts w:hint="eastAsia" w:ascii="宋体" w:hAnsi="宋体" w:eastAsia="宋体" w:cs="宋体"/>
                <w:snapToGrid w:val="0"/>
                <w:color w:val="auto"/>
                <w:kern w:val="0"/>
                <w:sz w:val="24"/>
                <w:szCs w:val="24"/>
                <w:highlight w:val="none"/>
                <w:lang w:val="en-US" w:eastAsia="zh-CN" w:bidi="ar"/>
              </w:rPr>
              <w:t xml:space="preserve">项目淤泥干化场周边存在少量居民，为减少对居民的影响，项目疏浚的淤泥选址于河岸边，底泥干化产生的尾水通过增加退水的水力停留时间，确保退水可以静置 </w:t>
            </w:r>
            <w:r>
              <w:rPr>
                <w:rFonts w:hint="default" w:ascii="Times New Roman" w:hAnsi="Times New Roman" w:eastAsia="宋体" w:cs="Times New Roman"/>
                <w:snapToGrid w:val="0"/>
                <w:color w:val="auto"/>
                <w:kern w:val="0"/>
                <w:sz w:val="24"/>
                <w:szCs w:val="24"/>
                <w:highlight w:val="none"/>
                <w:lang w:val="en-US" w:eastAsia="zh-CN" w:bidi="ar"/>
              </w:rPr>
              <w:t xml:space="preserve">8h </w:t>
            </w:r>
            <w:r>
              <w:rPr>
                <w:rFonts w:hint="eastAsia" w:ascii="宋体" w:hAnsi="宋体" w:eastAsia="宋体" w:cs="宋体"/>
                <w:snapToGrid w:val="0"/>
                <w:color w:val="auto"/>
                <w:kern w:val="0"/>
                <w:sz w:val="24"/>
                <w:szCs w:val="24"/>
                <w:highlight w:val="none"/>
                <w:lang w:val="en-US" w:eastAsia="zh-CN" w:bidi="ar"/>
              </w:rPr>
              <w:t>以上后可就近排入临近的河道，故清淤河道到淤泥干化场运输距离较短，减少运输过程及清淤废水对沿线居民的影响。同时对于淤泥干化场局部散发恶臭异味区域采用蓬布覆盖同时通过喷洒除臭剂除臭，且位于居民的侧风向，对周边居民的影响较小。</w:t>
            </w:r>
          </w:p>
          <w:p w14:paraId="02A6D08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highlight w:val="none"/>
              </w:rPr>
            </w:pPr>
            <w:r>
              <w:rPr>
                <w:rFonts w:hint="eastAsia"/>
                <w:b w:val="0"/>
                <w:bCs w:val="0"/>
                <w:color w:val="auto"/>
                <w:highlight w:val="none"/>
                <w:lang w:val="en-US" w:eastAsia="zh-CN"/>
              </w:rPr>
              <w:t>本项目在干化场设置1个5m</w:t>
            </w:r>
            <w:r>
              <w:rPr>
                <w:rFonts w:hint="eastAsia"/>
                <w:b w:val="0"/>
                <w:bCs w:val="0"/>
                <w:color w:val="auto"/>
                <w:highlight w:val="none"/>
                <w:vertAlign w:val="superscript"/>
                <w:lang w:val="en-US" w:eastAsia="zh-CN"/>
              </w:rPr>
              <w:t>3</w:t>
            </w:r>
            <w:r>
              <w:rPr>
                <w:rFonts w:hint="eastAsia"/>
                <w:b w:val="0"/>
                <w:bCs w:val="0"/>
                <w:color w:val="auto"/>
                <w:highlight w:val="none"/>
                <w:lang w:val="en-US" w:eastAsia="zh-CN"/>
              </w:rPr>
              <w:t>/d的沉淀池。渗滤水经沉淀池处理后通过河道岸坡自流本河道，对河道水质基本无影响。</w:t>
            </w:r>
          </w:p>
          <w:p w14:paraId="4FB1ADE6">
            <w:pPr>
              <w:pStyle w:val="7"/>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color w:val="auto"/>
                <w:sz w:val="24"/>
                <w:szCs w:val="24"/>
                <w:highlight w:val="none"/>
              </w:rPr>
            </w:pPr>
            <w:r>
              <w:rPr>
                <w:rFonts w:hint="default" w:ascii="Times New Roman" w:hAnsi="Times New Roman" w:cs="Times New Roman"/>
                <w:color w:val="auto"/>
                <w:sz w:val="24"/>
                <w:szCs w:val="24"/>
                <w:highlight w:val="none"/>
              </w:rPr>
              <w:t>综上，在采取严格的环保措施后</w:t>
            </w:r>
            <w:r>
              <w:rPr>
                <w:rFonts w:hint="eastAsia" w:cs="Times New Roman"/>
                <w:color w:val="auto"/>
                <w:sz w:val="24"/>
                <w:szCs w:val="24"/>
                <w:highlight w:val="none"/>
                <w:lang w:val="en-US" w:eastAsia="zh-CN"/>
              </w:rPr>
              <w:t>疏浚淤泥干化场</w:t>
            </w:r>
            <w:r>
              <w:rPr>
                <w:rFonts w:hint="default" w:ascii="Times New Roman" w:hAnsi="Times New Roman" w:cs="Times New Roman"/>
                <w:color w:val="auto"/>
                <w:sz w:val="24"/>
                <w:szCs w:val="24"/>
                <w:highlight w:val="none"/>
              </w:rPr>
              <w:t>对周围影响较小，故选址合理。</w:t>
            </w:r>
          </w:p>
          <w:p w14:paraId="4AC47C16">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施工总布置应贯彻合理利用土地的方针，遵循因地制宜、因时制宜、有利生产、方便生活、易于管理、安全可靠、注重环境保护、减少水土流失、充分体现人与自然的和谐相处、经济合理的原则。遵循上述原则，结合工程地形地质条件和枢纽布置情况，同时满足施工总进度和施工强度要求进行施工总布置。</w:t>
            </w:r>
          </w:p>
          <w:p w14:paraId="71FAC4D8">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r>
              <w:rPr>
                <w:rFonts w:hint="eastAsia" w:cs="Times New Roman"/>
                <w:b w:val="0"/>
                <w:bCs w:val="0"/>
                <w:color w:val="auto"/>
                <w:highlight w:val="none"/>
                <w:lang w:val="en-US" w:eastAsia="zh-CN"/>
              </w:rPr>
              <w:t>综上所述，</w:t>
            </w:r>
            <w:r>
              <w:rPr>
                <w:rFonts w:hint="default" w:ascii="Times New Roman" w:hAnsi="Times New Roman" w:cs="Times New Roman"/>
                <w:b w:val="0"/>
                <w:bCs w:val="0"/>
                <w:color w:val="auto"/>
                <w:highlight w:val="none"/>
              </w:rPr>
              <w:t>本项目</w:t>
            </w:r>
            <w:r>
              <w:rPr>
                <w:rFonts w:hint="eastAsia" w:cs="Times New Roman"/>
                <w:b w:val="0"/>
                <w:bCs w:val="0"/>
                <w:color w:val="auto"/>
                <w:highlight w:val="none"/>
                <w:lang w:val="en-US" w:eastAsia="zh-CN"/>
              </w:rPr>
              <w:t>临时工程均</w:t>
            </w:r>
            <w:r>
              <w:rPr>
                <w:rFonts w:hint="default" w:ascii="Times New Roman" w:hAnsi="Times New Roman" w:cs="Times New Roman"/>
                <w:b w:val="0"/>
                <w:bCs w:val="0"/>
                <w:color w:val="auto"/>
                <w:highlight w:val="none"/>
              </w:rPr>
              <w:t>不涉及基本农田。根据</w:t>
            </w:r>
            <w:r>
              <w:rPr>
                <w:rFonts w:hint="default" w:ascii="Times New Roman" w:hAnsi="Times New Roman" w:cs="Times New Roman"/>
                <w:b w:val="0"/>
                <w:bCs w:val="0"/>
                <w:color w:val="auto"/>
                <w:highlight w:val="none"/>
                <w:lang w:val="en-US" w:eastAsia="zh-CN"/>
              </w:rPr>
              <w:t>项目环境保护目标图</w:t>
            </w:r>
            <w:r>
              <w:rPr>
                <w:rFonts w:hint="default" w:ascii="Times New Roman" w:hAnsi="Times New Roman" w:cs="Times New Roman"/>
                <w:b w:val="0"/>
                <w:bCs w:val="0"/>
                <w:color w:val="auto"/>
                <w:highlight w:val="none"/>
              </w:rPr>
              <w:t>，</w:t>
            </w:r>
            <w:r>
              <w:rPr>
                <w:rFonts w:hint="eastAsia" w:cs="Times New Roman"/>
                <w:b w:val="0"/>
                <w:bCs w:val="0"/>
                <w:color w:val="auto"/>
                <w:highlight w:val="none"/>
                <w:lang w:eastAsia="zh-CN"/>
              </w:rPr>
              <w:t>施工场地、</w:t>
            </w:r>
            <w:r>
              <w:rPr>
                <w:rFonts w:hint="eastAsia" w:cs="Times New Roman"/>
                <w:b w:val="0"/>
                <w:bCs w:val="0"/>
                <w:color w:val="auto"/>
                <w:highlight w:val="none"/>
                <w:lang w:val="en-US" w:eastAsia="zh-CN"/>
              </w:rPr>
              <w:t>疏浚淤泥干化场</w:t>
            </w:r>
            <w:r>
              <w:rPr>
                <w:rFonts w:hint="default" w:ascii="Times New Roman" w:hAnsi="Times New Roman" w:cs="Times New Roman"/>
                <w:b w:val="0"/>
                <w:bCs w:val="0"/>
                <w:color w:val="auto"/>
                <w:highlight w:val="none"/>
              </w:rPr>
              <w:t>附近200m范围内有居民分布，为了减小废气、噪声对居民的影响，在采取相应的污染治理措施后对环境影响较小；并且，工区位于当地主导风向下风向和侧风向，对居民的影响较小。故本项目施工布置从环保角度选址可行、合理</w:t>
            </w:r>
            <w:r>
              <w:rPr>
                <w:rFonts w:hint="eastAsia" w:cs="Times New Roman"/>
                <w:b w:val="0"/>
                <w:bCs w:val="0"/>
                <w:color w:val="auto"/>
                <w:highlight w:val="none"/>
                <w:lang w:eastAsia="zh-CN"/>
              </w:rPr>
              <w:t>。</w:t>
            </w:r>
          </w:p>
          <w:p w14:paraId="4218A27F">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043A655E">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7D5878EA">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161B5078">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02822B2A">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44B3EE18">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325D09F6">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7C50A028">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0C9DE59D">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59375D1B">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7BD6AD86">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79E04FFB">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76D46EBE">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6A4D0314">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1F59322B">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0223E5B9">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1360EB3D">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71FFD959">
            <w:pPr>
              <w:keepNext w:val="0"/>
              <w:keepLines w:val="0"/>
              <w:pageBreakBefore w:val="0"/>
              <w:widowControl w:val="0"/>
              <w:kinsoku/>
              <w:wordWrap/>
              <w:overflowPunct/>
              <w:topLinePunct w:val="0"/>
              <w:autoSpaceDE/>
              <w:autoSpaceDN/>
              <w:bidi w:val="0"/>
              <w:adjustRightInd/>
              <w:snapToGrid/>
              <w:ind w:leftChars="0" w:firstLine="480" w:firstLineChars="200"/>
              <w:textAlignment w:val="auto"/>
              <w:rPr>
                <w:rFonts w:hint="eastAsia" w:cs="Times New Roman"/>
                <w:b w:val="0"/>
                <w:bCs w:val="0"/>
                <w:color w:val="auto"/>
                <w:highlight w:val="none"/>
                <w:lang w:eastAsia="zh-CN"/>
              </w:rPr>
            </w:pPr>
          </w:p>
          <w:p w14:paraId="48659157">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cs="Times New Roman"/>
                <w:b w:val="0"/>
                <w:bCs w:val="0"/>
                <w:color w:val="auto"/>
                <w:highlight w:val="none"/>
                <w:lang w:eastAsia="zh-CN"/>
              </w:rPr>
            </w:pPr>
          </w:p>
          <w:p w14:paraId="1748486A">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黑体" w:cs="Times New Roman"/>
                <w:color w:val="auto"/>
                <w:sz w:val="30"/>
                <w:szCs w:val="30"/>
                <w:highlight w:val="none"/>
                <w:vertAlign w:val="baseline"/>
              </w:rPr>
            </w:pPr>
          </w:p>
        </w:tc>
      </w:tr>
    </w:tbl>
    <w:p w14:paraId="51A49C97">
      <w:pPr>
        <w:rPr>
          <w:rFonts w:hint="default" w:ascii="Times New Roman" w:hAnsi="Times New Roman" w:eastAsia="黑体" w:cs="Times New Roman"/>
          <w:color w:val="auto"/>
          <w:sz w:val="30"/>
          <w:szCs w:val="30"/>
          <w:highlight w:val="none"/>
        </w:rPr>
      </w:pPr>
      <w:r>
        <w:rPr>
          <w:rFonts w:hint="default" w:ascii="Times New Roman" w:hAnsi="Times New Roman" w:eastAsia="黑体" w:cs="Times New Roman"/>
          <w:color w:val="auto"/>
          <w:sz w:val="30"/>
          <w:szCs w:val="30"/>
          <w:highlight w:val="none"/>
        </w:rPr>
        <w:br w:type="page"/>
      </w:r>
    </w:p>
    <w:p w14:paraId="7FA97AAC">
      <w:pPr>
        <w:pStyle w:val="10"/>
        <w:spacing w:beforeAutospacing="0" w:afterAutospacing="0"/>
        <w:ind w:firstLine="0" w:firstLineChars="0"/>
        <w:jc w:val="center"/>
        <w:outlineLvl w:val="0"/>
        <w:rPr>
          <w:rFonts w:hint="default" w:ascii="Times New Roman" w:hAnsi="Times New Roman" w:eastAsia="黑体" w:cs="Times New Roman"/>
          <w:color w:val="auto"/>
          <w:sz w:val="30"/>
          <w:szCs w:val="30"/>
          <w:highlight w:val="none"/>
        </w:rPr>
      </w:pPr>
      <w:r>
        <w:rPr>
          <w:rFonts w:hint="default" w:ascii="Times New Roman" w:hAnsi="Times New Roman" w:eastAsia="黑体" w:cs="Times New Roman"/>
          <w:color w:val="auto"/>
          <w:sz w:val="30"/>
          <w:szCs w:val="30"/>
          <w:highlight w:val="none"/>
        </w:rPr>
        <w:t>五、主要生态环境保护措施</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8845"/>
      </w:tblGrid>
      <w:tr w14:paraId="43ACB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592" w:type="pct"/>
            <w:tcBorders>
              <w:top w:val="single" w:color="000000" w:sz="4" w:space="0"/>
              <w:left w:val="single" w:color="000000" w:sz="4" w:space="0"/>
              <w:bottom w:val="single" w:color="000000" w:sz="4" w:space="0"/>
              <w:right w:val="single" w:color="000000" w:sz="4" w:space="0"/>
            </w:tcBorders>
            <w:noWrap w:val="0"/>
            <w:vAlign w:val="center"/>
          </w:tcPr>
          <w:p w14:paraId="13272772">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施工期生态环境保护措施</w:t>
            </w:r>
          </w:p>
        </w:tc>
        <w:tc>
          <w:tcPr>
            <w:tcW w:w="4407" w:type="pct"/>
            <w:tcBorders>
              <w:top w:val="single" w:color="000000" w:sz="4" w:space="0"/>
              <w:left w:val="single" w:color="000000" w:sz="4" w:space="0"/>
              <w:bottom w:val="single" w:color="000000" w:sz="4" w:space="0"/>
              <w:right w:val="single" w:color="000000" w:sz="4" w:space="0"/>
            </w:tcBorders>
            <w:noWrap w:val="0"/>
            <w:vAlign w:val="center"/>
          </w:tcPr>
          <w:p w14:paraId="4C1D508F">
            <w:pPr>
              <w:ind w:firstLine="0" w:firstLineChars="0"/>
              <w:jc w:val="left"/>
              <w:rPr>
                <w:rFonts w:hint="default" w:ascii="Times New Roman" w:hAnsi="Times New Roman" w:cs="Times New Roman"/>
                <w:color w:val="auto"/>
                <w:highlight w:val="none"/>
              </w:rPr>
            </w:pPr>
            <w:r>
              <w:rPr>
                <w:rFonts w:hint="default" w:ascii="Times New Roman" w:hAnsi="Times New Roman" w:cs="Times New Roman"/>
                <w:b/>
                <w:bCs/>
                <w:color w:val="auto"/>
                <w:highlight w:val="none"/>
              </w:rPr>
              <w:t>5.1 施工期生态环境保护措施</w:t>
            </w:r>
          </w:p>
          <w:p w14:paraId="4013D5F3">
            <w:pPr>
              <w:widowControl/>
              <w:ind w:left="0" w:leftChars="0" w:firstLine="0" w:firstLineChars="0"/>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5.1.1</w:t>
            </w:r>
            <w:r>
              <w:rPr>
                <w:rFonts w:hint="eastAsia"/>
                <w:b/>
                <w:bCs/>
                <w:color w:val="auto"/>
                <w:highlight w:val="none"/>
                <w:lang w:val="en-US" w:eastAsia="zh-CN"/>
              </w:rPr>
              <w:t>柳城河石河镇二郎段、福兴段、石河镇段、双拱场段</w:t>
            </w:r>
          </w:p>
          <w:p w14:paraId="59C17D61">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施工期主要生态影响为占用土地，对陆生生态、水生生态的影响，对生态系统稳定性的影响以及水土流失。主要保护措施包括陆域生态保护、水域生态保护、水土流失防治、施工期污染防治、环境风险事故防治。</w:t>
            </w:r>
          </w:p>
          <w:p w14:paraId="302EBFEF">
            <w:pPr>
              <w:widowControl/>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b/>
                <w:bCs/>
                <w:color w:val="auto"/>
                <w:highlight w:val="none"/>
              </w:rPr>
              <w:t>5.1.1</w:t>
            </w:r>
            <w:r>
              <w:rPr>
                <w:rFonts w:hint="eastAsia" w:cs="Times New Roman"/>
                <w:b/>
                <w:bCs/>
                <w:color w:val="auto"/>
                <w:highlight w:val="none"/>
                <w:lang w:val="en-US" w:eastAsia="zh-CN"/>
              </w:rPr>
              <w:t>.1</w:t>
            </w:r>
            <w:r>
              <w:rPr>
                <w:rFonts w:hint="default" w:ascii="Times New Roman" w:hAnsi="Times New Roman" w:cs="Times New Roman"/>
                <w:b/>
                <w:bCs/>
                <w:color w:val="auto"/>
                <w:highlight w:val="none"/>
              </w:rPr>
              <w:t>陆域生态保护措施</w:t>
            </w:r>
          </w:p>
          <w:p w14:paraId="7293B5E9">
            <w:pPr>
              <w:widowControl/>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（1）陆生植物保护措施</w:t>
            </w:r>
          </w:p>
          <w:p w14:paraId="12A9C7C8">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为了进一步减小施工期对施工河段陆生植物的影响，评价提出以下陆生植物保护措施：</w:t>
            </w:r>
          </w:p>
          <w:p w14:paraId="16B161E0">
            <w:pPr>
              <w:widowControl/>
              <w:ind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①</w:t>
            </w:r>
            <w:r>
              <w:rPr>
                <w:rFonts w:hint="eastAsia" w:cs="Times New Roman"/>
                <w:color w:val="auto"/>
                <w:highlight w:val="none"/>
                <w:lang w:eastAsia="zh-CN"/>
              </w:rPr>
              <w:t>生态影响的避让措施</w:t>
            </w:r>
          </w:p>
          <w:p w14:paraId="1760B9A4">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特点，建议采取以下</w:t>
            </w:r>
            <w:r>
              <w:rPr>
                <w:rFonts w:hint="eastAsia" w:cs="Times New Roman"/>
                <w:color w:val="auto"/>
                <w:highlight w:val="none"/>
                <w:lang w:eastAsia="zh-CN"/>
              </w:rPr>
              <w:t>生态影响的避让措施</w:t>
            </w:r>
            <w:r>
              <w:rPr>
                <w:rFonts w:hint="default" w:ascii="Times New Roman" w:hAnsi="Times New Roman" w:cs="Times New Roman"/>
                <w:color w:val="auto"/>
                <w:highlight w:val="none"/>
              </w:rPr>
              <w:t>：</w:t>
            </w:r>
          </w:p>
          <w:p w14:paraId="635C428C">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a.优化临时占地的布局和选址，减少占地和尽量选择荒地，采取“永临结合”的方式，尽量减少对植被占用和植被扰动的影响，缩小水土流失的影响。</w:t>
            </w:r>
          </w:p>
          <w:p w14:paraId="66028CFD">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b.交通路线尽快选择已有的交通路线，新增临时道路尽可能减少占地，优化施工布置与道路交通。</w:t>
            </w:r>
          </w:p>
          <w:p w14:paraId="17319733">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c.应详细规划做好土石方平衡，充分利用，同时集中取土和集中弃土，便于恢复。</w:t>
            </w:r>
          </w:p>
          <w:p w14:paraId="521B9C56">
            <w:pPr>
              <w:widowControl/>
              <w:ind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②</w:t>
            </w:r>
            <w:r>
              <w:rPr>
                <w:rFonts w:hint="eastAsia" w:cs="Times New Roman"/>
                <w:color w:val="auto"/>
                <w:highlight w:val="none"/>
                <w:lang w:eastAsia="zh-CN"/>
              </w:rPr>
              <w:t>生态影响的减缓措施</w:t>
            </w:r>
          </w:p>
          <w:p w14:paraId="10422D6F">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施工前，施工单位必须划出保护线，禁止越界施工占地或砍伐林木、破坏耕地，尽量减少施工占地对耕地、防护林、堤外边滩草丛造成损失，防止工程施工过程中越界施工对防护林造成破坏。在以路代提施工段开挖施工区设置宣传标示牌，明确保护对象和保护范围。</w:t>
            </w:r>
          </w:p>
          <w:p w14:paraId="222B6AF0">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了防止施工占地表层土的损耗，要求将施工开挖地表面30cm厚的表层土剥离，进行留存。堆放地宜相对低凹、周围相对平缓，并设置排水设施。小范围堆放地，可用草袋、塑料薄膜或其他材料进行遮盖，避免雨水冲刷、流失损耗。</w:t>
            </w:r>
          </w:p>
          <w:p w14:paraId="6E5DD2F3">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工程建设期间，结合工程占地植被恢复措施，保护好草皮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将堤防两侧未成材的树木实行移栽，减少砍伐损失。</w:t>
            </w:r>
          </w:p>
          <w:p w14:paraId="30097C90">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③生态影响的恢复和补偿措施</w:t>
            </w:r>
          </w:p>
          <w:p w14:paraId="74F98BA6">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工程完工后，尽快对施工临时占地和堤后回填区等施工迹地进行植被恢复或复垦，对进行植被恢复的，树种应首选当地的种类，并注意使森林植被类型多样化，为动物的生存与繁衍提供多种栖息生境。</w:t>
            </w:r>
          </w:p>
          <w:p w14:paraId="721939FA">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④对保护植物的保护措施</w:t>
            </w:r>
          </w:p>
          <w:p w14:paraId="12EAF031">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根据生态现状调查，通过分析，项目范围内未发现国家重点保护野生植物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施工中一旦发现重点保护植物，要马上联系相应管理部门，做好标记，设置围栏和警示牌。施工无法避让重点保护植物应进行合理保护或移栽。</w:t>
            </w:r>
          </w:p>
          <w:p w14:paraId="56C02911">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对施工单位开展宣传、教育活动，在施工中发现野菱、野大豆等保护植物，积极上报主管部门，并做好标记。对施工过程中无法避让的珍稀树木，采取迁移异地的保护措施，选好移栽位置，并采取措施确保成活，避免这些物种遗传多样性的缺失。</w:t>
            </w:r>
          </w:p>
          <w:p w14:paraId="6FF0FC5A">
            <w:pPr>
              <w:widowControl/>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（2）陆生动物保护措施</w:t>
            </w:r>
          </w:p>
          <w:p w14:paraId="324069A1">
            <w:pPr>
              <w:widowControl/>
              <w:ind w:firstLine="480"/>
              <w:rPr>
                <w:rFonts w:hint="default" w:ascii="Times New Roman" w:hAnsi="Times New Roman" w:eastAsia="Calibri" w:cs="Times New Roman"/>
                <w:color w:val="auto"/>
                <w:highlight w:val="none"/>
              </w:rPr>
            </w:pPr>
            <w:r>
              <w:rPr>
                <w:rFonts w:hint="default" w:ascii="Times New Roman" w:hAnsi="Times New Roman" w:cs="Times New Roman"/>
                <w:color w:val="auto"/>
                <w:highlight w:val="none"/>
              </w:rPr>
              <w:t>为了进一步减小施工期对施工河段陆生动物的影响，评价提出以下动物保护措施：</w:t>
            </w:r>
          </w:p>
          <w:p w14:paraId="3C18EAB8">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①生态影响的避让与减缓措施</w:t>
            </w:r>
          </w:p>
          <w:p w14:paraId="35276B81">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增强施工人员的保护意识，严禁捕猎野生动物。施工人员必须遵守《中华人民共和国野生动物保护法》，严禁在施工区及其周围捕猎野生动物，特别是国家级及省级重点保护动物，在施工时严禁对其进行猎捕，严禁施工人员和当地居民捕杀野生动物。一旦发现野生动物受伤，应及时联系林业部门，开展野生动物救助。</w:t>
            </w:r>
          </w:p>
          <w:p w14:paraId="5B1344C3">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勘查工程施工时段和方式，防止噪声对野生动物的惊扰。野生鸟类和兽类大多是早晨、黄昏或夜间外出觅食，正午是鸟类休息时间。为了减少工程施工噪声对野生动物的惊扰，应做好施工方式和时间的计划，并力求避免在晨昏和正午的噪声影响等。</w:t>
            </w:r>
          </w:p>
          <w:p w14:paraId="23917B6D">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c.由于水体中有不少游禽、涉禽及两栖爬行类活动，所以要加强施工人员的各类卫生管理（如个人卫生、粪便和生活污水），施工废水应经过处理达标后回用于施工或绿化，施工材料的堆放要远离水源。</w:t>
            </w:r>
          </w:p>
          <w:p w14:paraId="0B4CFCAD">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d.修筑生态型岸坡，对岸坡的处理，护岸是水陆生态系统内部及相互之间生态流流动的通道，因此，修筑生态型岸坡，增加植被覆盖率，对一些野生动物生存是有利的。</w:t>
            </w:r>
          </w:p>
          <w:p w14:paraId="0FD15704">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②生态影响的恢复与补偿措施</w:t>
            </w:r>
          </w:p>
          <w:p w14:paraId="7A39DF5E">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工程完工后尽快做好生态环境的恢复工作，尤其是临时占地处，以尽量减少生境破坏对动物的不利影响。</w:t>
            </w:r>
          </w:p>
          <w:p w14:paraId="2F1E445C">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③生态管理等措施</w:t>
            </w:r>
          </w:p>
          <w:p w14:paraId="4E0CB0A3">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施工期间，加强施工管理与监理，规范施工行为，尽量减少施工占地及施工活动造成的植被损失，减少对野生动物栖息地的破坏，尤其应加强对可能有鸟类栖息、觅食的堤外边滩和林地的保护。</w:t>
            </w:r>
          </w:p>
          <w:p w14:paraId="16FCAC06">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工程建设和运行中应加强野生动物管理、保护和监测，在堤防工程管理机构中设置相应的环境保护管理机构，配备专业管理人员，确保工程施工期和运行期中各项野生动物保护政策法规的贯彻以及环保措施落实，负责组织、落实、监督</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的野生动物保护措施。</w:t>
            </w:r>
          </w:p>
          <w:p w14:paraId="76AD26A8">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④加强宣传教育</w:t>
            </w:r>
          </w:p>
          <w:p w14:paraId="06C80EC4">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间，以公告、宣传单、板报和会议等形式，加强对施工人员的环境保护宣传教育和保护野生动物常识的宣传，增强其环境保护意识；禁止施工人员猎捕蛙类、蛇类、兽类、鸟类等野生动物和从事其他有碍生态环境保护的活动。根据施工期安排，施工人员进场前、施工高峰期、施工结束退场前各重点宣传1次，共计3次。</w:t>
            </w:r>
          </w:p>
          <w:p w14:paraId="21D957A1">
            <w:pPr>
              <w:widowControl/>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5.1.</w:t>
            </w:r>
            <w:r>
              <w:rPr>
                <w:rFonts w:hint="eastAsia" w:cs="Times New Roman"/>
                <w:b/>
                <w:bCs/>
                <w:color w:val="auto"/>
                <w:highlight w:val="none"/>
                <w:lang w:val="en-US" w:eastAsia="zh-CN"/>
              </w:rPr>
              <w:t>1.</w:t>
            </w:r>
            <w:r>
              <w:rPr>
                <w:rFonts w:hint="default" w:ascii="Times New Roman" w:hAnsi="Times New Roman" w:cs="Times New Roman"/>
                <w:b/>
                <w:bCs/>
                <w:color w:val="auto"/>
                <w:highlight w:val="none"/>
              </w:rPr>
              <w:t>2水域生态保护措施</w:t>
            </w:r>
          </w:p>
          <w:p w14:paraId="2B08250B">
            <w:pPr>
              <w:widowControl/>
              <w:ind w:firstLine="480"/>
              <w:rPr>
                <w:rFonts w:hint="default" w:ascii="Times New Roman" w:hAnsi="Times New Roman" w:eastAsia="Calibri" w:cs="Times New Roman"/>
                <w:color w:val="auto"/>
                <w:highlight w:val="none"/>
              </w:rPr>
            </w:pPr>
            <w:r>
              <w:rPr>
                <w:rFonts w:hint="default" w:ascii="Times New Roman" w:hAnsi="Times New Roman" w:cs="Times New Roman"/>
                <w:color w:val="auto"/>
                <w:highlight w:val="none"/>
              </w:rPr>
              <w:t>为了进一步减小施工期对施工河段水域生态的影响，评价提出以下保护措施：</w:t>
            </w:r>
          </w:p>
          <w:p w14:paraId="42917CFC">
            <w:pPr>
              <w:widowControl/>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（1）生态影响避让措施</w:t>
            </w:r>
          </w:p>
          <w:p w14:paraId="28FEC84B">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①工程施工前采取驱鱼措施，最大限度的保护鱼类资源不受工程的破坏。</w:t>
            </w:r>
          </w:p>
          <w:p w14:paraId="6E5404A6">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②合理安排施工期和优化施工方案，施工期主要安排在枯水期，以减少水体扰动，减轻工程对水生生物的影响。</w:t>
            </w:r>
          </w:p>
          <w:p w14:paraId="4FD18214">
            <w:pPr>
              <w:widowControl/>
              <w:ind w:firstLine="482"/>
              <w:rPr>
                <w:rFonts w:hint="default" w:ascii="Times New Roman" w:hAnsi="Times New Roman" w:eastAsia="宋体" w:cs="Times New Roman"/>
                <w:color w:val="auto"/>
                <w:highlight w:val="none"/>
                <w:lang w:val="en-US" w:eastAsia="zh-CN"/>
              </w:rPr>
            </w:pPr>
            <w:r>
              <w:rPr>
                <w:rFonts w:hint="default" w:ascii="Times New Roman" w:hAnsi="Times New Roman" w:cs="Times New Roman"/>
                <w:b/>
                <w:bCs/>
                <w:color w:val="auto"/>
                <w:highlight w:val="none"/>
              </w:rPr>
              <w:t>（2）水生生物</w:t>
            </w:r>
            <w:r>
              <w:rPr>
                <w:rFonts w:hint="default" w:ascii="Times New Roman" w:hAnsi="Times New Roman" w:cs="Times New Roman"/>
                <w:b/>
                <w:bCs/>
                <w:color w:val="auto"/>
                <w:highlight w:val="none"/>
                <w:lang w:val="en-US" w:eastAsia="zh-CN"/>
              </w:rPr>
              <w:t>保护</w:t>
            </w:r>
            <w:r>
              <w:rPr>
                <w:rFonts w:hint="default" w:ascii="Times New Roman" w:hAnsi="Times New Roman" w:cs="Times New Roman"/>
                <w:b/>
                <w:bCs/>
                <w:color w:val="auto"/>
                <w:highlight w:val="none"/>
              </w:rPr>
              <w:t>措施</w:t>
            </w:r>
          </w:p>
          <w:p w14:paraId="50CD28E6">
            <w:pPr>
              <w:keepNext w:val="0"/>
              <w:keepLines w:val="0"/>
              <w:pageBreakBefore w:val="0"/>
              <w:widowControl w:val="0"/>
              <w:kinsoku/>
              <w:wordWrap/>
              <w:overflowPunct/>
              <w:topLinePunct w:val="0"/>
              <w:autoSpaceDE/>
              <w:autoSpaceDN/>
              <w:bidi w:val="0"/>
              <w:adjustRightInd/>
              <w:snapToGrid/>
              <w:ind w:firstLine="48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前述现场调查，主要水生生物为鲤鱼、草鱼、鲫鱼、鳅科、黄鳝、麦穗鱼等小型鱼类等常见鱼类，无重要水生生物自然产卵场、索饵场、越冬场及洄游通道，无国家级、四川省保护的珍稀濒危鱼类分布，为了尽可能减小对水生生物影响，评价提出采取以下措施：</w:t>
            </w:r>
          </w:p>
          <w:p w14:paraId="35D8B4B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fldChar w:fldCharType="begin"/>
            </w:r>
            <w:r>
              <w:rPr>
                <w:rFonts w:hint="default" w:ascii="Times New Roman" w:hAnsi="Times New Roman" w:cs="Times New Roman"/>
                <w:color w:val="auto"/>
                <w:highlight w:val="none"/>
                <w:lang w:eastAsia="zh-CN"/>
              </w:rPr>
              <w:instrText xml:space="preserve"> = 1 \* GB3 \* MERGEFORMAT </w:instrText>
            </w:r>
            <w:r>
              <w:rPr>
                <w:rFonts w:hint="default" w:ascii="Times New Roman" w:hAnsi="Times New Roman" w:cs="Times New Roman"/>
                <w:color w:val="auto"/>
                <w:highlight w:val="none"/>
                <w:lang w:eastAsia="zh-CN"/>
              </w:rPr>
              <w:fldChar w:fldCharType="separate"/>
            </w:r>
            <w:r>
              <w:rPr>
                <w:rFonts w:hint="default" w:ascii="Times New Roman" w:hAnsi="Times New Roman" w:cs="Times New Roman"/>
                <w:color w:val="auto"/>
                <w:highlight w:val="none"/>
              </w:rPr>
              <w:t>①</w:t>
            </w:r>
            <w:r>
              <w:rPr>
                <w:rFonts w:hint="default" w:ascii="Times New Roman" w:hAnsi="Times New Roman" w:cs="Times New Roman"/>
                <w:color w:val="auto"/>
                <w:highlight w:val="none"/>
                <w:lang w:eastAsia="zh-CN"/>
              </w:rPr>
              <w:fldChar w:fldCharType="end"/>
            </w:r>
            <w:r>
              <w:rPr>
                <w:rFonts w:hint="default" w:ascii="Times New Roman" w:hAnsi="Times New Roman" w:cs="Times New Roman"/>
                <w:color w:val="auto"/>
                <w:highlight w:val="none"/>
              </w:rPr>
              <w:t>严格按照施工进度施工，</w:t>
            </w:r>
            <w:r>
              <w:rPr>
                <w:rFonts w:hint="default" w:ascii="Times New Roman" w:hAnsi="Times New Roman" w:cs="Times New Roman"/>
                <w:color w:val="auto"/>
                <w:highlight w:val="none"/>
                <w:lang w:val="en-US" w:eastAsia="zh-CN"/>
              </w:rPr>
              <w:t>在枯水期施工</w:t>
            </w:r>
            <w:r>
              <w:rPr>
                <w:rFonts w:hint="default" w:ascii="Times New Roman" w:hAnsi="Times New Roman" w:cs="Times New Roman"/>
                <w:color w:val="auto"/>
                <w:highlight w:val="none"/>
              </w:rPr>
              <w:t>。同时</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提高作业效率，缩短施工作业时间。</w:t>
            </w:r>
          </w:p>
          <w:p w14:paraId="0DD67D5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②</w:t>
            </w:r>
            <w:r>
              <w:rPr>
                <w:rFonts w:hint="default" w:ascii="Times New Roman" w:hAnsi="Times New Roman" w:cs="Times New Roman"/>
                <w:color w:val="auto"/>
                <w:highlight w:val="none"/>
              </w:rPr>
              <w:t>严格按照前期设计的施工导流方案做好导流措施。</w:t>
            </w:r>
          </w:p>
          <w:p w14:paraId="7343D5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③</w:t>
            </w:r>
            <w:r>
              <w:rPr>
                <w:rFonts w:hint="default" w:ascii="Times New Roman" w:hAnsi="Times New Roman" w:eastAsia="宋体" w:cs="Times New Roman"/>
                <w:color w:val="auto"/>
                <w:highlight w:val="none"/>
              </w:rPr>
              <w:t>严禁施工废渣废水倾倒入河；</w:t>
            </w:r>
          </w:p>
          <w:p w14:paraId="207AE8D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fldChar w:fldCharType="begin"/>
            </w:r>
            <w:r>
              <w:rPr>
                <w:rFonts w:hint="default" w:ascii="Times New Roman" w:hAnsi="Times New Roman" w:cs="Times New Roman"/>
                <w:color w:val="auto"/>
                <w:highlight w:val="none"/>
                <w:lang w:eastAsia="zh-CN"/>
              </w:rPr>
              <w:instrText xml:space="preserve"> = 4 \* GB3 \* MERGEFORMAT </w:instrText>
            </w:r>
            <w:r>
              <w:rPr>
                <w:rFonts w:hint="default" w:ascii="Times New Roman" w:hAnsi="Times New Roman" w:cs="Times New Roman"/>
                <w:color w:val="auto"/>
                <w:highlight w:val="none"/>
                <w:lang w:eastAsia="zh-CN"/>
              </w:rPr>
              <w:fldChar w:fldCharType="separate"/>
            </w:r>
            <w:r>
              <w:rPr>
                <w:rFonts w:hint="default" w:ascii="Times New Roman" w:hAnsi="Times New Roman" w:cs="Times New Roman"/>
                <w:color w:val="auto"/>
                <w:highlight w:val="none"/>
              </w:rPr>
              <w:t>④</w:t>
            </w:r>
            <w:r>
              <w:rPr>
                <w:rFonts w:hint="default" w:ascii="Times New Roman" w:hAnsi="Times New Roman" w:cs="Times New Roman"/>
                <w:color w:val="auto"/>
                <w:highlight w:val="none"/>
                <w:lang w:eastAsia="zh-CN"/>
              </w:rPr>
              <w:fldChar w:fldCharType="end"/>
            </w:r>
            <w:r>
              <w:rPr>
                <w:rFonts w:hint="default" w:ascii="Times New Roman" w:hAnsi="Times New Roman" w:cs="Times New Roman"/>
                <w:color w:val="auto"/>
                <w:highlight w:val="none"/>
              </w:rPr>
              <w:t>施工后对河道内导流</w:t>
            </w:r>
            <w:r>
              <w:rPr>
                <w:rFonts w:hint="default" w:ascii="Times New Roman" w:hAnsi="Times New Roman" w:cs="Times New Roman"/>
                <w:color w:val="auto"/>
                <w:highlight w:val="none"/>
                <w:lang w:val="en-US" w:eastAsia="zh-CN"/>
              </w:rPr>
              <w:t>围堰等临时工程</w:t>
            </w:r>
            <w:r>
              <w:rPr>
                <w:rFonts w:hint="default" w:ascii="Times New Roman" w:hAnsi="Times New Roman" w:cs="Times New Roman"/>
                <w:color w:val="auto"/>
                <w:highlight w:val="none"/>
              </w:rPr>
              <w:t>拆除，恢复河床</w:t>
            </w:r>
            <w:r>
              <w:rPr>
                <w:rFonts w:hint="default" w:ascii="Times New Roman" w:hAnsi="Times New Roman" w:cs="Times New Roman"/>
                <w:color w:val="auto"/>
                <w:highlight w:val="none"/>
                <w:lang w:eastAsia="zh-CN"/>
              </w:rPr>
              <w:t>。</w:t>
            </w:r>
          </w:p>
          <w:p w14:paraId="50AD4803">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eastAsia="zh-CN"/>
              </w:rPr>
              <w:t>⑤</w:t>
            </w:r>
            <w:r>
              <w:rPr>
                <w:rFonts w:hint="default" w:ascii="Times New Roman" w:hAnsi="Times New Roman" w:cs="Times New Roman"/>
                <w:color w:val="auto"/>
                <w:highlight w:val="none"/>
              </w:rPr>
              <w:t>加强对施工人员教育和管理，禁止捕捞鱼类等各种水生生物</w:t>
            </w:r>
            <w:r>
              <w:rPr>
                <w:rFonts w:hint="default" w:ascii="Times New Roman" w:hAnsi="Times New Roman" w:eastAsia="宋体" w:cs="Times New Roman"/>
                <w:color w:val="auto"/>
                <w:highlight w:val="none"/>
                <w:lang w:val="en-US" w:eastAsia="zh-CN"/>
              </w:rPr>
              <w:t>。</w:t>
            </w:r>
          </w:p>
          <w:p w14:paraId="4BB4C33E">
            <w:pPr>
              <w:widowControl/>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（3）加强施工期环境监控和管理</w:t>
            </w:r>
          </w:p>
          <w:p w14:paraId="6234A034">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加强宣传，强调合理有序施工，优化施工组织，同一施工段实行同向逐步推进施工，相邻施工段错开施工高峰期，避免同一堤段出现大规模的会战施工。施工期间，加强施工管理，禁止施工人员捕鱼或伤害其它水生野生动物。</w:t>
            </w:r>
          </w:p>
          <w:p w14:paraId="169A64D0">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在进场施工前，对施工人员进行保护珍稀保护水生动物的科普宣传工作，使施工人员了解保护水生态环境的意义，增强施工人员保护水环境意识。施工期禁止施工人员进行捕捞活动。</w:t>
            </w:r>
          </w:p>
          <w:p w14:paraId="1DBBF47A">
            <w:pPr>
              <w:widowControl/>
              <w:ind w:firstLine="480"/>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（4）项目施工对</w:t>
            </w:r>
            <w:r>
              <w:rPr>
                <w:rFonts w:hint="eastAsia" w:cs="Times New Roman"/>
                <w:b/>
                <w:bCs/>
                <w:color w:val="auto"/>
                <w:highlight w:val="none"/>
                <w:lang w:val="en-US" w:eastAsia="zh-CN"/>
              </w:rPr>
              <w:t>柳城河</w:t>
            </w:r>
            <w:r>
              <w:rPr>
                <w:rFonts w:hint="default" w:ascii="Times New Roman" w:hAnsi="Times New Roman" w:cs="Times New Roman"/>
                <w:b/>
                <w:bCs/>
                <w:color w:val="auto"/>
                <w:highlight w:val="none"/>
                <w:lang w:val="en-US" w:eastAsia="zh-CN"/>
              </w:rPr>
              <w:t>水质影响及减缓措施</w:t>
            </w:r>
          </w:p>
          <w:p w14:paraId="070A80B1">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项目作为防洪治理工程，其对</w:t>
            </w:r>
            <w:r>
              <w:rPr>
                <w:rFonts w:hint="eastAsia" w:cs="Times New Roman"/>
                <w:color w:val="auto"/>
                <w:sz w:val="24"/>
                <w:szCs w:val="24"/>
                <w:highlight w:val="none"/>
                <w:lang w:val="en-US" w:eastAsia="zh-CN"/>
              </w:rPr>
              <w:t>柳城河</w:t>
            </w:r>
            <w:r>
              <w:rPr>
                <w:rFonts w:hint="default" w:ascii="Times New Roman" w:hAnsi="Times New Roman" w:eastAsia="宋体" w:cs="Times New Roman"/>
                <w:color w:val="auto"/>
                <w:sz w:val="24"/>
                <w:szCs w:val="24"/>
                <w:highlight w:val="none"/>
              </w:rPr>
              <w:t>水质影响主要集中在施工期</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施工过程中产生的废水、弃渣及水土流失处理不当</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sz w:val="24"/>
                <w:szCs w:val="24"/>
                <w:highlight w:val="none"/>
              </w:rPr>
              <w:t>将会对河道水质产生负面影响。环评从工程布置、环保措施及环保应急措施等要求方面对项目的实施提出相应要求</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具体如下：</w:t>
            </w:r>
          </w:p>
          <w:p w14:paraId="21E070B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1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cs="Times New Roman"/>
                <w:color w:val="auto"/>
                <w:highlight w:val="none"/>
              </w:rPr>
              <w:t>①</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工程布置</w:t>
            </w:r>
          </w:p>
          <w:p w14:paraId="40E5F10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项目施工期将</w:t>
            </w:r>
            <w:r>
              <w:rPr>
                <w:rFonts w:hint="eastAsia" w:cs="Times New Roman"/>
                <w:color w:val="auto"/>
                <w:sz w:val="24"/>
                <w:szCs w:val="24"/>
                <w:highlight w:val="none"/>
                <w:lang w:val="en-US" w:eastAsia="zh-CN"/>
              </w:rPr>
              <w:t>施工场地</w:t>
            </w:r>
            <w:r>
              <w:rPr>
                <w:rFonts w:hint="default" w:ascii="Times New Roman" w:hAnsi="Times New Roman" w:cs="Times New Roman"/>
                <w:color w:val="auto"/>
                <w:sz w:val="24"/>
                <w:szCs w:val="24"/>
                <w:highlight w:val="none"/>
                <w:lang w:val="en-US" w:eastAsia="zh-CN"/>
              </w:rPr>
              <w:t>在临</w:t>
            </w:r>
            <w:r>
              <w:rPr>
                <w:rFonts w:hint="eastAsia" w:cs="Times New Roman"/>
                <w:color w:val="auto"/>
                <w:sz w:val="24"/>
                <w:szCs w:val="24"/>
                <w:highlight w:val="none"/>
                <w:lang w:val="en-US" w:eastAsia="zh-CN"/>
              </w:rPr>
              <w:t>道路</w:t>
            </w:r>
            <w:r>
              <w:rPr>
                <w:rFonts w:hint="default" w:ascii="Times New Roman" w:hAnsi="Times New Roman" w:cs="Times New Roman"/>
                <w:color w:val="auto"/>
                <w:sz w:val="24"/>
                <w:szCs w:val="24"/>
                <w:highlight w:val="none"/>
                <w:lang w:val="en-US" w:eastAsia="zh-CN"/>
              </w:rPr>
              <w:t>一侧设置围挡，并设有沉淀池等措施，</w:t>
            </w:r>
            <w:r>
              <w:rPr>
                <w:rFonts w:hint="default" w:ascii="Times New Roman" w:hAnsi="Times New Roman" w:eastAsia="宋体" w:cs="Times New Roman"/>
                <w:color w:val="auto"/>
                <w:sz w:val="24"/>
                <w:szCs w:val="24"/>
                <w:highlight w:val="none"/>
              </w:rPr>
              <w:t>可以在很大程度上杜绝施工场地、建筑垃圾堆场的废水、废渣以及可能的水土流失造成对河水水质的负面影响。</w:t>
            </w:r>
          </w:p>
          <w:p w14:paraId="5C46A3E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②环保措施</w:t>
            </w:r>
          </w:p>
          <w:p w14:paraId="3B5266D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TimesNewRomanPSMT" w:cs="Times New Roman"/>
                <w:color w:val="auto"/>
                <w:sz w:val="24"/>
                <w:szCs w:val="24"/>
                <w:highlight w:val="none"/>
              </w:rPr>
              <w:t>1</w:t>
            </w:r>
            <w:r>
              <w:rPr>
                <w:rFonts w:hint="default" w:ascii="Times New Roman" w:hAnsi="Times New Roman" w:eastAsia="宋体" w:cs="Times New Roman"/>
                <w:color w:val="auto"/>
                <w:sz w:val="24"/>
                <w:szCs w:val="24"/>
                <w:highlight w:val="none"/>
              </w:rPr>
              <w:t>）施工期废水对</w:t>
            </w:r>
            <w:r>
              <w:rPr>
                <w:rFonts w:hint="eastAsia" w:cs="Times New Roman"/>
                <w:color w:val="auto"/>
                <w:sz w:val="24"/>
                <w:szCs w:val="24"/>
                <w:highlight w:val="none"/>
                <w:lang w:val="en-US" w:eastAsia="zh-CN"/>
              </w:rPr>
              <w:t>柳城河</w:t>
            </w:r>
            <w:r>
              <w:rPr>
                <w:rFonts w:hint="default" w:ascii="Times New Roman" w:hAnsi="Times New Roman" w:eastAsia="宋体" w:cs="Times New Roman"/>
                <w:color w:val="auto"/>
                <w:sz w:val="24"/>
                <w:szCs w:val="24"/>
                <w:highlight w:val="none"/>
              </w:rPr>
              <w:t>水质的影响及减缓措施</w:t>
            </w:r>
          </w:p>
          <w:p w14:paraId="0C16EBC9">
            <w:pPr>
              <w:keepNext w:val="0"/>
              <w:keepLines w:val="0"/>
              <w:pageBreakBefore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根据分析，项目施工期</w:t>
            </w:r>
            <w:r>
              <w:rPr>
                <w:rFonts w:hint="eastAsia" w:cs="Times New Roman"/>
                <w:color w:val="auto"/>
                <w:sz w:val="24"/>
                <w:szCs w:val="24"/>
                <w:highlight w:val="none"/>
                <w:lang w:eastAsia="zh-CN"/>
              </w:rPr>
              <w:t>基坑渗水</w:t>
            </w:r>
            <w:r>
              <w:rPr>
                <w:rFonts w:hint="default" w:ascii="Times New Roman" w:hAnsi="Times New Roman" w:cs="Times New Roman"/>
                <w:color w:val="auto"/>
                <w:szCs w:val="24"/>
                <w:highlight w:val="none"/>
              </w:rPr>
              <w:t>经集水井收集后由潜污泵抽排至沉淀池，</w:t>
            </w:r>
            <w:r>
              <w:rPr>
                <w:rFonts w:hint="default" w:ascii="Times New Roman" w:hAnsi="Times New Roman" w:cs="Times New Roman"/>
                <w:color w:val="auto"/>
                <w:highlight w:val="none"/>
                <w:lang w:val="en-US" w:eastAsia="zh-CN"/>
              </w:rPr>
              <w:t>处理</w:t>
            </w:r>
            <w:r>
              <w:rPr>
                <w:rFonts w:hint="default" w:ascii="Times New Roman" w:hAnsi="Times New Roman" w:cs="Times New Roman"/>
                <w:color w:val="auto"/>
                <w:highlight w:val="none"/>
                <w:lang w:val="fr-FR" w:eastAsia="zh-CN"/>
              </w:rPr>
              <w:t>后</w:t>
            </w:r>
            <w:r>
              <w:rPr>
                <w:rFonts w:hint="default" w:ascii="Times New Roman" w:hAnsi="Times New Roman" w:cs="Times New Roman"/>
                <w:color w:val="auto"/>
                <w:highlight w:val="none"/>
                <w:lang w:val="en-US" w:eastAsia="zh-CN"/>
              </w:rPr>
              <w:t>再由</w:t>
            </w:r>
            <w:r>
              <w:rPr>
                <w:rFonts w:hint="default" w:ascii="Times New Roman" w:hAnsi="Times New Roman" w:cs="Times New Roman"/>
                <w:color w:val="auto"/>
                <w:highlight w:val="none"/>
                <w:lang w:val="fr-FR" w:eastAsia="zh-CN"/>
              </w:rPr>
              <w:t>清水泵排入河流</w:t>
            </w:r>
            <w:r>
              <w:rPr>
                <w:rFonts w:hint="default" w:ascii="Times New Roman" w:hAnsi="Times New Roman" w:eastAsia="宋体" w:cs="Times New Roman"/>
                <w:color w:val="auto"/>
                <w:sz w:val="24"/>
                <w:szCs w:val="24"/>
                <w:highlight w:val="none"/>
              </w:rPr>
              <w:t>；项目施工</w:t>
            </w:r>
            <w:r>
              <w:rPr>
                <w:rFonts w:hint="default" w:ascii="Times New Roman" w:hAnsi="Times New Roman" w:cs="Times New Roman"/>
                <w:color w:val="auto"/>
                <w:sz w:val="24"/>
                <w:szCs w:val="24"/>
                <w:highlight w:val="none"/>
                <w:lang w:val="en-US" w:eastAsia="zh-CN"/>
              </w:rPr>
              <w:t>期</w:t>
            </w:r>
            <w:r>
              <w:rPr>
                <w:rFonts w:hint="default" w:ascii="Times New Roman" w:hAnsi="Times New Roman" w:eastAsia="宋体" w:cs="Times New Roman"/>
                <w:color w:val="auto"/>
                <w:sz w:val="24"/>
                <w:szCs w:val="24"/>
                <w:highlight w:val="none"/>
              </w:rPr>
              <w:t>废水须经隔油沉淀处理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不外排</w:t>
            </w:r>
            <w:r>
              <w:rPr>
                <w:rFonts w:hint="default" w:ascii="Times New Roman" w:hAnsi="Times New Roman" w:eastAsia="宋体" w:cs="Times New Roman"/>
                <w:color w:val="auto"/>
                <w:sz w:val="24"/>
                <w:szCs w:val="24"/>
                <w:highlight w:val="none"/>
              </w:rPr>
              <w:t>。另外，项目施工期生活污水租用项目周边农户已建的生活污水处理设施（旱厕）进行收集后用作农肥，不外排。通过采取上述措施后，施工期产生的废水均</w:t>
            </w:r>
            <w:r>
              <w:rPr>
                <w:rFonts w:hint="default" w:ascii="Times New Roman" w:hAnsi="Times New Roman" w:cs="Times New Roman"/>
                <w:color w:val="auto"/>
                <w:sz w:val="24"/>
                <w:szCs w:val="24"/>
                <w:highlight w:val="none"/>
                <w:lang w:val="en-US" w:eastAsia="zh-CN"/>
              </w:rPr>
              <w:t>不外排</w:t>
            </w:r>
            <w:r>
              <w:rPr>
                <w:rFonts w:hint="default" w:ascii="Times New Roman" w:hAnsi="Times New Roman" w:eastAsia="宋体" w:cs="Times New Roman"/>
                <w:color w:val="auto"/>
                <w:sz w:val="24"/>
                <w:szCs w:val="24"/>
                <w:highlight w:val="none"/>
              </w:rPr>
              <w:t>，对</w:t>
            </w:r>
            <w:r>
              <w:rPr>
                <w:rFonts w:hint="eastAsia" w:cs="Times New Roman"/>
                <w:color w:val="auto"/>
                <w:sz w:val="24"/>
                <w:szCs w:val="24"/>
                <w:highlight w:val="none"/>
                <w:lang w:val="en-US" w:eastAsia="zh-CN"/>
              </w:rPr>
              <w:t>柳城河</w:t>
            </w:r>
            <w:r>
              <w:rPr>
                <w:rFonts w:hint="default" w:ascii="Times New Roman" w:hAnsi="Times New Roman" w:eastAsia="宋体" w:cs="Times New Roman"/>
                <w:color w:val="auto"/>
                <w:sz w:val="24"/>
                <w:szCs w:val="24"/>
                <w:highlight w:val="none"/>
              </w:rPr>
              <w:t>水质产生的影响较小。</w:t>
            </w:r>
          </w:p>
          <w:p w14:paraId="3B213EA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除此之外，对于项目施工围堰的建设和拆除过程以及河道疏浚中会短时间内引起附近水域悬浮物浓度增高，施工围堰的建设和拆除须尽快完成，缩短工期，且根据项目特点，其对水质产生影响具有阶段性</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施工结束后，水体中</w:t>
            </w:r>
            <w:r>
              <w:rPr>
                <w:rFonts w:hint="default" w:ascii="Times New Roman" w:hAnsi="Times New Roman" w:eastAsia="TimesNewRomanPSMT" w:cs="Times New Roman"/>
                <w:color w:val="auto"/>
                <w:sz w:val="24"/>
                <w:szCs w:val="24"/>
                <w:highlight w:val="none"/>
              </w:rPr>
              <w:t>SS</w:t>
            </w:r>
            <w:r>
              <w:rPr>
                <w:rFonts w:hint="default" w:ascii="Times New Roman" w:hAnsi="Times New Roman" w:eastAsia="宋体" w:cs="Times New Roman"/>
                <w:color w:val="auto"/>
                <w:sz w:val="24"/>
                <w:szCs w:val="24"/>
                <w:highlight w:val="none"/>
              </w:rPr>
              <w:t>会逐渐恢复原有水平，不致引起水体大面积浑浊，属短期影响，施工结束后即消失。</w:t>
            </w:r>
          </w:p>
          <w:p w14:paraId="665925F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TimesNewRomanPSMT" w:cs="Times New Roman"/>
                <w:color w:val="auto"/>
                <w:sz w:val="24"/>
                <w:szCs w:val="24"/>
                <w:highlight w:val="none"/>
              </w:rPr>
              <w:t>2</w:t>
            </w:r>
            <w:r>
              <w:rPr>
                <w:rFonts w:hint="default" w:ascii="Times New Roman" w:hAnsi="Times New Roman" w:eastAsia="宋体" w:cs="Times New Roman"/>
                <w:color w:val="auto"/>
                <w:sz w:val="24"/>
                <w:szCs w:val="24"/>
                <w:highlight w:val="none"/>
              </w:rPr>
              <w:t>）施工固废对地表水水质的影响及减缓措施</w:t>
            </w:r>
          </w:p>
          <w:p w14:paraId="7C40EEC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项目开挖的土石方、表土须及时回填，禁止随意堆放在河道，避免弃渣散落进入河水。建筑垃圾应集中堆放，并远离河道。</w:t>
            </w:r>
          </w:p>
          <w:p w14:paraId="05B885A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合上述，施工期间通过采取上述措施后，项目施工对地表水水质的负面影响有限，加之项目属于防洪治理工程，其建设关乎到沿河两岸群众的生命财产安全，具有必要性，只要施工单位严格按照环评中提出的相关要求执行，可把影响降至最低，且这些影响是暂时</w:t>
            </w:r>
            <w:r>
              <w:rPr>
                <w:rFonts w:hint="default" w:ascii="Times New Roman" w:hAnsi="Times New Roman"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、可恢复</w:t>
            </w:r>
            <w:r>
              <w:rPr>
                <w:rFonts w:hint="default" w:ascii="Times New Roman" w:hAnsi="Times New Roman"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w:t>
            </w:r>
          </w:p>
          <w:p w14:paraId="15E141EC">
            <w:pP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highlight w:val="none"/>
                <w:lang w:val="en-US" w:eastAsia="zh-CN"/>
              </w:rPr>
              <w:t>施工期对水质监测断面保护措施</w:t>
            </w:r>
          </w:p>
          <w:p w14:paraId="64D1AE74">
            <w:pPr>
              <w:pStyle w:val="7"/>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项目治理河段内无</w:t>
            </w:r>
            <w:r>
              <w:rPr>
                <w:rFonts w:hint="default" w:ascii="Times New Roman" w:hAnsi="Times New Roman" w:cs="Times New Roman"/>
                <w:color w:val="auto"/>
                <w:sz w:val="24"/>
                <w:szCs w:val="24"/>
                <w:highlight w:val="none"/>
                <w:lang w:val="en-US" w:eastAsia="zh-CN"/>
              </w:rPr>
              <w:t>水质监测断面。</w:t>
            </w:r>
            <w:r>
              <w:rPr>
                <w:rFonts w:hint="default"/>
                <w:color w:val="auto"/>
                <w:sz w:val="24"/>
                <w:szCs w:val="24"/>
                <w:highlight w:val="none"/>
              </w:rPr>
              <w:t>东柳河-墩子河</w:t>
            </w:r>
            <w:r>
              <w:rPr>
                <w:rFonts w:hint="default" w:ascii="Times New Roman" w:hAnsi="Times New Roman" w:cs="Times New Roman"/>
                <w:bCs w:val="0"/>
                <w:color w:val="auto"/>
                <w:sz w:val="24"/>
                <w:szCs w:val="24"/>
                <w:highlight w:val="none"/>
                <w:lang w:val="en-US" w:eastAsia="zh-CN"/>
              </w:rPr>
              <w:t>水质监测断面位于本项目</w:t>
            </w:r>
            <w:r>
              <w:rPr>
                <w:rFonts w:hint="default" w:cs="Times New Roman"/>
                <w:bCs w:val="0"/>
                <w:color w:val="auto"/>
                <w:sz w:val="24"/>
                <w:szCs w:val="24"/>
                <w:highlight w:val="none"/>
                <w:lang w:val="en-US" w:eastAsia="zh-CN"/>
              </w:rPr>
              <w:t>二郎段</w:t>
            </w:r>
            <w:r>
              <w:rPr>
                <w:rFonts w:hint="default" w:ascii="Times New Roman" w:hAnsi="Times New Roman" w:cs="Times New Roman"/>
                <w:color w:val="auto"/>
                <w:sz w:val="24"/>
                <w:szCs w:val="24"/>
                <w:highlight w:val="none"/>
              </w:rPr>
              <w:t>治理河段</w:t>
            </w:r>
            <w:r>
              <w:rPr>
                <w:rFonts w:hint="default" w:ascii="Times New Roman" w:hAnsi="Times New Roman" w:cs="Times New Roman"/>
                <w:color w:val="auto"/>
                <w:sz w:val="24"/>
                <w:szCs w:val="24"/>
                <w:highlight w:val="none"/>
                <w:lang w:val="en-US" w:eastAsia="zh-CN"/>
              </w:rPr>
              <w:t>终点下</w:t>
            </w:r>
            <w:r>
              <w:rPr>
                <w:rFonts w:hint="default" w:ascii="Times New Roman" w:hAnsi="Times New Roman" w:cs="Times New Roman"/>
                <w:bCs w:val="0"/>
                <w:color w:val="auto"/>
                <w:sz w:val="24"/>
                <w:szCs w:val="24"/>
                <w:highlight w:val="none"/>
                <w:lang w:val="en-US" w:eastAsia="zh-CN"/>
              </w:rPr>
              <w:t>游约</w:t>
            </w:r>
            <w:r>
              <w:rPr>
                <w:rFonts w:hint="default" w:cs="Times New Roman"/>
                <w:bCs w:val="0"/>
                <w:color w:val="auto"/>
                <w:sz w:val="24"/>
                <w:szCs w:val="24"/>
                <w:highlight w:val="none"/>
                <w:lang w:val="en-US" w:eastAsia="zh-CN"/>
              </w:rPr>
              <w:t>13</w:t>
            </w:r>
            <w:r>
              <w:rPr>
                <w:rFonts w:hint="default" w:ascii="Times New Roman" w:hAnsi="Times New Roman" w:cs="Times New Roman"/>
                <w:bCs w:val="0"/>
                <w:color w:val="auto"/>
                <w:sz w:val="24"/>
                <w:szCs w:val="24"/>
                <w:highlight w:val="none"/>
                <w:lang w:val="en-US" w:eastAsia="zh-CN"/>
              </w:rPr>
              <w:t>km处</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本项目</w:t>
            </w:r>
            <w:r>
              <w:rPr>
                <w:rFonts w:hint="default" w:cs="Times New Roman"/>
                <w:color w:val="auto"/>
                <w:sz w:val="24"/>
                <w:szCs w:val="24"/>
                <w:highlight w:val="none"/>
                <w:lang w:val="en-US" w:eastAsia="zh-CN"/>
              </w:rPr>
              <w:t>距</w:t>
            </w:r>
            <w:r>
              <w:rPr>
                <w:rFonts w:hint="default" w:ascii="Times New Roman" w:hAnsi="Times New Roman" w:cs="Times New Roman"/>
                <w:color w:val="auto"/>
                <w:sz w:val="24"/>
                <w:szCs w:val="24"/>
                <w:highlight w:val="none"/>
                <w:lang w:val="en-US" w:eastAsia="zh-CN"/>
              </w:rPr>
              <w:t>离</w:t>
            </w:r>
            <w:r>
              <w:rPr>
                <w:rFonts w:hint="default"/>
                <w:color w:val="auto"/>
                <w:sz w:val="24"/>
                <w:szCs w:val="24"/>
                <w:highlight w:val="none"/>
              </w:rPr>
              <w:t>东柳河-墩子河</w:t>
            </w:r>
            <w:r>
              <w:rPr>
                <w:rFonts w:hint="default" w:ascii="Times New Roman" w:hAnsi="Times New Roman" w:cs="Times New Roman"/>
                <w:bCs w:val="0"/>
                <w:color w:val="auto"/>
                <w:sz w:val="24"/>
                <w:szCs w:val="24"/>
                <w:highlight w:val="none"/>
                <w:lang w:val="en-US" w:eastAsia="zh-CN"/>
              </w:rPr>
              <w:t>水质监测断面的距离均较远</w:t>
            </w:r>
            <w:r>
              <w:rPr>
                <w:rFonts w:hint="eastAsia" w:ascii="Times New Roman" w:hAnsi="Times New Roman" w:eastAsia="宋体" w:cs="Times New Roman"/>
                <w:bCs w:val="0"/>
                <w:color w:val="auto"/>
                <w:sz w:val="24"/>
                <w:szCs w:val="24"/>
                <w:highlight w:val="none"/>
                <w:lang w:val="en-US" w:eastAsia="zh-CN"/>
              </w:rPr>
              <w:t>；治理段内也不涉及河长制考核断面，且</w:t>
            </w:r>
            <w:r>
              <w:rPr>
                <w:rFonts w:hint="default" w:ascii="Times New Roman" w:hAnsi="Times New Roman" w:cs="Times New Roman"/>
                <w:bCs w:val="0"/>
                <w:color w:val="auto"/>
                <w:sz w:val="24"/>
                <w:szCs w:val="24"/>
                <w:highlight w:val="none"/>
                <w:lang w:val="en-US" w:eastAsia="zh-CN"/>
              </w:rPr>
              <w:t>自然沉淀影响小</w:t>
            </w:r>
            <w:r>
              <w:rPr>
                <w:rFonts w:hint="eastAsia" w:ascii="Times New Roman" w:hAnsi="Times New Roman" w:eastAsia="宋体" w:cs="Times New Roman"/>
                <w:bCs w:val="0"/>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施工时须提前通知</w:t>
            </w:r>
            <w:r>
              <w:rPr>
                <w:rFonts w:hint="default"/>
                <w:color w:val="auto"/>
                <w:sz w:val="24"/>
                <w:szCs w:val="24"/>
                <w:highlight w:val="none"/>
              </w:rPr>
              <w:t>东柳河-墩子河</w:t>
            </w:r>
            <w:r>
              <w:rPr>
                <w:rFonts w:hint="default" w:ascii="Times New Roman" w:hAnsi="Times New Roman" w:cs="Times New Roman"/>
                <w:bCs w:val="0"/>
                <w:color w:val="auto"/>
                <w:sz w:val="24"/>
                <w:szCs w:val="24"/>
                <w:highlight w:val="none"/>
                <w:lang w:val="en-US" w:eastAsia="zh-CN"/>
              </w:rPr>
              <w:t>水质监测断面、</w:t>
            </w:r>
            <w:r>
              <w:rPr>
                <w:rFonts w:hint="default" w:ascii="Times New Roman" w:hAnsi="Times New Roman" w:eastAsia="宋体" w:cs="Times New Roman"/>
                <w:color w:val="auto"/>
                <w:sz w:val="24"/>
                <w:szCs w:val="24"/>
                <w:highlight w:val="none"/>
              </w:rPr>
              <w:t>河长制考核断面</w:t>
            </w:r>
            <w:r>
              <w:rPr>
                <w:rFonts w:hint="default" w:ascii="Times New Roman" w:hAnsi="Times New Roman" w:cs="Times New Roman"/>
                <w:color w:val="auto"/>
                <w:sz w:val="24"/>
                <w:szCs w:val="24"/>
                <w:highlight w:val="none"/>
                <w:lang w:val="en-US" w:eastAsia="zh-CN"/>
              </w:rPr>
              <w:t>相关管理部门</w:t>
            </w:r>
            <w:r>
              <w:rPr>
                <w:rFonts w:hint="default" w:ascii="Times New Roman" w:hAnsi="Times New Roman" w:cs="Times New Roman"/>
                <w:bCs w:val="0"/>
                <w:color w:val="auto"/>
                <w:sz w:val="24"/>
                <w:szCs w:val="24"/>
                <w:highlight w:val="none"/>
                <w:lang w:val="en-US" w:eastAsia="zh-CN"/>
              </w:rPr>
              <w:t>。</w:t>
            </w:r>
          </w:p>
          <w:p w14:paraId="31704056">
            <w:pPr>
              <w:widowControl/>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5.1.</w:t>
            </w:r>
            <w:r>
              <w:rPr>
                <w:rFonts w:hint="eastAsia" w:cs="Times New Roman"/>
                <w:b/>
                <w:bCs/>
                <w:color w:val="auto"/>
                <w:highlight w:val="none"/>
                <w:lang w:val="en-US" w:eastAsia="zh-CN"/>
              </w:rPr>
              <w:t>1.</w:t>
            </w:r>
            <w:r>
              <w:rPr>
                <w:rFonts w:hint="default" w:ascii="Times New Roman" w:hAnsi="Times New Roman" w:cs="Times New Roman"/>
                <w:b/>
                <w:bCs/>
                <w:color w:val="auto"/>
                <w:highlight w:val="none"/>
              </w:rPr>
              <w:t>3水土流失防治措施</w:t>
            </w:r>
          </w:p>
          <w:p w14:paraId="6AE5E6D8">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针对工程特征和新增水土流失特点，因地制宜，合理布局，在布设项目工程水土保持措施时，采取永久和临时措施相结合、工程和生物措施相结合的原则，防治工程建设中的水土流失。同时也要依法治理防治责任范围内的水土流失，建成一套完整的水土流失防治体系。</w:t>
            </w:r>
          </w:p>
          <w:p w14:paraId="04C2A4AE">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常用到的主要有工程措施、植物措施、施工临时措施。</w:t>
            </w:r>
          </w:p>
          <w:p w14:paraId="24BC1971">
            <w:pPr>
              <w:widowControl/>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（1）堤防工程区</w:t>
            </w:r>
          </w:p>
          <w:p w14:paraId="74F65135">
            <w:pPr>
              <w:keepNext w:val="0"/>
              <w:keepLines w:val="0"/>
              <w:pageBreakBefore w:val="0"/>
              <w:widowControl w:val="0"/>
              <w:numPr>
                <w:ilvl w:val="0"/>
                <w:numId w:val="10"/>
              </w:numPr>
              <w:kinsoku/>
              <w:wordWrap/>
              <w:overflowPunct/>
              <w:topLinePunct w:val="0"/>
              <w:autoSpaceDE/>
              <w:autoSpaceDN/>
              <w:bidi w:val="0"/>
              <w:adjustRightInd/>
              <w:snapToGrid/>
              <w:spacing w:beforeLines="0" w:afterLines="0"/>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工程措施</w:t>
            </w:r>
          </w:p>
          <w:p w14:paraId="6795F3D0">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w:t>
            </w:r>
            <w:r>
              <w:rPr>
                <w:rFonts w:hint="default" w:ascii="Times New Roman" w:hAnsi="Times New Roman" w:eastAsia="宋体" w:cs="Times New Roman"/>
                <w:color w:val="auto"/>
                <w:sz w:val="24"/>
                <w:szCs w:val="24"/>
                <w:highlight w:val="none"/>
                <w:lang w:val="en-US" w:eastAsia="zh-CN"/>
              </w:rPr>
              <w:t>项目主体工程设置排水沟。</w:t>
            </w:r>
            <w:r>
              <w:rPr>
                <w:rFonts w:hint="default" w:ascii="Times New Roman" w:hAnsi="Times New Roman" w:eastAsia="宋体" w:cs="Times New Roman"/>
                <w:color w:val="auto"/>
                <w:sz w:val="24"/>
                <w:szCs w:val="24"/>
                <w:highlight w:val="none"/>
              </w:rPr>
              <w:t>本区域表土资源较为丰富，剥离的区域为整个工程区内部分区域，本区域表土剥离面积</w:t>
            </w:r>
            <w:r>
              <w:rPr>
                <w:rFonts w:hint="eastAsia" w:cs="Times New Roman"/>
                <w:color w:val="auto"/>
                <w:sz w:val="24"/>
                <w:szCs w:val="24"/>
                <w:highlight w:val="none"/>
                <w:lang w:val="en-US" w:eastAsia="zh-CN"/>
              </w:rPr>
              <w:t>1.14hm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，剥离厚度</w:t>
            </w:r>
            <w:r>
              <w:rPr>
                <w:rFonts w:hint="default" w:ascii="Times New Roman" w:hAnsi="Times New Roman" w:eastAsia="TimesNewRomanPSMT" w:cs="Times New Roman"/>
                <w:color w:val="auto"/>
                <w:sz w:val="24"/>
                <w:szCs w:val="24"/>
                <w:highlight w:val="none"/>
              </w:rPr>
              <w:t>20cm</w:t>
            </w:r>
            <w:r>
              <w:rPr>
                <w:rFonts w:hint="default" w:ascii="Times New Roman" w:hAnsi="Times New Roman" w:eastAsia="宋体" w:cs="Times New Roman"/>
                <w:color w:val="auto"/>
                <w:sz w:val="24"/>
                <w:szCs w:val="24"/>
                <w:highlight w:val="none"/>
              </w:rPr>
              <w:t>，剥离量为</w:t>
            </w:r>
            <w:r>
              <w:rPr>
                <w:rFonts w:hint="eastAsia" w:cs="Times New Roman"/>
                <w:color w:val="auto"/>
                <w:sz w:val="24"/>
                <w:szCs w:val="24"/>
                <w:highlight w:val="none"/>
                <w:lang w:val="en-US" w:eastAsia="zh-CN"/>
              </w:rPr>
              <w:t>2280</w:t>
            </w:r>
            <w:r>
              <w:rPr>
                <w:rFonts w:hint="default" w:ascii="Times New Roman" w:hAnsi="Times New Roman" w:eastAsia="TimesNewRomanPSMT" w:cs="Times New Roman"/>
                <w:color w:val="auto"/>
                <w:sz w:val="24"/>
                <w:szCs w:val="24"/>
                <w:highlight w:val="none"/>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。剥离后的表土沿堤线集中堆放，回填面积</w:t>
            </w:r>
            <w:r>
              <w:rPr>
                <w:rFonts w:hint="eastAsia" w:cs="Times New Roman"/>
                <w:color w:val="auto"/>
                <w:sz w:val="24"/>
                <w:szCs w:val="24"/>
                <w:highlight w:val="none"/>
                <w:lang w:val="en-US" w:eastAsia="zh-CN"/>
              </w:rPr>
              <w:t>1.14hm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，回填厚度</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TimesNewRomanPSMT" w:cs="Times New Roman"/>
                <w:color w:val="auto"/>
                <w:sz w:val="24"/>
                <w:szCs w:val="24"/>
                <w:highlight w:val="none"/>
              </w:rPr>
              <w:t>cm</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方便</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后期进行站场绿化恢复土地时及时进行表土回覆，回覆量为</w:t>
            </w:r>
            <w:r>
              <w:rPr>
                <w:rFonts w:hint="eastAsia" w:cs="Times New Roman"/>
                <w:color w:val="auto"/>
                <w:sz w:val="24"/>
                <w:szCs w:val="24"/>
                <w:highlight w:val="none"/>
                <w:lang w:val="en-US" w:eastAsia="zh-CN"/>
              </w:rPr>
              <w:t>2280</w:t>
            </w:r>
            <w:r>
              <w:rPr>
                <w:rFonts w:hint="default" w:ascii="Times New Roman" w:hAnsi="Times New Roman" w:eastAsia="TimesNewRomanPSMT" w:cs="Times New Roman"/>
                <w:color w:val="auto"/>
                <w:sz w:val="24"/>
                <w:szCs w:val="24"/>
                <w:highlight w:val="none"/>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p>
          <w:p w14:paraId="0DE5A014">
            <w:pPr>
              <w:keepNext w:val="0"/>
              <w:keepLines w:val="0"/>
              <w:pageBreakBefore w:val="0"/>
              <w:widowControl w:val="0"/>
              <w:numPr>
                <w:ilvl w:val="0"/>
                <w:numId w:val="10"/>
              </w:numPr>
              <w:kinsoku/>
              <w:wordWrap/>
              <w:overflowPunct/>
              <w:topLinePunct w:val="0"/>
              <w:autoSpaceDE/>
              <w:autoSpaceDN/>
              <w:bidi w:val="0"/>
              <w:adjustRightInd/>
              <w:snapToGrid/>
              <w:spacing w:beforeLines="0" w:afterLines="0"/>
              <w:ind w:left="0" w:lef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植物措施</w:t>
            </w:r>
          </w:p>
          <w:p w14:paraId="43A86867">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lef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highlight w:val="none"/>
              </w:rPr>
              <w:t>工程建设期间，结合工程占地植被恢复措施，保护好草皮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将堤防两侧未成材的树木实行移栽，减少砍伐损失。</w:t>
            </w:r>
            <w:r>
              <w:rPr>
                <w:rFonts w:hint="default" w:ascii="Times New Roman" w:hAnsi="Times New Roman" w:cs="Times New Roman"/>
                <w:color w:val="auto"/>
                <w:highlight w:val="none"/>
                <w:lang w:val="en-US" w:eastAsia="zh-CN"/>
              </w:rPr>
              <w:t>并布设植草绿化措施。</w:t>
            </w:r>
          </w:p>
          <w:p w14:paraId="08516D93">
            <w:pPr>
              <w:keepNext w:val="0"/>
              <w:keepLines w:val="0"/>
              <w:pageBreakBefore w:val="0"/>
              <w:widowControl w:val="0"/>
              <w:numPr>
                <w:ilvl w:val="0"/>
                <w:numId w:val="10"/>
              </w:numPr>
              <w:kinsoku/>
              <w:wordWrap/>
              <w:overflowPunct/>
              <w:topLinePunct w:val="0"/>
              <w:autoSpaceDE/>
              <w:autoSpaceDN/>
              <w:bidi w:val="0"/>
              <w:adjustRightInd/>
              <w:snapToGrid/>
              <w:spacing w:beforeLines="0" w:afterLines="0"/>
              <w:ind w:left="0" w:lef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临时措施</w:t>
            </w:r>
          </w:p>
          <w:p w14:paraId="4E25531A">
            <w:pPr>
              <w:keepNext w:val="0"/>
              <w:keepLines w:val="0"/>
              <w:pageBreakBefore w:val="0"/>
              <w:widowControl w:val="0"/>
              <w:numPr>
                <w:ilvl w:val="0"/>
                <w:numId w:val="0"/>
              </w:numPr>
              <w:kinsoku/>
              <w:wordWrap/>
              <w:overflowPunct/>
              <w:topLinePunct w:val="0"/>
              <w:autoSpaceDE/>
              <w:autoSpaceDN/>
              <w:bidi w:val="0"/>
              <w:adjustRightInd/>
              <w:snapToGrid/>
              <w:spacing w:beforeLines="0" w:afterLines="0"/>
              <w:ind w:leftChars="0" w:firstLine="480" w:firstLineChars="200"/>
              <w:jc w:val="lef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rPr>
              <w:t>为防止施工期间降水及地面径流对开挖区造成影响，增设临时苫盖措施。临时苫盖面积</w:t>
            </w:r>
            <w:r>
              <w:rPr>
                <w:rFonts w:hint="default" w:ascii="Times New Roman" w:hAnsi="Times New Roman" w:eastAsia="TimesNewRomanPSMT" w:cs="Times New Roman"/>
                <w:color w:val="auto"/>
                <w:sz w:val="24"/>
                <w:szCs w:val="24"/>
                <w:highlight w:val="none"/>
              </w:rPr>
              <w:t>500m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w:t>
            </w:r>
          </w:p>
          <w:p w14:paraId="71BE952E">
            <w:pPr>
              <w:widowControl/>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（2）临时</w:t>
            </w:r>
            <w:r>
              <w:rPr>
                <w:rFonts w:hint="default" w:ascii="Times New Roman" w:hAnsi="Times New Roman" w:cs="Times New Roman"/>
                <w:b/>
                <w:bCs/>
                <w:color w:val="auto"/>
                <w:highlight w:val="none"/>
                <w:lang w:val="en-US" w:eastAsia="zh-CN"/>
              </w:rPr>
              <w:t>道路</w:t>
            </w:r>
            <w:r>
              <w:rPr>
                <w:rFonts w:hint="default" w:ascii="Times New Roman" w:hAnsi="Times New Roman" w:cs="Times New Roman"/>
                <w:b/>
                <w:bCs/>
                <w:color w:val="auto"/>
                <w:highlight w:val="none"/>
              </w:rPr>
              <w:t>区</w:t>
            </w:r>
          </w:p>
          <w:p w14:paraId="1C82740F">
            <w:pPr>
              <w:spacing w:beforeLines="0" w:afterLines="0"/>
              <w:jc w:val="left"/>
              <w:rPr>
                <w:rFonts w:hint="default" w:ascii="Times New Roman" w:hAnsi="Times New Roman" w:eastAsia="宋体" w:cs="Times New Roman"/>
                <w:color w:val="auto"/>
                <w:sz w:val="24"/>
                <w:szCs w:val="24"/>
                <w:highlight w:val="none"/>
              </w:rPr>
            </w:pPr>
            <w:bookmarkStart w:id="6" w:name="_bookmark312"/>
            <w:bookmarkEnd w:id="6"/>
            <w:r>
              <w:rPr>
                <w:rFonts w:hint="default" w:ascii="Times New Roman" w:hAnsi="Times New Roman" w:eastAsia="TimesNewRomanPSMT" w:cs="Times New Roman"/>
                <w:color w:val="auto"/>
                <w:sz w:val="24"/>
                <w:szCs w:val="24"/>
                <w:highlight w:val="none"/>
              </w:rPr>
              <w:t>1</w:t>
            </w:r>
            <w:r>
              <w:rPr>
                <w:rFonts w:hint="default" w:ascii="Times New Roman" w:hAnsi="Times New Roman" w:eastAsia="宋体" w:cs="Times New Roman"/>
                <w:color w:val="auto"/>
                <w:sz w:val="24"/>
                <w:szCs w:val="24"/>
                <w:highlight w:val="none"/>
              </w:rPr>
              <w:t>）工程措施</w:t>
            </w:r>
          </w:p>
          <w:p w14:paraId="01B92253">
            <w:pPr>
              <w:spacing w:beforeLines="0" w:afterLines="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施工中对可剥离的表土进行剥离，施工结束后对表土进行回覆。剥离面积</w:t>
            </w:r>
            <w:r>
              <w:rPr>
                <w:rFonts w:hint="eastAsia" w:cs="Times New Roman"/>
                <w:color w:val="auto"/>
                <w:sz w:val="24"/>
                <w:szCs w:val="24"/>
                <w:highlight w:val="none"/>
                <w:lang w:val="en-US" w:eastAsia="zh-CN"/>
              </w:rPr>
              <w:t>1.886</w:t>
            </w:r>
            <w:r>
              <w:rPr>
                <w:rFonts w:hint="eastAsia" w:eastAsia="宋体" w:cs="Times New Roman"/>
                <w:color w:val="auto"/>
                <w:sz w:val="24"/>
                <w:szCs w:val="24"/>
                <w:highlight w:val="none"/>
                <w:lang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，剥离厚度</w:t>
            </w:r>
            <w:r>
              <w:rPr>
                <w:rFonts w:hint="default" w:ascii="Times New Roman" w:hAnsi="Times New Roman" w:eastAsia="TimesNewRomanPSMT" w:cs="Times New Roman"/>
                <w:color w:val="auto"/>
                <w:sz w:val="24"/>
                <w:szCs w:val="24"/>
                <w:highlight w:val="none"/>
              </w:rPr>
              <w:t>20cm</w:t>
            </w:r>
            <w:r>
              <w:rPr>
                <w:rFonts w:hint="default" w:ascii="Times New Roman" w:hAnsi="Times New Roman" w:eastAsia="宋体" w:cs="Times New Roman"/>
                <w:color w:val="auto"/>
                <w:sz w:val="24"/>
                <w:szCs w:val="24"/>
                <w:highlight w:val="none"/>
              </w:rPr>
              <w:t>，剥离表土</w:t>
            </w:r>
            <w:r>
              <w:rPr>
                <w:rFonts w:hint="eastAsia" w:cs="Times New Roman"/>
                <w:color w:val="auto"/>
                <w:sz w:val="24"/>
                <w:szCs w:val="24"/>
                <w:highlight w:val="none"/>
                <w:lang w:val="en-US" w:eastAsia="zh-CN"/>
              </w:rPr>
              <w:t>3772</w:t>
            </w:r>
            <w:r>
              <w:rPr>
                <w:rFonts w:hint="default" w:ascii="Times New Roman" w:hAnsi="Times New Roman" w:eastAsia="TimesNewRomanPSMT" w:cs="Times New Roman"/>
                <w:color w:val="auto"/>
                <w:sz w:val="24"/>
                <w:szCs w:val="24"/>
                <w:highlight w:val="none"/>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。回覆面积</w:t>
            </w:r>
            <w:r>
              <w:rPr>
                <w:rFonts w:hint="eastAsia" w:cs="Times New Roman"/>
                <w:color w:val="auto"/>
                <w:sz w:val="24"/>
                <w:szCs w:val="24"/>
                <w:highlight w:val="none"/>
                <w:lang w:val="en-US" w:eastAsia="zh-CN"/>
              </w:rPr>
              <w:t>1.886</w:t>
            </w:r>
            <w:r>
              <w:rPr>
                <w:rFonts w:hint="eastAsia" w:eastAsia="宋体" w:cs="Times New Roman"/>
                <w:color w:val="auto"/>
                <w:sz w:val="24"/>
                <w:szCs w:val="24"/>
                <w:highlight w:val="none"/>
                <w:lang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，回覆厚度</w:t>
            </w:r>
            <w:r>
              <w:rPr>
                <w:rFonts w:hint="default" w:ascii="Times New Roman" w:hAnsi="Times New Roman" w:eastAsia="TimesNewRomanPSMT" w:cs="Times New Roman"/>
                <w:color w:val="auto"/>
                <w:sz w:val="24"/>
                <w:szCs w:val="24"/>
                <w:highlight w:val="none"/>
              </w:rPr>
              <w:t>20cm</w:t>
            </w:r>
            <w:r>
              <w:rPr>
                <w:rFonts w:hint="default" w:ascii="Times New Roman" w:hAnsi="Times New Roman" w:eastAsia="宋体" w:cs="Times New Roman"/>
                <w:color w:val="auto"/>
                <w:sz w:val="24"/>
                <w:szCs w:val="24"/>
                <w:highlight w:val="none"/>
              </w:rPr>
              <w:t>，回覆表土</w:t>
            </w:r>
            <w:r>
              <w:rPr>
                <w:rFonts w:hint="eastAsia" w:cs="Times New Roman"/>
                <w:color w:val="auto"/>
                <w:sz w:val="24"/>
                <w:szCs w:val="24"/>
                <w:highlight w:val="none"/>
                <w:lang w:val="en-US" w:eastAsia="zh-CN"/>
              </w:rPr>
              <w:t>3772</w:t>
            </w:r>
            <w:r>
              <w:rPr>
                <w:rFonts w:hint="default" w:ascii="Times New Roman" w:hAnsi="Times New Roman" w:eastAsia="TimesNewRomanPSMT" w:cs="Times New Roman"/>
                <w:color w:val="auto"/>
                <w:sz w:val="24"/>
                <w:szCs w:val="24"/>
                <w:highlight w:val="none"/>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p>
          <w:p w14:paraId="3B0B05FC">
            <w:pPr>
              <w:spacing w:beforeLines="0" w:afterLines="0"/>
              <w:jc w:val="left"/>
              <w:rPr>
                <w:rFonts w:hint="default" w:ascii="Times New Roman" w:hAnsi="Times New Roman" w:eastAsia="宋体" w:cs="Times New Roman"/>
                <w:color w:val="auto"/>
                <w:sz w:val="24"/>
                <w:szCs w:val="24"/>
                <w:highlight w:val="none"/>
              </w:rPr>
            </w:pPr>
            <w:r>
              <w:rPr>
                <w:rFonts w:hint="default" w:ascii="Times New Roman" w:hAnsi="Times New Roman" w:eastAsia="TimesNewRomanPSMT" w:cs="Times New Roman"/>
                <w:color w:val="auto"/>
                <w:sz w:val="24"/>
                <w:szCs w:val="24"/>
                <w:highlight w:val="none"/>
              </w:rPr>
              <w:t>2</w:t>
            </w:r>
            <w:r>
              <w:rPr>
                <w:rFonts w:hint="default" w:ascii="Times New Roman" w:hAnsi="Times New Roman" w:eastAsia="宋体" w:cs="Times New Roman"/>
                <w:color w:val="auto"/>
                <w:sz w:val="24"/>
                <w:szCs w:val="24"/>
                <w:highlight w:val="none"/>
              </w:rPr>
              <w:t>）临时措施</w:t>
            </w:r>
          </w:p>
          <w:p w14:paraId="0C2C854A">
            <w:pPr>
              <w:spacing w:beforeLines="0" w:afterLine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为防止施工降水及地面径流对施工区造成影响，增设临时苫盖措施。临时苫盖面积</w:t>
            </w:r>
            <w:r>
              <w:rPr>
                <w:rFonts w:hint="default" w:ascii="Times New Roman" w:hAnsi="Times New Roman" w:eastAsia="TimesNewRomanPSMT" w:cs="Times New Roman"/>
                <w:color w:val="auto"/>
                <w:sz w:val="24"/>
                <w:szCs w:val="24"/>
                <w:highlight w:val="none"/>
              </w:rPr>
              <w:t>500m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w:t>
            </w:r>
          </w:p>
          <w:p w14:paraId="7DE3E73B">
            <w:pPr>
              <w:spacing w:beforeLines="0" w:afterLines="0"/>
              <w:jc w:val="left"/>
              <w:rPr>
                <w:rFonts w:hint="default" w:ascii="Times New Roman" w:hAnsi="Times New Roman" w:eastAsia="宋体" w:cs="Times New Roman"/>
                <w:color w:val="auto"/>
                <w:sz w:val="24"/>
                <w:szCs w:val="24"/>
                <w:highlight w:val="none"/>
              </w:rPr>
            </w:pPr>
            <w:r>
              <w:rPr>
                <w:rFonts w:hint="default" w:ascii="Times New Roman" w:hAnsi="Times New Roman" w:eastAsia="TimesNewRomanPSMT" w:cs="Times New Roman"/>
                <w:color w:val="auto"/>
                <w:sz w:val="24"/>
                <w:szCs w:val="24"/>
                <w:highlight w:val="none"/>
              </w:rPr>
              <w:t>3</w:t>
            </w:r>
            <w:r>
              <w:rPr>
                <w:rFonts w:hint="default" w:ascii="Times New Roman" w:hAnsi="Times New Roman" w:eastAsia="宋体" w:cs="Times New Roman"/>
                <w:color w:val="auto"/>
                <w:sz w:val="24"/>
                <w:szCs w:val="24"/>
                <w:highlight w:val="none"/>
              </w:rPr>
              <w:t>）植物措施</w:t>
            </w:r>
          </w:p>
          <w:p w14:paraId="7EEBE197">
            <w:pPr>
              <w:spacing w:beforeLines="0" w:afterLines="0"/>
              <w:jc w:val="left"/>
              <w:rPr>
                <w:rFonts w:hint="default" w:ascii="Times New Roman" w:hAnsi="Times New Roman" w:cs="Times New Roman"/>
                <w:color w:val="auto"/>
                <w:highlight w:val="none"/>
                <w:lang w:eastAsia="zh-CN"/>
              </w:rPr>
            </w:pPr>
            <w:r>
              <w:rPr>
                <w:rFonts w:hint="default" w:ascii="Times New Roman" w:hAnsi="Times New Roman" w:eastAsia="宋体" w:cs="Times New Roman"/>
                <w:color w:val="auto"/>
                <w:sz w:val="24"/>
                <w:szCs w:val="24"/>
                <w:highlight w:val="none"/>
              </w:rPr>
              <w:t>施工结束后，拟对施工占地进行撒播草籽防护。播撒草籽面积</w:t>
            </w:r>
            <w:r>
              <w:rPr>
                <w:rFonts w:hint="eastAsia" w:cs="Times New Roman"/>
                <w:color w:val="auto"/>
                <w:sz w:val="24"/>
                <w:szCs w:val="24"/>
                <w:highlight w:val="none"/>
                <w:lang w:val="en-US" w:eastAsia="zh-CN"/>
              </w:rPr>
              <w:t>1.886</w:t>
            </w:r>
            <w:r>
              <w:rPr>
                <w:rFonts w:hint="eastAsia" w:eastAsia="宋体" w:cs="Times New Roman"/>
                <w:color w:val="auto"/>
                <w:sz w:val="24"/>
                <w:szCs w:val="24"/>
                <w:highlight w:val="none"/>
                <w:lang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，播撒密度</w:t>
            </w:r>
            <w:r>
              <w:rPr>
                <w:rFonts w:hint="default" w:ascii="Times New Roman" w:hAnsi="Times New Roman" w:eastAsia="TimesNewRomanPSMT" w:cs="Times New Roman"/>
                <w:color w:val="auto"/>
                <w:sz w:val="24"/>
                <w:szCs w:val="24"/>
                <w:highlight w:val="none"/>
              </w:rPr>
              <w:t>80kg/hm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w:t>
            </w:r>
          </w:p>
          <w:p w14:paraId="58943238">
            <w:pPr>
              <w:widowControl/>
              <w:ind w:firstLine="482"/>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w:t>
            </w: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w:t>
            </w:r>
            <w:r>
              <w:rPr>
                <w:rFonts w:hint="default" w:ascii="Times New Roman" w:hAnsi="Times New Roman" w:cs="Times New Roman"/>
                <w:b/>
                <w:bCs/>
                <w:color w:val="auto"/>
                <w:sz w:val="24"/>
                <w:szCs w:val="24"/>
                <w:highlight w:val="none"/>
                <w:lang w:val="en-US" w:eastAsia="zh-CN"/>
              </w:rPr>
              <w:t>施工场地</w:t>
            </w:r>
            <w:r>
              <w:rPr>
                <w:rFonts w:hint="default" w:ascii="Times New Roman" w:hAnsi="Times New Roman" w:cs="Times New Roman"/>
                <w:b/>
                <w:bCs/>
                <w:color w:val="auto"/>
                <w:sz w:val="24"/>
                <w:szCs w:val="24"/>
                <w:highlight w:val="none"/>
              </w:rPr>
              <w:t>区</w:t>
            </w:r>
          </w:p>
          <w:p w14:paraId="61EA41D1">
            <w:pPr>
              <w:spacing w:beforeLines="0" w:afterLines="0"/>
              <w:jc w:val="left"/>
              <w:rPr>
                <w:rFonts w:hint="default" w:ascii="Times New Roman" w:hAnsi="Times New Roman" w:eastAsia="宋体" w:cs="Times New Roman"/>
                <w:color w:val="auto"/>
                <w:sz w:val="24"/>
                <w:szCs w:val="24"/>
                <w:highlight w:val="none"/>
              </w:rPr>
            </w:pPr>
            <w:r>
              <w:rPr>
                <w:rFonts w:hint="default" w:ascii="Times New Roman" w:hAnsi="Times New Roman" w:eastAsia="TimesNewRomanPSMT" w:cs="Times New Roman"/>
                <w:color w:val="auto"/>
                <w:sz w:val="24"/>
                <w:szCs w:val="24"/>
                <w:highlight w:val="none"/>
              </w:rPr>
              <w:t>1</w:t>
            </w:r>
            <w:r>
              <w:rPr>
                <w:rFonts w:hint="default" w:ascii="Times New Roman" w:hAnsi="Times New Roman" w:eastAsia="宋体" w:cs="Times New Roman"/>
                <w:color w:val="auto"/>
                <w:sz w:val="24"/>
                <w:szCs w:val="24"/>
                <w:highlight w:val="none"/>
              </w:rPr>
              <w:t>）工程措施</w:t>
            </w:r>
          </w:p>
          <w:p w14:paraId="6F00EC3D">
            <w:pPr>
              <w:spacing w:beforeLines="0" w:afterLine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施工中对可剥离的表土进行剥离，施工结束后对表土进行回覆。剥离面积</w:t>
            </w:r>
            <w:r>
              <w:rPr>
                <w:rFonts w:hint="eastAsia" w:cs="Times New Roman"/>
                <w:color w:val="auto"/>
                <w:sz w:val="24"/>
                <w:szCs w:val="24"/>
                <w:highlight w:val="none"/>
                <w:lang w:val="en-US" w:eastAsia="zh-CN"/>
              </w:rPr>
              <w:t>0.12</w:t>
            </w:r>
            <w:r>
              <w:rPr>
                <w:rFonts w:hint="eastAsia" w:eastAsia="宋体" w:cs="Times New Roman"/>
                <w:color w:val="auto"/>
                <w:sz w:val="24"/>
                <w:szCs w:val="24"/>
                <w:highlight w:val="none"/>
                <w:lang w:eastAsia="zh-CN"/>
              </w:rPr>
              <w:t>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，剥离厚度</w:t>
            </w:r>
            <w:r>
              <w:rPr>
                <w:rFonts w:hint="default" w:ascii="Times New Roman" w:hAnsi="Times New Roman" w:eastAsia="TimesNewRomanPSMT" w:cs="Times New Roman"/>
                <w:color w:val="auto"/>
                <w:sz w:val="24"/>
                <w:szCs w:val="24"/>
                <w:highlight w:val="none"/>
              </w:rPr>
              <w:t>20cm</w:t>
            </w:r>
            <w:r>
              <w:rPr>
                <w:rFonts w:hint="default" w:ascii="Times New Roman" w:hAnsi="Times New Roman" w:eastAsia="宋体" w:cs="Times New Roman"/>
                <w:color w:val="auto"/>
                <w:sz w:val="24"/>
                <w:szCs w:val="24"/>
                <w:highlight w:val="none"/>
              </w:rPr>
              <w:t>，剥离表土</w:t>
            </w:r>
            <w:r>
              <w:rPr>
                <w:rFonts w:hint="eastAsia" w:cs="Times New Roman"/>
                <w:color w:val="auto"/>
                <w:sz w:val="24"/>
                <w:szCs w:val="24"/>
                <w:highlight w:val="none"/>
                <w:lang w:val="en-US" w:eastAsia="zh-CN"/>
              </w:rPr>
              <w:t>240m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。回覆面积</w:t>
            </w:r>
            <w:r>
              <w:rPr>
                <w:rFonts w:hint="eastAsia" w:cs="Times New Roman"/>
                <w:color w:val="auto"/>
                <w:sz w:val="24"/>
                <w:szCs w:val="24"/>
                <w:highlight w:val="none"/>
                <w:lang w:val="en-US" w:eastAsia="zh-CN"/>
              </w:rPr>
              <w:t>0.12hm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，回覆厚度</w:t>
            </w:r>
            <w:r>
              <w:rPr>
                <w:rFonts w:hint="default" w:ascii="Times New Roman" w:hAnsi="Times New Roman" w:eastAsia="TimesNewRomanPSMT" w:cs="Times New Roman"/>
                <w:color w:val="auto"/>
                <w:sz w:val="24"/>
                <w:szCs w:val="24"/>
                <w:highlight w:val="none"/>
              </w:rPr>
              <w:t>20cm</w:t>
            </w:r>
            <w:r>
              <w:rPr>
                <w:rFonts w:hint="default" w:ascii="Times New Roman" w:hAnsi="Times New Roman" w:eastAsia="宋体" w:cs="Times New Roman"/>
                <w:color w:val="auto"/>
                <w:sz w:val="24"/>
                <w:szCs w:val="24"/>
                <w:highlight w:val="none"/>
              </w:rPr>
              <w:t>，回覆表土</w:t>
            </w:r>
            <w:r>
              <w:rPr>
                <w:rFonts w:hint="eastAsia" w:cs="Times New Roman"/>
                <w:color w:val="auto"/>
                <w:sz w:val="24"/>
                <w:szCs w:val="24"/>
                <w:highlight w:val="none"/>
                <w:lang w:val="en-US" w:eastAsia="zh-CN"/>
              </w:rPr>
              <w:t>240</w:t>
            </w:r>
            <w:r>
              <w:rPr>
                <w:rFonts w:hint="default" w:ascii="Times New Roman" w:hAnsi="Times New Roman" w:eastAsia="TimesNewRomanPSMT" w:cs="Times New Roman"/>
                <w:color w:val="auto"/>
                <w:sz w:val="24"/>
                <w:szCs w:val="24"/>
                <w:highlight w:val="none"/>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p>
          <w:p w14:paraId="0FE5BB60">
            <w:pPr>
              <w:spacing w:beforeLines="0" w:afterLines="0"/>
              <w:jc w:val="left"/>
              <w:rPr>
                <w:rFonts w:hint="default" w:ascii="Times New Roman" w:hAnsi="Times New Roman" w:eastAsia="宋体" w:cs="Times New Roman"/>
                <w:color w:val="auto"/>
                <w:sz w:val="24"/>
                <w:szCs w:val="24"/>
                <w:highlight w:val="none"/>
              </w:rPr>
            </w:pPr>
            <w:r>
              <w:rPr>
                <w:rFonts w:hint="default" w:ascii="Times New Roman" w:hAnsi="Times New Roman" w:eastAsia="TimesNewRomanPSMT" w:cs="Times New Roman"/>
                <w:color w:val="auto"/>
                <w:sz w:val="24"/>
                <w:szCs w:val="24"/>
                <w:highlight w:val="none"/>
              </w:rPr>
              <w:t>2</w:t>
            </w:r>
            <w:r>
              <w:rPr>
                <w:rFonts w:hint="default" w:ascii="Times New Roman" w:hAnsi="Times New Roman" w:eastAsia="宋体" w:cs="Times New Roman"/>
                <w:color w:val="auto"/>
                <w:sz w:val="24"/>
                <w:szCs w:val="24"/>
                <w:highlight w:val="none"/>
              </w:rPr>
              <w:t>）植物措施</w:t>
            </w:r>
          </w:p>
          <w:p w14:paraId="7CB4C20B">
            <w:pPr>
              <w:spacing w:beforeLines="0" w:afterLines="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施工结束后，拟对施工占地进行撒播草籽防护。播撒草籽面积</w:t>
            </w:r>
            <w:r>
              <w:rPr>
                <w:rFonts w:hint="eastAsia" w:cs="Times New Roman"/>
                <w:color w:val="auto"/>
                <w:sz w:val="24"/>
                <w:szCs w:val="24"/>
                <w:highlight w:val="none"/>
                <w:lang w:val="en-US" w:eastAsia="zh-CN"/>
              </w:rPr>
              <w:t>0.12hm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，播撒密度</w:t>
            </w:r>
            <w:r>
              <w:rPr>
                <w:rFonts w:hint="default" w:ascii="Times New Roman" w:hAnsi="Times New Roman" w:eastAsia="TimesNewRomanPSMT" w:cs="Times New Roman"/>
                <w:color w:val="auto"/>
                <w:sz w:val="24"/>
                <w:szCs w:val="24"/>
                <w:highlight w:val="none"/>
              </w:rPr>
              <w:t>80kg/hm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rPr>
              <w:t>。</w:t>
            </w:r>
          </w:p>
          <w:p w14:paraId="3B822AD2">
            <w:pPr>
              <w:spacing w:beforeLines="0" w:afterLines="0"/>
              <w:jc w:val="left"/>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）临时措施</w:t>
            </w:r>
          </w:p>
          <w:p w14:paraId="27B10FD6">
            <w:pPr>
              <w:spacing w:beforeLines="0" w:afterLines="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为防止施工降水及地面径流对施工区造成影响，增设临时苫盖措施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临时拦挡、排水沟和沉淀池</w:t>
            </w:r>
            <w:r>
              <w:rPr>
                <w:rFonts w:hint="default" w:ascii="Times New Roman" w:hAnsi="Times New Roman" w:eastAsia="宋体" w:cs="Times New Roman"/>
                <w:color w:val="auto"/>
                <w:sz w:val="24"/>
                <w:szCs w:val="24"/>
                <w:highlight w:val="none"/>
              </w:rPr>
              <w:t>。临时苫盖面积</w:t>
            </w:r>
            <w:r>
              <w:rPr>
                <w:rFonts w:hint="eastAsia" w:cs="Times New Roman"/>
                <w:color w:val="auto"/>
                <w:sz w:val="24"/>
                <w:szCs w:val="24"/>
                <w:highlight w:val="none"/>
                <w:lang w:val="en-US" w:eastAsia="zh-CN"/>
              </w:rPr>
              <w:t>4</w:t>
            </w:r>
            <w:r>
              <w:rPr>
                <w:rFonts w:hint="default" w:ascii="Times New Roman" w:hAnsi="Times New Roman" w:eastAsia="TimesNewRomanPSMT" w:cs="Times New Roman"/>
                <w:color w:val="auto"/>
                <w:sz w:val="24"/>
                <w:szCs w:val="24"/>
                <w:highlight w:val="none"/>
              </w:rPr>
              <w:t>00m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eastAsia="zh-CN"/>
              </w:rPr>
              <w:t>。</w:t>
            </w:r>
          </w:p>
          <w:p w14:paraId="570954E6">
            <w:pPr>
              <w:pStyle w:val="19"/>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综上所述，本项目施工对项目区生态环境影响时间短，影响范围较小，通过采取相应的生态保护和恢复措施，生态环境可较快得到恢复，项目建设对生态环境影响可接受。</w:t>
            </w:r>
          </w:p>
          <w:p w14:paraId="32BCE10D">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5.1.</w:t>
            </w:r>
            <w:r>
              <w:rPr>
                <w:rFonts w:hint="eastAsia" w:cs="Times New Roman"/>
                <w:b/>
                <w:bCs/>
                <w:color w:val="auto"/>
                <w:highlight w:val="none"/>
                <w:lang w:val="en-US" w:eastAsia="zh-CN"/>
              </w:rPr>
              <w:t>1.</w:t>
            </w:r>
            <w:r>
              <w:rPr>
                <w:rFonts w:hint="default" w:ascii="Times New Roman" w:hAnsi="Times New Roman" w:cs="Times New Roman"/>
                <w:b/>
                <w:bCs/>
                <w:color w:val="auto"/>
                <w:highlight w:val="none"/>
                <w:lang w:val="en-US" w:eastAsia="zh-CN"/>
              </w:rPr>
              <w:t>4</w:t>
            </w:r>
            <w:r>
              <w:rPr>
                <w:rFonts w:hint="default" w:ascii="Times New Roman" w:hAnsi="Times New Roman" w:eastAsia="宋体" w:cs="Times New Roman"/>
                <w:b/>
                <w:bCs/>
                <w:color w:val="auto"/>
                <w:highlight w:val="none"/>
                <w:lang w:val="en-US" w:eastAsia="zh-CN"/>
              </w:rPr>
              <w:t xml:space="preserve"> 临时工程恢复措施</w:t>
            </w:r>
          </w:p>
          <w:p w14:paraId="000CBD1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项目临时工程主要包括导流围堰、施工场地（含淤泥干化场）、施工道路等占地。施工结束后与项目建设无关的临时设施需全面拆除和封闭，根据各处原有植被状况和植物立地条件等具体情况予以及时恢复。植草种类应选择与周围环境相适应的当地常见植物，然后实现灌木、乔木树种的自然恢复。</w:t>
            </w:r>
          </w:p>
          <w:p w14:paraId="5D56ADD5">
            <w:pPr>
              <w:widowControl/>
              <w:autoSpaceDE/>
              <w:autoSpaceDN/>
              <w:adjustRightInd/>
              <w:spacing w:line="360" w:lineRule="auto"/>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施工区域在施工准备前，需对区域表土进行剥离，剥离的表土堆放于不影响施工活动的区域内，并做好临时覆盖工作。施工结束后，将表土作为施工迹地恢复回填使用，回填结束后，采用撒播黑麦草籽进行绿化恢复，并做好管理工作，在达到绿化要求后，与主体工程一并验收交付。</w:t>
            </w:r>
          </w:p>
          <w:p w14:paraId="1A35E04C">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5.1.</w:t>
            </w:r>
            <w:r>
              <w:rPr>
                <w:rFonts w:hint="eastAsia" w:cs="Times New Roman"/>
                <w:b/>
                <w:bCs/>
                <w:color w:val="auto"/>
                <w:highlight w:val="none"/>
                <w:lang w:val="en-US" w:eastAsia="zh-CN"/>
              </w:rPr>
              <w:t>1.5</w:t>
            </w:r>
            <w:r>
              <w:rPr>
                <w:rFonts w:hint="default" w:ascii="Times New Roman" w:hAnsi="Times New Roman" w:eastAsia="宋体" w:cs="Times New Roman"/>
                <w:b/>
                <w:bCs/>
                <w:color w:val="auto"/>
                <w:highlight w:val="none"/>
                <w:lang w:val="en-US" w:eastAsia="zh-CN"/>
              </w:rPr>
              <w:t xml:space="preserve"> </w:t>
            </w:r>
            <w:r>
              <w:rPr>
                <w:rFonts w:hint="eastAsia" w:ascii="Times New Roman" w:hAnsi="Times New Roman" w:eastAsia="宋体" w:cs="Times New Roman"/>
                <w:b/>
                <w:bCs/>
                <w:color w:val="auto"/>
                <w:highlight w:val="none"/>
                <w:lang w:val="en-US" w:eastAsia="zh-CN"/>
              </w:rPr>
              <w:t>生态再生及补偿</w:t>
            </w:r>
            <w:r>
              <w:rPr>
                <w:rFonts w:hint="default" w:ascii="Times New Roman" w:hAnsi="Times New Roman" w:eastAsia="宋体" w:cs="Times New Roman"/>
                <w:b/>
                <w:bCs/>
                <w:color w:val="auto"/>
                <w:highlight w:val="none"/>
                <w:lang w:val="en-US" w:eastAsia="zh-CN"/>
              </w:rPr>
              <w:t>措施</w:t>
            </w:r>
          </w:p>
          <w:p w14:paraId="61EE099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在项目施工建设期间，为减轻工程施工对周围造成不利影响，在施工完成后应利用当地适宣植被，对施工区的植被进行恢复。</w:t>
            </w:r>
          </w:p>
          <w:p w14:paraId="0C25946D">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陆生生态修复</w:t>
            </w:r>
          </w:p>
          <w:p w14:paraId="02A42E0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存在永久占地和临时占地。永久占地已改变原有土地性质和地表生态，临时占地主要为施工期侵占动植物栖息地。区域陆生动物均有较强扩散能力，项目的施工将使它们迁移到别处，工程完工后周边陆生生物会会随着生态环境的改善而迁回。为保护当地生物多样性，施工期主要采取以下措施：</w:t>
            </w:r>
          </w:p>
          <w:p w14:paraId="21455C7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①尽量减少施工对植被的破坏，保证施工后植被的恢复；</w:t>
            </w:r>
          </w:p>
          <w:p w14:paraId="7B8A529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②保护区域水禽、鸟类及所有野生动物，禁止施工人员捕食；</w:t>
            </w:r>
          </w:p>
          <w:p w14:paraId="6A82034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③保持水土，禁止排污，促进河道周边和其他植物群落的发展，保障附近陆生生物转移栖息地得到保护</w:t>
            </w:r>
            <w:r>
              <w:rPr>
                <w:rFonts w:hint="eastAsia" w:ascii="Times New Roman" w:hAnsi="Times New Roman" w:eastAsia="宋体" w:cs="Times New Roman"/>
                <w:color w:val="auto"/>
                <w:kern w:val="0"/>
                <w:sz w:val="24"/>
                <w:szCs w:val="24"/>
                <w:highlight w:val="none"/>
                <w:lang w:val="en-US" w:eastAsia="zh-CN" w:bidi="ar"/>
              </w:rPr>
              <w:t>；</w:t>
            </w:r>
          </w:p>
          <w:p w14:paraId="3C5C3E3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④施工占地内的原有大型乔木均进行迁移种植，不得随意砍伐。</w:t>
            </w:r>
          </w:p>
          <w:p w14:paraId="488A8AF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在落实上述措施后，不会造成该区域物种数的减少和种群结构的变化，不会破坏周围生态系统的完整性。同时，绿化工程对损失的生物量具有一定的恢复和补偿作用，对周围自然生态环境的影响程度较轻。</w:t>
            </w:r>
          </w:p>
          <w:p w14:paraId="28202535">
            <w:pPr>
              <w:keepNext w:val="0"/>
              <w:keepLines w:val="0"/>
              <w:pageBreakBefore w:val="0"/>
              <w:widowControl/>
              <w:numPr>
                <w:ilvl w:val="0"/>
                <w:numId w:val="11"/>
              </w:numPr>
              <w:suppressLineNumbers w:val="0"/>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水生生态修复</w:t>
            </w:r>
          </w:p>
          <w:p w14:paraId="27DEB29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的建设会改变附近河道边缘水生生态环境，主要是减少河边底栖生物、浮游生物、原有水生植物的生物量。本项目建成后，水生生态环境会逐步稳定，区域水生生物得到一定的恢复。为了更好地保护区域水生生态环境，改善本次施工带来的不利影响，施工期结束后主要采取了以下措施</w:t>
            </w:r>
            <w:r>
              <w:rPr>
                <w:rFonts w:hint="eastAsia" w:ascii="Times New Roman" w:hAnsi="Times New Roman" w:eastAsia="宋体" w:cs="Times New Roman"/>
                <w:color w:val="auto"/>
                <w:kern w:val="0"/>
                <w:sz w:val="24"/>
                <w:szCs w:val="24"/>
                <w:highlight w:val="none"/>
                <w:lang w:val="en-US" w:eastAsia="zh-CN" w:bidi="ar"/>
              </w:rPr>
              <w:t>：</w:t>
            </w:r>
          </w:p>
          <w:p w14:paraId="19502FD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①近岸带浅水区可考虑种植水植物，如莒蒲、鸢尾、美人蕉、再力花等，宽度</w:t>
            </w:r>
            <w:r>
              <w:rPr>
                <w:rFonts w:hint="default" w:ascii="Times New Roman" w:hAnsi="Times New Roman" w:eastAsia="宋体" w:cs="Times New Roman"/>
                <w:color w:val="auto"/>
                <w:kern w:val="0"/>
                <w:sz w:val="24"/>
                <w:szCs w:val="24"/>
                <w:highlight w:val="none"/>
                <w:lang w:val="en-US" w:eastAsia="zh-CN" w:bidi="ar"/>
              </w:rPr>
              <w:t>1m</w:t>
            </w:r>
            <w:r>
              <w:rPr>
                <w:rFonts w:hint="eastAsia" w:ascii="宋体" w:hAnsi="宋体" w:eastAsia="宋体" w:cs="宋体"/>
                <w:color w:val="auto"/>
                <w:kern w:val="0"/>
                <w:sz w:val="24"/>
                <w:szCs w:val="24"/>
                <w:highlight w:val="none"/>
                <w:lang w:val="en-US" w:eastAsia="zh-CN" w:bidi="ar"/>
              </w:rPr>
              <w:t>左右</w:t>
            </w:r>
            <w:r>
              <w:rPr>
                <w:rFonts w:hint="eastAsia" w:ascii="Times New Roman" w:hAnsi="Times New Roman" w:eastAsia="宋体" w:cs="Times New Roman"/>
                <w:color w:val="auto"/>
                <w:kern w:val="0"/>
                <w:sz w:val="24"/>
                <w:szCs w:val="24"/>
                <w:highlight w:val="none"/>
                <w:lang w:val="en-US" w:eastAsia="zh-CN" w:bidi="ar"/>
              </w:rPr>
              <w:t>；</w:t>
            </w:r>
          </w:p>
          <w:p w14:paraId="721EFB9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②适宜区域种植沉水植物，品种主要考虑狐尾藻、黑藻、苦草等。</w:t>
            </w:r>
          </w:p>
          <w:p w14:paraId="77C2E11E">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由于项目流域河流流速适宜，水中溶解氧水平适当，可满足上述生态补偿措施的实施，通过增加堤防两岸水生植物分布后，附近底栖生物、浮游生物都能够得到更快的恢复。本项目涉水施工会影响河道边缘部分的生物量，但不会导致某一种类灭绝、消失。</w:t>
            </w:r>
          </w:p>
          <w:p w14:paraId="6FB09588">
            <w:pPr>
              <w:widowControl/>
              <w:numPr>
                <w:ilvl w:val="0"/>
                <w:numId w:val="0"/>
              </w:numPr>
              <w:autoSpaceDE/>
              <w:autoSpaceDN/>
              <w:adjustRightInd/>
              <w:spacing w:line="360" w:lineRule="auto"/>
              <w:ind w:firstLine="480" w:firstLineChars="200"/>
              <w:jc w:val="left"/>
              <w:rPr>
                <w:rFonts w:hint="eastAsia" w:ascii="宋体" w:hAnsi="宋体" w:eastAsia="宋体" w:cs="宋体"/>
                <w:color w:val="auto"/>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本项目施工完成后，河道水生生态会逐渐恢复。</w:t>
            </w:r>
          </w:p>
          <w:p w14:paraId="22DDCD6F">
            <w:pPr>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cs="Times New Roman"/>
                <w:b/>
                <w:bCs/>
                <w:color w:val="auto"/>
                <w:highlight w:val="none"/>
                <w:lang w:val="en-US" w:eastAsia="zh-CN"/>
              </w:rPr>
            </w:pPr>
            <w:r>
              <w:rPr>
                <w:rFonts w:hint="eastAsia" w:cs="Times New Roman"/>
                <w:b/>
                <w:bCs/>
                <w:color w:val="auto"/>
                <w:highlight w:val="none"/>
                <w:lang w:val="en-US" w:eastAsia="zh-CN"/>
              </w:rPr>
              <w:t>5.1.2 清河镇段及杨家镇段</w:t>
            </w:r>
          </w:p>
          <w:p w14:paraId="11B68240">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default" w:cs="Times New Roman"/>
                <w:color w:val="auto"/>
                <w:highlight w:val="none"/>
                <w:lang w:val="en-US" w:eastAsia="zh-CN"/>
              </w:rPr>
            </w:pPr>
            <w:r>
              <w:rPr>
                <w:rFonts w:hint="default" w:cs="Times New Roman"/>
                <w:color w:val="auto"/>
                <w:highlight w:val="none"/>
                <w:lang w:val="en-US" w:eastAsia="zh-CN"/>
              </w:rPr>
              <w:t>本项目清河镇段及杨家镇段已完工。本次评价将根据现场调查，对清河镇段及杨家镇段遗留环境问题，提出补救措施。</w:t>
            </w:r>
          </w:p>
          <w:p w14:paraId="345F1ABA">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根据现场调查，项目临时用地已恢复。目前，该段处于生态自我恢复阶段。河道水质清澈，但鱼类极少；部分护坡有裸露地面。</w:t>
            </w:r>
          </w:p>
          <w:p w14:paraId="6C943434">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因此，本次评价提出整改措施：</w:t>
            </w:r>
          </w:p>
          <w:p w14:paraId="67423523">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cs="Times New Roman"/>
                <w:color w:val="auto"/>
                <w:highlight w:val="none"/>
                <w:lang w:val="en-US" w:eastAsia="zh-CN"/>
              </w:rPr>
            </w:pPr>
            <w:r>
              <w:rPr>
                <w:rFonts w:hint="eastAsia" w:cs="Times New Roman"/>
                <w:color w:val="auto"/>
                <w:highlight w:val="none"/>
                <w:lang w:val="en-US" w:eastAsia="zh-CN"/>
              </w:rPr>
              <w:t>·评价要求建设单位对已完工护坡进行巡视，对裸露部分进行生态恢复。生态恢复须采用当地植被，严禁引入外来植被。</w:t>
            </w:r>
          </w:p>
          <w:p w14:paraId="4BBEE435">
            <w:pPr>
              <w:tabs>
                <w:tab w:val="left" w:pos="1260"/>
              </w:tabs>
              <w:wordWrap w:val="0"/>
              <w:adjustRightInd w:val="0"/>
              <w:snapToGrid w:val="0"/>
              <w:spacing w:line="360" w:lineRule="auto"/>
              <w:ind w:firstLine="480" w:firstLineChars="200"/>
              <w:rPr>
                <w:rFonts w:hint="default" w:ascii="Times New Roman" w:hAnsi="Times New Roman" w:cs="宋体"/>
                <w:bCs/>
                <w:color w:val="auto"/>
                <w:sz w:val="24"/>
                <w:highlight w:val="none"/>
                <w:lang w:val="en-US" w:eastAsia="zh-CN"/>
              </w:rPr>
            </w:pPr>
            <w:r>
              <w:rPr>
                <w:rFonts w:hint="eastAsia" w:cs="Times New Roman"/>
                <w:color w:val="auto"/>
                <w:highlight w:val="none"/>
                <w:lang w:val="en-US" w:eastAsia="zh-CN"/>
              </w:rPr>
              <w:t>·</w:t>
            </w:r>
            <w:r>
              <w:rPr>
                <w:rFonts w:hint="eastAsia" w:ascii="宋体" w:hAnsi="宋体" w:cs="宋体"/>
                <w:bCs/>
                <w:color w:val="auto"/>
                <w:sz w:val="24"/>
                <w:highlight w:val="none"/>
                <w:lang w:val="en-US" w:eastAsia="zh-CN"/>
              </w:rPr>
              <w:t>疏浚段：人工投放砾石基</w:t>
            </w:r>
            <w:r>
              <w:rPr>
                <w:rFonts w:hint="eastAsia" w:ascii="Times New Roman" w:hAnsi="Times New Roman" w:cs="宋体"/>
                <w:bCs/>
                <w:color w:val="auto"/>
                <w:sz w:val="24"/>
                <w:highlight w:val="none"/>
                <w:lang w:val="en-US" w:eastAsia="zh-CN"/>
              </w:rPr>
              <w:t>质（粒径5~20cm）重建产卵场，移植沉水植物或投放水生植物种子，加速水生生态修复。</w:t>
            </w:r>
          </w:p>
          <w:p w14:paraId="7FE0CB0A">
            <w:pPr>
              <w:tabs>
                <w:tab w:val="left" w:pos="1260"/>
              </w:tabs>
              <w:wordWrap w:val="0"/>
              <w:adjustRightInd w:val="0"/>
              <w:snapToGrid w:val="0"/>
              <w:ind w:firstLine="480"/>
              <w:rPr>
                <w:rFonts w:hint="eastAsia"/>
                <w:color w:val="auto"/>
                <w:sz w:val="24"/>
                <w:highlight w:val="none"/>
                <w:lang w:val="en-US" w:eastAsia="zh-CN"/>
              </w:rPr>
            </w:pPr>
            <w:r>
              <w:rPr>
                <w:rFonts w:hint="eastAsia"/>
                <w:color w:val="auto"/>
                <w:sz w:val="24"/>
                <w:highlight w:val="none"/>
                <w:lang w:val="en-US" w:eastAsia="zh-CN"/>
              </w:rPr>
              <w:t>·适当投放当地常见鱼类。</w:t>
            </w:r>
          </w:p>
          <w:p w14:paraId="3ABF92D6">
            <w:pPr>
              <w:ind w:firstLine="0" w:firstLineChars="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5.2 施工期废气治理措施</w:t>
            </w:r>
          </w:p>
          <w:p w14:paraId="09C412E3">
            <w:pPr>
              <w:ind w:firstLine="0" w:firstLineChars="0"/>
              <w:jc w:val="left"/>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 xml:space="preserve">5.2.1 </w:t>
            </w:r>
            <w:r>
              <w:rPr>
                <w:rFonts w:hint="eastAsia"/>
                <w:b/>
                <w:bCs/>
                <w:color w:val="auto"/>
                <w:highlight w:val="none"/>
                <w:lang w:val="en-US" w:eastAsia="zh-CN"/>
              </w:rPr>
              <w:t>柳城河石河镇二郎段、福兴段、石河镇段、双拱场段</w:t>
            </w:r>
          </w:p>
          <w:p w14:paraId="7934C825">
            <w:pPr>
              <w:ind w:firstLine="0" w:firstLineChars="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5.2.1</w:t>
            </w:r>
            <w:r>
              <w:rPr>
                <w:rFonts w:hint="eastAsia" w:cs="Times New Roman"/>
                <w:b/>
                <w:bCs/>
                <w:color w:val="auto"/>
                <w:highlight w:val="none"/>
                <w:lang w:val="en-US" w:eastAsia="zh-CN"/>
              </w:rPr>
              <w:t>.1</w:t>
            </w:r>
            <w:r>
              <w:rPr>
                <w:rFonts w:hint="default" w:ascii="Times New Roman" w:hAnsi="Times New Roman" w:cs="Times New Roman"/>
                <w:b/>
                <w:bCs/>
                <w:color w:val="auto"/>
                <w:highlight w:val="none"/>
              </w:rPr>
              <w:t xml:space="preserve"> 施工扬尘</w:t>
            </w:r>
          </w:p>
          <w:p w14:paraId="0826C9E7">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1）施工围挡</w:t>
            </w:r>
          </w:p>
          <w:p w14:paraId="1173C423">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①施工现场应沿四周连续设置封闭围挡，围挡设置应安全可靠。主要路段的施工现场围挡高度不应低于2.5m；一般路段围挡高度不应低于1.8m；进行绿化迁移、人行道铺装等占道作业施工的，应采用移动围挡或者高度不低于1m围挡打围。距离交通路口20m范围内占据道路施工设置的围挡，其0.8m以上部分应采用通透性围挡，并应采取交通疏导和警示措施。</w:t>
            </w:r>
          </w:p>
          <w:p w14:paraId="2FFCCBD4">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②施工现场应优先选用装配式彩钢围挡，不得使用彩色编织布、竹笆或安全网等易变形材料。</w:t>
            </w:r>
          </w:p>
          <w:p w14:paraId="1404C31D">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③围挡颜色应和周边建筑、道路等风格相统一。外侧如设置公益广告或工程信息公示栏应做到整体布局协调、整洁美观，落尘当定期清洗。</w:t>
            </w:r>
          </w:p>
          <w:p w14:paraId="40D1513F">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④围挡底部应当密封，不得有泥浆外漏。</w:t>
            </w:r>
          </w:p>
          <w:p w14:paraId="5F2302E1">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⑤禁止倚靠围挡墙堆放物料、器具等。</w:t>
            </w:r>
          </w:p>
          <w:p w14:paraId="11440AB5">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⑥围挡顶端应设置喷雾装置和警示顶灯，喷雾喷头水平间隔不大于5m，喷射水雾方向应向工地内部倾斜。</w:t>
            </w:r>
          </w:p>
          <w:p w14:paraId="0D03AF4A">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⑦施工单位应同建设、监理单位对围挡进行验收，验收合格后方可使用，并定期巡查，恶劣天气条件下必须进行重点检查。</w:t>
            </w:r>
          </w:p>
          <w:p w14:paraId="463AEBD5">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⑧工程结束前，不得拆除施工现场围挡。做好围挡维护工作，出现破损及时更换。</w:t>
            </w:r>
          </w:p>
          <w:p w14:paraId="2EF9FE9E">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2）车辆冲洗设施</w:t>
            </w:r>
          </w:p>
          <w:p w14:paraId="1076624C">
            <w:pPr>
              <w:ind w:firstLine="480"/>
              <w:rPr>
                <w:rFonts w:hint="default" w:ascii="Times New Roman" w:hAnsi="Times New Roman" w:eastAsia="宋体" w:cs="Times New Roman"/>
                <w:color w:val="auto"/>
                <w:highlight w:val="none"/>
                <w:lang w:eastAsia="zh-CN" w:bidi="ar"/>
              </w:rPr>
            </w:pPr>
            <w:r>
              <w:rPr>
                <w:rFonts w:hint="default" w:ascii="Times New Roman" w:hAnsi="Times New Roman" w:cs="Times New Roman"/>
                <w:color w:val="auto"/>
                <w:highlight w:val="none"/>
                <w:lang w:bidi="ar"/>
              </w:rPr>
              <w:t>①施工现场车辆出入口应设置车辆冲洗设施，包括冲洗平台、冲洗设备、挡水带、排水沟、沉淀池。</w:t>
            </w:r>
          </w:p>
          <w:p w14:paraId="34B186DF">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②出场车辆</w:t>
            </w:r>
            <w:r>
              <w:rPr>
                <w:rFonts w:hint="default" w:ascii="Times New Roman" w:hAnsi="Times New Roman" w:cs="Times New Roman"/>
                <w:color w:val="auto"/>
                <w:highlight w:val="none"/>
                <w:lang w:val="en-US" w:eastAsia="zh-CN" w:bidi="ar"/>
              </w:rPr>
              <w:t>、弃渣运输车辆、材料运输车辆</w:t>
            </w:r>
            <w:r>
              <w:rPr>
                <w:rFonts w:hint="default" w:ascii="Times New Roman" w:hAnsi="Times New Roman" w:cs="Times New Roman"/>
                <w:color w:val="auto"/>
                <w:highlight w:val="none"/>
                <w:lang w:bidi="ar"/>
              </w:rPr>
              <w:t>应冲洗干净，车身外部、车轮、底盘处目视不得沾有污物和泥土，严禁带泥出场。</w:t>
            </w:r>
          </w:p>
          <w:p w14:paraId="09193BE1">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③车辆冲洗应注意安全，设专人负责对出场车辆清洗和登记，定期清理排水沟、沉淀池，确保场区无积水，防止污水外溢污染道路。</w:t>
            </w:r>
          </w:p>
          <w:p w14:paraId="3AF0F640">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④冲洗设施应从工程开工之日起设置，并保留至工程竣工，对损坏的设备要及时进行维修，保证正常使用。</w:t>
            </w:r>
          </w:p>
          <w:p w14:paraId="6E02DD9B">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3）湿法作业</w:t>
            </w:r>
          </w:p>
          <w:p w14:paraId="5986C831">
            <w:pPr>
              <w:ind w:firstLine="480"/>
              <w:rPr>
                <w:rFonts w:hint="default" w:ascii="Times New Roman" w:hAnsi="Times New Roman" w:eastAsia="宋体" w:cs="Times New Roman"/>
                <w:color w:val="auto"/>
                <w:highlight w:val="none"/>
                <w:lang w:eastAsia="zh-CN" w:bidi="ar"/>
              </w:rPr>
            </w:pPr>
            <w:r>
              <w:rPr>
                <w:rFonts w:hint="default" w:ascii="Times New Roman" w:hAnsi="Times New Roman" w:cs="Times New Roman"/>
                <w:color w:val="auto"/>
                <w:highlight w:val="none"/>
                <w:lang w:bidi="ar"/>
              </w:rPr>
              <w:t>①施工现场进行易产生扬尘的施工作业活动时，应采取喷淋、喷雾等湿法降尘措施，达到作业区目测扬尘高度小于1.5m，不扩散到场区外；结构施工、装饰装修阶段，作业区目测扬尘高度小于0.5m；非作业区达到目测无扬尘的要求</w:t>
            </w:r>
            <w:r>
              <w:rPr>
                <w:rFonts w:hint="default" w:ascii="Times New Roman" w:hAnsi="Times New Roman" w:cs="Times New Roman"/>
                <w:color w:val="auto"/>
                <w:highlight w:val="none"/>
                <w:lang w:eastAsia="zh-CN" w:bidi="ar"/>
              </w:rPr>
              <w:t>。</w:t>
            </w:r>
          </w:p>
          <w:p w14:paraId="7A1D7867">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②土方开挖时，应在基坑四周设置雾状固定喷淋装置，喷头水平间距不大于5m，设置于临时防护架上。对于基坑周边固定喷淋装置无法覆盖的中心区域和其他场平工程，应增设移动式雾炮。</w:t>
            </w:r>
          </w:p>
          <w:p w14:paraId="691C768F">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③施工现场进行清理、钻孔、铣刨、拆除、切割、开挖、现场等作业时，应在密闭空间进行或采取洒水喷淋等湿法作业法进行施工，防止微尘、碎屑、纤维飘散。</w:t>
            </w:r>
          </w:p>
          <w:p w14:paraId="5D4A0BA2">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4）车辆密闭运输</w:t>
            </w:r>
          </w:p>
          <w:p w14:paraId="3CD03447">
            <w:pPr>
              <w:ind w:firstLine="480"/>
              <w:rPr>
                <w:rFonts w:hint="default" w:ascii="Times New Roman" w:hAnsi="Times New Roman" w:eastAsia="宋体" w:cs="Times New Roman"/>
                <w:color w:val="auto"/>
                <w:highlight w:val="none"/>
                <w:lang w:eastAsia="zh-CN" w:bidi="ar"/>
              </w:rPr>
            </w:pPr>
            <w:r>
              <w:rPr>
                <w:rFonts w:hint="default" w:ascii="Times New Roman" w:hAnsi="Times New Roman" w:cs="Times New Roman"/>
                <w:color w:val="auto"/>
                <w:highlight w:val="none"/>
                <w:lang w:bidi="ar"/>
              </w:rPr>
              <w:t>①施工单位应当建立物料运输扬尘污染防治管理制度和相关措施，使用合规车辆，加强对运输车辆、人员管理</w:t>
            </w:r>
            <w:r>
              <w:rPr>
                <w:rFonts w:hint="default" w:ascii="Times New Roman" w:hAnsi="Times New Roman" w:cs="Times New Roman"/>
                <w:color w:val="auto"/>
                <w:highlight w:val="none"/>
                <w:lang w:eastAsia="zh-CN" w:bidi="ar"/>
              </w:rPr>
              <w:t>。</w:t>
            </w:r>
          </w:p>
          <w:p w14:paraId="4FE64CA6">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②渣土运输车辆必须采取覆盖措施，宜采用密闭式运输车辆，装载不得冒出车辆栏板，防止道路遗撒。</w:t>
            </w:r>
          </w:p>
          <w:p w14:paraId="6153B8CE">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③运输单位应安排专人对其运输车辆及运输沿线进行巡视，确保车辆按核准的线路、时间行驶，并运送到核准的处置地点，不得随意变更、随处倾倒。</w:t>
            </w:r>
          </w:p>
          <w:p w14:paraId="239C21AC">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④施工道路作为社会道路通行机动车的，施工单位应每天派专人进行清扫，随时洒水降尘。</w:t>
            </w:r>
          </w:p>
          <w:p w14:paraId="07AF4D2D">
            <w:pPr>
              <w:pStyle w:val="19"/>
              <w:spacing w:line="360" w:lineRule="auto"/>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通过采取上述措施后，施工场地扬尘排放能达到</w:t>
            </w:r>
            <w:r>
              <w:rPr>
                <w:rFonts w:hint="default" w:ascii="Times New Roman" w:hAnsi="Times New Roman" w:cs="Times New Roman"/>
                <w:color w:val="auto"/>
                <w:highlight w:val="none"/>
              </w:rPr>
              <w:t>《四川省施工场地扬尘排放标准》（DB51/2682-2020）表1规定的浓度限值</w:t>
            </w:r>
            <w:r>
              <w:rPr>
                <w:rFonts w:hint="default" w:ascii="Times New Roman" w:hAnsi="Times New Roman" w:cs="Times New Roman"/>
                <w:bCs/>
                <w:color w:val="auto"/>
                <w:highlight w:val="none"/>
              </w:rPr>
              <w:t>。</w:t>
            </w:r>
          </w:p>
          <w:p w14:paraId="06B67FC5">
            <w:pPr>
              <w:pStyle w:val="19"/>
              <w:spacing w:line="360" w:lineRule="auto"/>
              <w:ind w:firstLine="0" w:firstLineChars="0"/>
              <w:rPr>
                <w:rFonts w:hint="default" w:ascii="Times New Roman" w:hAnsi="Times New Roman" w:cs="Times New Roman"/>
                <w:b/>
                <w:color w:val="auto"/>
                <w:highlight w:val="none"/>
              </w:rPr>
            </w:pPr>
            <w:r>
              <w:rPr>
                <w:rFonts w:hint="default" w:ascii="Times New Roman" w:hAnsi="Times New Roman" w:cs="Times New Roman"/>
                <w:b/>
                <w:bCs/>
                <w:color w:val="auto"/>
                <w:highlight w:val="none"/>
              </w:rPr>
              <w:t>5.2.</w:t>
            </w:r>
            <w:r>
              <w:rPr>
                <w:rFonts w:hint="eastAsia" w:hAnsi="Times New Roman" w:cs="Times New Roman"/>
                <w:b/>
                <w:bCs/>
                <w:color w:val="auto"/>
                <w:highlight w:val="none"/>
                <w:lang w:val="en-US" w:eastAsia="zh-CN"/>
              </w:rPr>
              <w:t>1.</w:t>
            </w:r>
            <w:r>
              <w:rPr>
                <w:rFonts w:hint="default" w:ascii="Times New Roman" w:hAnsi="Times New Roman" w:cs="Times New Roman"/>
                <w:b/>
                <w:bCs/>
                <w:color w:val="auto"/>
                <w:highlight w:val="none"/>
              </w:rPr>
              <w:t xml:space="preserve">2 </w:t>
            </w:r>
            <w:r>
              <w:rPr>
                <w:rFonts w:hint="default" w:ascii="Times New Roman" w:hAnsi="Times New Roman" w:cs="Times New Roman"/>
                <w:b/>
                <w:color w:val="auto"/>
                <w:highlight w:val="none"/>
              </w:rPr>
              <w:t>混凝土</w:t>
            </w:r>
            <w:r>
              <w:rPr>
                <w:rFonts w:hint="eastAsia" w:hAnsi="Times New Roman" w:cs="Times New Roman"/>
                <w:b/>
                <w:color w:val="auto"/>
                <w:highlight w:val="none"/>
                <w:lang w:eastAsia="zh-CN"/>
              </w:rPr>
              <w:t>拌和</w:t>
            </w:r>
            <w:r>
              <w:rPr>
                <w:rFonts w:hint="default" w:ascii="Times New Roman" w:hAnsi="Times New Roman" w:cs="Times New Roman"/>
                <w:b/>
                <w:color w:val="auto"/>
                <w:highlight w:val="none"/>
              </w:rPr>
              <w:t>粉尘</w:t>
            </w:r>
          </w:p>
          <w:p w14:paraId="0B1A8B9F">
            <w:pPr>
              <w:ind w:firstLine="480"/>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混凝土</w:t>
            </w:r>
            <w:r>
              <w:rPr>
                <w:rFonts w:hint="default" w:ascii="Times New Roman" w:hAnsi="Times New Roman" w:cs="Times New Roman"/>
                <w:color w:val="auto"/>
                <w:highlight w:val="none"/>
                <w:lang w:eastAsia="zh-CN" w:bidi="ar"/>
              </w:rPr>
              <w:t>拌和站</w:t>
            </w:r>
            <w:r>
              <w:rPr>
                <w:rFonts w:hint="default" w:ascii="Times New Roman" w:hAnsi="Times New Roman" w:cs="Times New Roman"/>
                <w:color w:val="auto"/>
                <w:highlight w:val="none"/>
                <w:lang w:bidi="ar"/>
              </w:rPr>
              <w:t>设在封闭的工棚内，并设置洒水降尘装置，减少无组织粉尘排放。</w:t>
            </w:r>
          </w:p>
          <w:p w14:paraId="52D06842">
            <w:pPr>
              <w:pStyle w:val="19"/>
              <w:spacing w:line="360" w:lineRule="auto"/>
              <w:ind w:firstLine="0" w:firstLineChars="0"/>
              <w:rPr>
                <w:rFonts w:hint="eastAsia" w:ascii="Times New Roman" w:hAnsi="Times New Roman" w:eastAsia="宋体" w:cs="Times New Roman"/>
                <w:b/>
                <w:color w:val="auto"/>
                <w:highlight w:val="none"/>
                <w:lang w:eastAsia="zh-CN"/>
              </w:rPr>
            </w:pPr>
            <w:r>
              <w:rPr>
                <w:rFonts w:hint="default" w:ascii="Times New Roman" w:hAnsi="Times New Roman" w:cs="Times New Roman"/>
                <w:b/>
                <w:bCs/>
                <w:color w:val="auto"/>
                <w:highlight w:val="none"/>
              </w:rPr>
              <w:t>5.2.</w:t>
            </w:r>
            <w:r>
              <w:rPr>
                <w:rFonts w:hint="eastAsia" w:hAnsi="Times New Roman" w:cs="Times New Roman"/>
                <w:b/>
                <w:bCs/>
                <w:color w:val="auto"/>
                <w:highlight w:val="none"/>
                <w:lang w:val="en-US" w:eastAsia="zh-CN"/>
              </w:rPr>
              <w:t>1.</w:t>
            </w:r>
            <w:r>
              <w:rPr>
                <w:rFonts w:hint="default" w:ascii="Times New Roman" w:hAnsi="Times New Roman" w:cs="Times New Roman"/>
                <w:b/>
                <w:bCs/>
                <w:color w:val="auto"/>
                <w:highlight w:val="none"/>
              </w:rPr>
              <w:t xml:space="preserve">3 </w:t>
            </w:r>
            <w:r>
              <w:rPr>
                <w:rFonts w:hint="eastAsia" w:hAnsi="Times New Roman" w:cs="Times New Roman"/>
                <w:b/>
                <w:color w:val="auto"/>
                <w:highlight w:val="none"/>
                <w:lang w:eastAsia="zh-CN"/>
              </w:rPr>
              <w:t>燃油施工机具和车辆尾气</w:t>
            </w:r>
          </w:p>
          <w:p w14:paraId="267227C3">
            <w:pPr>
              <w:pStyle w:val="19"/>
              <w:spacing w:line="360" w:lineRule="auto"/>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项目在施工中，为减少项目</w:t>
            </w:r>
            <w:r>
              <w:rPr>
                <w:rFonts w:hint="eastAsia" w:hAnsi="Times New Roman" w:cs="Times New Roman"/>
                <w:bCs/>
                <w:color w:val="auto"/>
                <w:highlight w:val="none"/>
                <w:lang w:eastAsia="zh-CN"/>
              </w:rPr>
              <w:t>燃油施工机具和车辆尾气</w:t>
            </w:r>
            <w:r>
              <w:rPr>
                <w:rFonts w:hint="default" w:ascii="Times New Roman" w:hAnsi="Times New Roman" w:cs="Times New Roman"/>
                <w:bCs/>
                <w:color w:val="auto"/>
                <w:highlight w:val="none"/>
              </w:rPr>
              <w:t>产生及对周边的影响，本环评要求采取以下措施：</w:t>
            </w:r>
          </w:p>
          <w:p w14:paraId="328A91BF">
            <w:pPr>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①选用符合国家有关机械、机动车标准的施工机械和运输工具，使用符合标准的油料或清洁能源，使其排放的废气能够达到国六标准，鼓励使用新能源车辆进行运输。</w:t>
            </w:r>
          </w:p>
          <w:p w14:paraId="3B6F3604">
            <w:pPr>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②对于燃柴油的大型运输车辆，尾气排放量与污染物含量均较燃汽油车辆高，需安装尾气净化器，保证尾气达标排放。</w:t>
            </w:r>
          </w:p>
          <w:p w14:paraId="5DB27684">
            <w:pPr>
              <w:adjustRightIn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③加强燃油机械设备的维护和保养，使发动机处于正常、良好的工作状态；对于发动机耗油多、效率低、排放尾气严重超标的老旧车辆，及时更新。</w:t>
            </w:r>
          </w:p>
          <w:p w14:paraId="58DE5D07">
            <w:pPr>
              <w:adjustRightInd w:val="0"/>
              <w:ind w:firstLine="480"/>
              <w:rPr>
                <w:rFonts w:hint="default" w:ascii="Times New Roman" w:hAnsi="Times New Roman" w:cs="Times New Roman"/>
                <w:bCs/>
                <w:color w:val="auto"/>
                <w:highlight w:val="none"/>
              </w:rPr>
            </w:pPr>
            <w:r>
              <w:rPr>
                <w:rFonts w:hint="default" w:ascii="Times New Roman" w:hAnsi="Times New Roman" w:cs="Times New Roman"/>
                <w:color w:val="auto"/>
                <w:highlight w:val="none"/>
              </w:rPr>
              <w:t>④在施工招标时，将车辆使用标准、燃油、燃料使用标准，纳入招标文件予以明确。施工期环境监理单位应将施工单位施工车辆、燃油、燃料的使用情况纳入环境监理工作中</w:t>
            </w:r>
            <w:r>
              <w:rPr>
                <w:rFonts w:hint="default" w:ascii="Times New Roman" w:hAnsi="Times New Roman" w:cs="Times New Roman"/>
                <w:bCs/>
                <w:color w:val="auto"/>
                <w:highlight w:val="none"/>
              </w:rPr>
              <w:t>。</w:t>
            </w:r>
          </w:p>
          <w:p w14:paraId="188CB7C5">
            <w:pPr>
              <w:pStyle w:val="19"/>
              <w:spacing w:line="360" w:lineRule="auto"/>
              <w:ind w:firstLine="0" w:firstLineChars="0"/>
              <w:rPr>
                <w:rFonts w:hint="default" w:ascii="Times New Roman" w:hAnsi="Times New Roman" w:eastAsia="宋体" w:cs="Times New Roman"/>
                <w:b/>
                <w:color w:val="auto"/>
                <w:highlight w:val="none"/>
                <w:lang w:val="en-US" w:eastAsia="zh-CN"/>
              </w:rPr>
            </w:pPr>
            <w:r>
              <w:rPr>
                <w:rFonts w:hint="default" w:ascii="Times New Roman" w:hAnsi="Times New Roman" w:cs="Times New Roman"/>
                <w:b/>
                <w:bCs/>
                <w:color w:val="auto"/>
                <w:highlight w:val="none"/>
              </w:rPr>
              <w:t>5.2.</w:t>
            </w:r>
            <w:r>
              <w:rPr>
                <w:rFonts w:hint="eastAsia" w:hAnsi="Times New Roman" w:cs="Times New Roman"/>
                <w:b/>
                <w:bCs/>
                <w:color w:val="auto"/>
                <w:highlight w:val="none"/>
                <w:lang w:val="en-US" w:eastAsia="zh-CN"/>
              </w:rPr>
              <w:t>1.</w:t>
            </w:r>
            <w:r>
              <w:rPr>
                <w:rFonts w:hint="eastAsia"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t xml:space="preserve"> </w:t>
            </w:r>
            <w:r>
              <w:rPr>
                <w:rFonts w:hint="eastAsia" w:ascii="Times New Roman" w:hAnsi="Times New Roman" w:cs="Times New Roman"/>
                <w:b/>
                <w:color w:val="auto"/>
                <w:highlight w:val="none"/>
                <w:lang w:val="en-US" w:eastAsia="zh-CN"/>
              </w:rPr>
              <w:t>底泥干化、堆存恶臭</w:t>
            </w:r>
          </w:p>
          <w:p w14:paraId="7D225071">
            <w:pPr>
              <w:widowControl/>
              <w:adjustRightInd/>
              <w:ind w:firstLine="0"/>
              <w:jc w:val="left"/>
              <w:rPr>
                <w:rFonts w:hint="default" w:ascii="Times New Roman" w:hAnsi="Times New Roman" w:cs="Times New Roman"/>
                <w:bCs/>
                <w:color w:val="auto"/>
                <w:highlight w:val="none"/>
              </w:rPr>
            </w:pPr>
            <w:r>
              <w:rPr>
                <w:rFonts w:hint="eastAsia" w:ascii="宋体" w:hAnsi="宋体" w:eastAsia="宋体" w:cs="宋体"/>
                <w:snapToGrid w:val="0"/>
                <w:color w:val="auto"/>
                <w:kern w:val="0"/>
                <w:sz w:val="24"/>
                <w:szCs w:val="24"/>
                <w:highlight w:val="none"/>
                <w:lang w:val="en-US" w:eastAsia="zh-CN" w:bidi="ar"/>
              </w:rPr>
              <w:t>底泥干化、堆存恶臭通过采取避开高温天气和大风天气，选取温度较低的天气作业，从而减少臭气的产生。同时喷洒生物除臭剂，减少临时堆存的时间等措施。</w:t>
            </w:r>
          </w:p>
          <w:p w14:paraId="169333F0">
            <w:pPr>
              <w:adjustRightInd w:val="0"/>
              <w:ind w:left="0" w:leftChars="0" w:firstLine="0" w:firstLineChars="0"/>
              <w:rPr>
                <w:rFonts w:hint="eastAsia" w:cs="Times New Roman"/>
                <w:b/>
                <w:bCs w:val="0"/>
                <w:color w:val="auto"/>
                <w:highlight w:val="none"/>
                <w:lang w:val="en-US" w:eastAsia="zh-CN"/>
              </w:rPr>
            </w:pPr>
            <w:r>
              <w:rPr>
                <w:rFonts w:hint="eastAsia" w:cs="Times New Roman"/>
                <w:b/>
                <w:bCs w:val="0"/>
                <w:color w:val="auto"/>
                <w:highlight w:val="none"/>
                <w:lang w:val="en-US" w:eastAsia="zh-CN"/>
              </w:rPr>
              <w:t>5.2.2 清河镇段及杨家镇段</w:t>
            </w:r>
          </w:p>
          <w:p w14:paraId="1B1A8A65">
            <w:pPr>
              <w:spacing w:line="360" w:lineRule="auto"/>
              <w:ind w:firstLine="480" w:firstLineChars="200"/>
              <w:rPr>
                <w:rFonts w:hint="eastAsia"/>
                <w:color w:val="auto"/>
                <w:sz w:val="24"/>
                <w:highlight w:val="none"/>
                <w:lang w:val="en-US" w:eastAsia="zh-CN"/>
              </w:rPr>
            </w:pPr>
            <w:r>
              <w:rPr>
                <w:rFonts w:hint="eastAsia" w:cs="Times New Roman"/>
                <w:color w:val="auto"/>
                <w:szCs w:val="24"/>
                <w:highlight w:val="none"/>
                <w:lang w:val="en-US" w:eastAsia="zh-CN"/>
              </w:rPr>
              <w:t>根据调查，</w:t>
            </w:r>
            <w:r>
              <w:rPr>
                <w:rFonts w:hint="eastAsia"/>
                <w:color w:val="auto"/>
                <w:sz w:val="24"/>
                <w:highlight w:val="none"/>
                <w:lang w:val="en-US" w:eastAsia="zh-CN"/>
              </w:rPr>
              <w:t>项目施工期采取了分段施工、围挡施工、洒水抑尘、运输车辆限速（遮盖）、散料遮盖等扬尘控制措施；项目将拌和设置在专用工棚内，并在上料口附近设置喷雾降尘系统，拌和粉尘得到了有效控制，焊接烟尘配备了净化设备。根据当前施工经验，项目采取的扬尘控制措施，是有效可行的措施。此外，经调查，项目施工期未发废气污染事件及环保投诉。</w:t>
            </w:r>
          </w:p>
          <w:p w14:paraId="35C2F5EB">
            <w:pPr>
              <w:ind w:firstLine="0" w:firstLineChars="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5.3 施工期废水治理措施</w:t>
            </w:r>
          </w:p>
          <w:p w14:paraId="53EE8073">
            <w:pPr>
              <w:ind w:firstLine="0" w:firstLineChars="0"/>
              <w:jc w:val="left"/>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5.3.1 柳城河石河镇二郎段、福兴段、石河镇段、双拱场段</w:t>
            </w:r>
          </w:p>
          <w:p w14:paraId="572020F4">
            <w:pPr>
              <w:ind w:firstLine="480"/>
              <w:jc w:val="left"/>
              <w:rPr>
                <w:rFonts w:hint="default" w:ascii="Times New Roman" w:hAnsi="Times New Roman" w:cs="Times New Roman"/>
                <w:color w:val="auto"/>
                <w:highlight w:val="none"/>
                <w:lang w:val="fr-FR"/>
              </w:rPr>
            </w:pPr>
            <w:r>
              <w:rPr>
                <w:rFonts w:hint="default" w:ascii="Times New Roman" w:hAnsi="Times New Roman" w:cs="Times New Roman"/>
                <w:color w:val="auto"/>
                <w:highlight w:val="none"/>
                <w:lang w:val="fr-FR"/>
              </w:rPr>
              <w:t>本</w:t>
            </w: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fr-FR"/>
              </w:rPr>
              <w:t>施工期产生的废水主要为</w:t>
            </w:r>
            <w:r>
              <w:rPr>
                <w:rFonts w:hint="default" w:ascii="Times New Roman" w:hAnsi="Times New Roman" w:cs="Times New Roman"/>
                <w:color w:val="auto"/>
                <w:highlight w:val="none"/>
              </w:rPr>
              <w:t>施工废水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施工机械和运输车辆冲洗废水</w:t>
            </w: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拌和</w:t>
            </w:r>
            <w:r>
              <w:rPr>
                <w:rFonts w:hint="default" w:ascii="Times New Roman" w:hAnsi="Times New Roman" w:cs="Times New Roman"/>
                <w:color w:val="auto"/>
                <w:szCs w:val="24"/>
                <w:highlight w:val="none"/>
              </w:rPr>
              <w:t>系统冲洗废水</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基坑渗水</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fr-FR"/>
              </w:rPr>
              <w:t>疏浚</w:t>
            </w:r>
            <w:r>
              <w:rPr>
                <w:rFonts w:hint="default" w:ascii="Times New Roman" w:hAnsi="Times New Roman" w:cs="Times New Roman"/>
                <w:color w:val="auto"/>
                <w:highlight w:val="none"/>
                <w:lang w:val="en-US" w:eastAsia="zh-CN"/>
              </w:rPr>
              <w:t>淤泥</w:t>
            </w:r>
            <w:r>
              <w:rPr>
                <w:rFonts w:hint="default" w:ascii="Times New Roman" w:hAnsi="Times New Roman" w:cs="Times New Roman"/>
                <w:color w:val="auto"/>
                <w:highlight w:val="none"/>
                <w:lang w:val="fr-FR"/>
              </w:rPr>
              <w:t>渗滤废水</w:t>
            </w:r>
            <w:r>
              <w:rPr>
                <w:rFonts w:hint="eastAsia" w:cs="Times New Roman"/>
                <w:color w:val="auto"/>
                <w:highlight w:val="none"/>
                <w:lang w:val="fr-FR" w:eastAsia="zh-CN"/>
              </w:rPr>
              <w:t>、</w:t>
            </w:r>
            <w:r>
              <w:rPr>
                <w:rFonts w:hint="default" w:ascii="Times New Roman" w:hAnsi="Times New Roman" w:cs="Times New Roman"/>
                <w:color w:val="auto"/>
                <w:highlight w:val="none"/>
                <w:lang w:val="fr-FR"/>
              </w:rPr>
              <w:t>施工人员生活污水。</w:t>
            </w:r>
          </w:p>
          <w:p w14:paraId="01D807C0">
            <w:pPr>
              <w:adjustRightInd w:val="0"/>
              <w:snapToGrid w:val="0"/>
              <w:ind w:firstLine="0" w:firstLineChars="0"/>
              <w:rPr>
                <w:rFonts w:hint="default" w:ascii="Times New Roman" w:hAnsi="Times New Roman" w:cs="Times New Roman"/>
                <w:b/>
                <w:color w:val="auto"/>
                <w:highlight w:val="none"/>
              </w:rPr>
            </w:pPr>
            <w:r>
              <w:rPr>
                <w:rFonts w:hint="default" w:ascii="Times New Roman" w:hAnsi="Times New Roman" w:cs="Times New Roman"/>
                <w:b/>
                <w:color w:val="auto"/>
                <w:highlight w:val="none"/>
              </w:rPr>
              <w:t>5.3.1</w:t>
            </w:r>
            <w:r>
              <w:rPr>
                <w:rFonts w:hint="eastAsia" w:cs="Times New Roman"/>
                <w:b/>
                <w:color w:val="auto"/>
                <w:highlight w:val="none"/>
                <w:lang w:val="en-US" w:eastAsia="zh-CN"/>
              </w:rPr>
              <w:t>.1</w:t>
            </w:r>
            <w:r>
              <w:rPr>
                <w:rFonts w:hint="default" w:ascii="Times New Roman" w:hAnsi="Times New Roman" w:cs="Times New Roman"/>
                <w:b/>
                <w:color w:val="auto"/>
                <w:highlight w:val="none"/>
              </w:rPr>
              <w:t>生活污水</w:t>
            </w:r>
          </w:p>
          <w:p w14:paraId="1F844EFB">
            <w:pPr>
              <w:pStyle w:val="19"/>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本项目施工以机械和劳动力为主，施工人员进入施工区后，短期内施工区域密度将相对增加，会产生一定量的生活污水。</w:t>
            </w:r>
          </w:p>
          <w:p w14:paraId="04398112">
            <w:pPr>
              <w:pStyle w:val="19"/>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项目施工河段均租用周边农户住房作为临时办公生活用房，施工人员生活污水通过租住民房现有生活污水处理设施处理后用作农田施肥，不外排。</w:t>
            </w:r>
          </w:p>
          <w:p w14:paraId="245BE81D">
            <w:pPr>
              <w:widowControl/>
              <w:ind w:firstLine="0" w:firstLineChars="0"/>
              <w:rPr>
                <w:rFonts w:hint="default" w:ascii="Times New Roman" w:hAnsi="Times New Roman" w:cs="Times New Roman"/>
                <w:b/>
                <w:bCs/>
                <w:color w:val="auto"/>
                <w:sz w:val="24"/>
                <w:szCs w:val="24"/>
                <w:highlight w:val="none"/>
              </w:rPr>
            </w:pPr>
            <w:r>
              <w:rPr>
                <w:rFonts w:hint="default" w:ascii="Times New Roman" w:hAnsi="Times New Roman" w:cs="Times New Roman"/>
                <w:b/>
                <w:color w:val="auto"/>
                <w:highlight w:val="none"/>
              </w:rPr>
              <w:t>5.3.</w:t>
            </w:r>
            <w:r>
              <w:rPr>
                <w:rFonts w:hint="eastAsia" w:cs="Times New Roman"/>
                <w:b/>
                <w:color w:val="auto"/>
                <w:highlight w:val="none"/>
                <w:lang w:val="en-US" w:eastAsia="zh-CN"/>
              </w:rPr>
              <w:t>1.</w:t>
            </w:r>
            <w:r>
              <w:rPr>
                <w:rFonts w:hint="default" w:ascii="Times New Roman" w:hAnsi="Times New Roman" w:cs="Times New Roman"/>
                <w:b/>
                <w:color w:val="auto"/>
                <w:highlight w:val="none"/>
              </w:rPr>
              <w:t>2</w:t>
            </w:r>
            <w:r>
              <w:rPr>
                <w:rFonts w:hint="default" w:ascii="Times New Roman" w:hAnsi="Times New Roman" w:cs="Times New Roman"/>
                <w:b/>
                <w:bCs/>
                <w:color w:val="auto"/>
                <w:highlight w:val="none"/>
              </w:rPr>
              <w:t>基坑</w:t>
            </w:r>
            <w:r>
              <w:rPr>
                <w:rFonts w:hint="default" w:ascii="Times New Roman" w:hAnsi="Times New Roman" w:cs="Times New Roman"/>
                <w:b/>
                <w:bCs/>
                <w:color w:val="auto"/>
                <w:sz w:val="24"/>
                <w:szCs w:val="24"/>
                <w:highlight w:val="none"/>
              </w:rPr>
              <w:t>渗水</w:t>
            </w:r>
          </w:p>
          <w:p w14:paraId="53704949">
            <w:pPr>
              <w:pStyle w:val="26"/>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rPr>
                <w:rFonts w:hint="eastAsia" w:ascii="Times New Roman" w:hAnsi="Times New Roman" w:eastAsia="宋体" w:cs="Times New Roman"/>
                <w:bCs/>
                <w:color w:val="auto"/>
                <w:sz w:val="24"/>
                <w:szCs w:val="24"/>
                <w:highlight w:val="none"/>
                <w:lang w:eastAsia="zh-CN"/>
              </w:rPr>
            </w:pPr>
            <w:r>
              <w:rPr>
                <w:rFonts w:hint="default" w:ascii="Times New Roman" w:hAnsi="Times New Roman" w:cs="Times New Roman"/>
                <w:color w:val="auto"/>
                <w:sz w:val="24"/>
                <w:szCs w:val="24"/>
                <w:highlight w:val="none"/>
              </w:rPr>
              <w:t>本项目</w:t>
            </w:r>
            <w:r>
              <w:rPr>
                <w:rFonts w:hint="eastAsia" w:cs="Times New Roman"/>
                <w:color w:val="auto"/>
                <w:sz w:val="24"/>
                <w:szCs w:val="24"/>
                <w:highlight w:val="none"/>
                <w:lang w:val="en-US" w:eastAsia="zh-CN"/>
              </w:rPr>
              <w:t>采取土石围堰导流</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在围堰两端各设置1个集水井、1个沉淀池，基坑渗水经</w:t>
            </w:r>
            <w:r>
              <w:rPr>
                <w:rFonts w:hint="default" w:ascii="Times New Roman" w:hAnsi="Times New Roman" w:cs="Times New Roman"/>
                <w:color w:val="auto"/>
                <w:sz w:val="24"/>
                <w:szCs w:val="24"/>
                <w:highlight w:val="none"/>
              </w:rPr>
              <w:t>集水井收集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之</w:t>
            </w:r>
            <w:r>
              <w:rPr>
                <w:rFonts w:hint="default" w:ascii="Times New Roman" w:hAnsi="Times New Roman" w:cs="Times New Roman"/>
                <w:color w:val="auto"/>
                <w:sz w:val="24"/>
                <w:szCs w:val="24"/>
                <w:highlight w:val="none"/>
              </w:rPr>
              <w:t>后由潜污泵抽排至沉淀池</w:t>
            </w:r>
            <w:r>
              <w:rPr>
                <w:rFonts w:hint="default" w:ascii="Times New Roman" w:hAnsi="Times New Roman" w:cs="Times New Roman"/>
                <w:color w:val="auto"/>
                <w:sz w:val="24"/>
                <w:szCs w:val="24"/>
                <w:highlight w:val="none"/>
                <w:lang w:val="en-US" w:eastAsia="zh-CN"/>
              </w:rPr>
              <w:t>处理</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处理</w:t>
            </w:r>
            <w:r>
              <w:rPr>
                <w:rFonts w:hint="default" w:ascii="Times New Roman" w:hAnsi="Times New Roman" w:cs="Times New Roman"/>
                <w:color w:val="auto"/>
                <w:sz w:val="24"/>
                <w:szCs w:val="24"/>
                <w:highlight w:val="none"/>
                <w:lang w:val="fr-FR" w:eastAsia="zh-CN"/>
              </w:rPr>
              <w:t>后</w:t>
            </w:r>
            <w:r>
              <w:rPr>
                <w:rFonts w:hint="default" w:ascii="Times New Roman" w:hAnsi="Times New Roman" w:cs="Times New Roman"/>
                <w:color w:val="auto"/>
                <w:sz w:val="24"/>
                <w:szCs w:val="24"/>
                <w:highlight w:val="none"/>
                <w:lang w:val="en-US" w:eastAsia="zh-CN"/>
              </w:rPr>
              <w:t>再由</w:t>
            </w:r>
            <w:r>
              <w:rPr>
                <w:rFonts w:hint="default" w:ascii="Times New Roman" w:hAnsi="Times New Roman" w:cs="Times New Roman"/>
                <w:color w:val="auto"/>
                <w:sz w:val="24"/>
                <w:szCs w:val="24"/>
                <w:highlight w:val="none"/>
                <w:lang w:val="fr-FR" w:eastAsia="zh-CN"/>
              </w:rPr>
              <w:t>清水泵排入河流</w:t>
            </w:r>
            <w:r>
              <w:rPr>
                <w:rFonts w:hint="default" w:ascii="Times New Roman" w:hAnsi="Times New Roman" w:cs="Times New Roman"/>
                <w:bCs/>
                <w:color w:val="auto"/>
                <w:sz w:val="24"/>
                <w:szCs w:val="24"/>
                <w:highlight w:val="none"/>
              </w:rPr>
              <w:t>，</w:t>
            </w:r>
            <w:r>
              <w:rPr>
                <w:rFonts w:hint="default" w:ascii="Times New Roman" w:hAnsi="Times New Roman" w:cs="Times New Roman"/>
                <w:color w:val="auto"/>
                <w:sz w:val="24"/>
                <w:szCs w:val="24"/>
                <w:highlight w:val="none"/>
              </w:rPr>
              <w:t>对地表水环境影响较小</w:t>
            </w:r>
            <w:r>
              <w:rPr>
                <w:rFonts w:hint="default" w:ascii="Times New Roman" w:hAnsi="Times New Roman" w:cs="Times New Roman"/>
                <w:bCs/>
                <w:color w:val="auto"/>
                <w:sz w:val="24"/>
                <w:szCs w:val="24"/>
                <w:highlight w:val="none"/>
              </w:rPr>
              <w:t>。</w:t>
            </w:r>
            <w:r>
              <w:rPr>
                <w:rFonts w:hint="eastAsia" w:cs="Times New Roman"/>
                <w:color w:val="auto"/>
                <w:sz w:val="24"/>
                <w:szCs w:val="24"/>
                <w:highlight w:val="none"/>
                <w:lang w:val="en-US" w:eastAsia="zh-CN"/>
              </w:rPr>
              <w:t>石河镇二郎段、福兴段、双拱场段均设2个沉淀池，石河镇段1个沉淀池，处理规模均为5m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eastAsia" w:cs="Times New Roman"/>
                <w:color w:val="auto"/>
                <w:sz w:val="24"/>
                <w:szCs w:val="24"/>
                <w:highlight w:val="none"/>
                <w:lang w:eastAsia="zh-CN"/>
              </w:rPr>
              <w:t>。</w:t>
            </w:r>
          </w:p>
          <w:p w14:paraId="222CCB39">
            <w:pPr>
              <w:widowControl/>
              <w:ind w:firstLine="0" w:firstLineChars="0"/>
              <w:rPr>
                <w:rFonts w:hint="default" w:ascii="Times New Roman" w:hAnsi="Times New Roman" w:cs="Times New Roman"/>
                <w:b/>
                <w:bCs/>
                <w:color w:val="auto"/>
                <w:highlight w:val="none"/>
              </w:rPr>
            </w:pPr>
            <w:r>
              <w:rPr>
                <w:rFonts w:hint="default" w:ascii="Times New Roman" w:hAnsi="Times New Roman" w:cs="Times New Roman"/>
                <w:b/>
                <w:color w:val="auto"/>
                <w:highlight w:val="none"/>
              </w:rPr>
              <w:t>5.3.</w:t>
            </w:r>
            <w:r>
              <w:rPr>
                <w:rFonts w:hint="eastAsia" w:cs="Times New Roman"/>
                <w:b/>
                <w:color w:val="auto"/>
                <w:highlight w:val="none"/>
                <w:lang w:val="en-US" w:eastAsia="zh-CN"/>
              </w:rPr>
              <w:t>1.</w:t>
            </w:r>
            <w:r>
              <w:rPr>
                <w:rFonts w:hint="default" w:ascii="Times New Roman" w:hAnsi="Times New Roman" w:cs="Times New Roman"/>
                <w:b/>
                <w:color w:val="auto"/>
                <w:highlight w:val="none"/>
              </w:rPr>
              <w:t>3</w:t>
            </w:r>
            <w:r>
              <w:rPr>
                <w:rFonts w:hint="default" w:ascii="Times New Roman" w:hAnsi="Times New Roman" w:cs="Times New Roman"/>
                <w:b/>
                <w:bCs/>
                <w:color w:val="auto"/>
                <w:highlight w:val="none"/>
                <w:lang w:val="en-US" w:eastAsia="zh-CN"/>
              </w:rPr>
              <w:t>冲洗</w:t>
            </w:r>
            <w:r>
              <w:rPr>
                <w:rFonts w:hint="default" w:ascii="Times New Roman" w:hAnsi="Times New Roman" w:cs="Times New Roman"/>
                <w:b/>
                <w:bCs/>
                <w:color w:val="auto"/>
                <w:highlight w:val="none"/>
              </w:rPr>
              <w:t>废水</w:t>
            </w:r>
          </w:p>
          <w:p w14:paraId="6795A84A">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施工使用的机械、运输车辆等设备的冲洗会产生一定废水，施工机械、车辆冲洗废水</w:t>
            </w:r>
            <w:r>
              <w:rPr>
                <w:rFonts w:hint="default" w:ascii="Times New Roman" w:hAnsi="Times New Roman" w:cs="Times New Roman"/>
                <w:color w:val="auto"/>
                <w:highlight w:val="none"/>
                <w:lang w:eastAsia="zh-CN"/>
              </w:rPr>
              <w:t>、</w:t>
            </w:r>
            <w:r>
              <w:rPr>
                <w:rFonts w:hint="eastAsia" w:cs="Times New Roman"/>
                <w:color w:val="auto"/>
                <w:highlight w:val="none"/>
                <w:lang w:eastAsia="zh-CN"/>
              </w:rPr>
              <w:t>拌和</w:t>
            </w:r>
            <w:r>
              <w:rPr>
                <w:rFonts w:hint="default" w:ascii="Times New Roman" w:hAnsi="Times New Roman" w:cs="Times New Roman"/>
                <w:color w:val="auto"/>
                <w:highlight w:val="none"/>
              </w:rPr>
              <w:t>系统冲洗废水中主要污染物成分为悬浮物。</w:t>
            </w:r>
          </w:p>
          <w:p w14:paraId="32BBDFC5">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类比同类工程，</w:t>
            </w:r>
            <w:r>
              <w:rPr>
                <w:rFonts w:hint="eastAsia" w:cs="Times New Roman"/>
                <w:color w:val="auto"/>
                <w:highlight w:val="none"/>
                <w:lang w:val="en-US" w:eastAsia="zh-CN"/>
              </w:rPr>
              <w:t>各工程河段</w:t>
            </w:r>
            <w:r>
              <w:rPr>
                <w:rFonts w:hint="default" w:ascii="Times New Roman" w:hAnsi="Times New Roman" w:cs="Times New Roman"/>
                <w:color w:val="auto"/>
                <w:highlight w:val="none"/>
              </w:rPr>
              <w:t>施工区运输车辆、施工设备清洗产生的冲洗废水产生量约5m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eastAsia="zh-CN"/>
              </w:rPr>
              <w:t>，</w:t>
            </w:r>
            <w:r>
              <w:rPr>
                <w:rFonts w:hint="eastAsia" w:cs="Times New Roman"/>
                <w:color w:val="auto"/>
                <w:highlight w:val="none"/>
                <w:lang w:eastAsia="zh-CN"/>
              </w:rPr>
              <w:t>拌和</w:t>
            </w:r>
            <w:r>
              <w:rPr>
                <w:rFonts w:hint="default" w:ascii="Times New Roman" w:hAnsi="Times New Roman" w:cs="Times New Roman"/>
                <w:color w:val="auto"/>
                <w:highlight w:val="none"/>
              </w:rPr>
              <w:t>系统冲洗废水约0.</w:t>
            </w:r>
            <w:r>
              <w:rPr>
                <w:rFonts w:hint="eastAsia" w:cs="Times New Roman"/>
                <w:color w:val="auto"/>
                <w:highlight w:val="none"/>
                <w:lang w:val="en-US" w:eastAsia="zh-CN"/>
              </w:rPr>
              <w:t>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/d。本项目在</w:t>
            </w:r>
            <w:r>
              <w:rPr>
                <w:rFonts w:hint="eastAsia" w:cs="Times New Roman"/>
                <w:color w:val="auto"/>
                <w:highlight w:val="none"/>
                <w:lang w:val="en-US" w:eastAsia="zh-CN"/>
              </w:rPr>
              <w:t>1#</w:t>
            </w:r>
            <w:r>
              <w:rPr>
                <w:rFonts w:hint="default" w:ascii="Times New Roman" w:hAnsi="Times New Roman" w:cs="Times New Roman"/>
                <w:color w:val="auto"/>
                <w:highlight w:val="none"/>
              </w:rPr>
              <w:t>施</w:t>
            </w:r>
            <w:r>
              <w:rPr>
                <w:rFonts w:hint="default" w:ascii="Times New Roman" w:hAnsi="Times New Roman" w:cs="Times New Roman"/>
                <w:color w:val="auto"/>
                <w:szCs w:val="24"/>
                <w:highlight w:val="none"/>
              </w:rPr>
              <w:t>工场地</w:t>
            </w:r>
            <w:r>
              <w:rPr>
                <w:rFonts w:hint="default" w:ascii="Times New Roman" w:hAnsi="Times New Roman" w:cs="Times New Roman"/>
                <w:color w:val="auto"/>
                <w:szCs w:val="24"/>
                <w:highlight w:val="none"/>
                <w:lang w:val="en-US" w:eastAsia="zh-CN"/>
              </w:rPr>
              <w:t>内</w:t>
            </w:r>
            <w:r>
              <w:rPr>
                <w:rFonts w:hint="default" w:ascii="Times New Roman" w:hAnsi="Times New Roman" w:cs="Times New Roman"/>
                <w:color w:val="auto"/>
                <w:szCs w:val="24"/>
                <w:highlight w:val="none"/>
              </w:rPr>
              <w:t>设置</w:t>
            </w:r>
            <w:r>
              <w:rPr>
                <w:rFonts w:hint="default" w:ascii="Times New Roman" w:hAnsi="Times New Roman" w:cs="Times New Roman"/>
                <w:color w:val="auto"/>
                <w:szCs w:val="24"/>
                <w:highlight w:val="none"/>
                <w:lang w:val="en-US" w:eastAsia="zh-CN"/>
              </w:rPr>
              <w:t>1个</w:t>
            </w:r>
            <w:r>
              <w:rPr>
                <w:rFonts w:hint="default" w:ascii="Times New Roman" w:hAnsi="Times New Roman" w:cs="Times New Roman"/>
                <w:color w:val="auto"/>
                <w:szCs w:val="24"/>
                <w:highlight w:val="none"/>
              </w:rPr>
              <w:t>沉淀池</w:t>
            </w:r>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lang w:val="en-US" w:eastAsia="zh-CN"/>
              </w:rPr>
              <w:t>处理规模为</w:t>
            </w:r>
            <w:r>
              <w:rPr>
                <w:rFonts w:hint="eastAsia" w:cs="Times New Roman"/>
                <w:color w:val="auto"/>
                <w:szCs w:val="24"/>
                <w:highlight w:val="none"/>
                <w:lang w:val="en-US" w:eastAsia="zh-CN"/>
              </w:rPr>
              <w:t>12</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/d，施工机械、运输车辆冲洗废水</w:t>
            </w:r>
            <w:r>
              <w:rPr>
                <w:rFonts w:hint="default" w:ascii="Times New Roman" w:hAnsi="Times New Roman" w:cs="Times New Roman"/>
                <w:color w:val="auto"/>
                <w:szCs w:val="24"/>
                <w:highlight w:val="none"/>
                <w:lang w:eastAsia="zh-CN"/>
              </w:rPr>
              <w:t>、</w:t>
            </w:r>
            <w:r>
              <w:rPr>
                <w:rFonts w:hint="eastAsia" w:cs="Times New Roman"/>
                <w:color w:val="auto"/>
                <w:highlight w:val="none"/>
                <w:lang w:eastAsia="zh-CN"/>
              </w:rPr>
              <w:t>拌和</w:t>
            </w:r>
            <w:r>
              <w:rPr>
                <w:rFonts w:hint="default" w:ascii="Times New Roman" w:hAnsi="Times New Roman" w:cs="Times New Roman"/>
                <w:color w:val="auto"/>
                <w:highlight w:val="none"/>
              </w:rPr>
              <w:t>系统冲洗废水</w:t>
            </w:r>
            <w:r>
              <w:rPr>
                <w:rFonts w:hint="default" w:ascii="Times New Roman" w:hAnsi="Times New Roman" w:cs="Times New Roman"/>
                <w:color w:val="auto"/>
                <w:szCs w:val="24"/>
                <w:highlight w:val="none"/>
              </w:rPr>
              <w:t>经沉淀处理后回用于施工场地洒水降尘，不外排，对</w:t>
            </w:r>
            <w:r>
              <w:rPr>
                <w:rFonts w:hint="default" w:ascii="Times New Roman" w:hAnsi="Times New Roman" w:cs="Times New Roman"/>
                <w:color w:val="auto"/>
                <w:highlight w:val="none"/>
              </w:rPr>
              <w:t>地表水环境影响较小。</w:t>
            </w:r>
          </w:p>
          <w:p w14:paraId="0793B7EA">
            <w:pPr>
              <w:widowControl/>
              <w:ind w:left="0" w:leftChars="0" w:firstLine="0" w:firstLineChars="0"/>
              <w:rPr>
                <w:rFonts w:hint="default" w:ascii="Times New Roman" w:hAnsi="Times New Roman" w:eastAsia="宋体" w:cs="Times New Roman"/>
                <w:b/>
                <w:bCs w:val="0"/>
                <w:color w:val="auto"/>
                <w:highlight w:val="none"/>
                <w:lang w:val="en-US" w:eastAsia="zh-CN"/>
              </w:rPr>
            </w:pPr>
            <w:r>
              <w:rPr>
                <w:rFonts w:hint="default" w:ascii="Times New Roman" w:hAnsi="Times New Roman" w:cs="Times New Roman"/>
                <w:b/>
                <w:bCs w:val="0"/>
                <w:color w:val="auto"/>
                <w:highlight w:val="none"/>
              </w:rPr>
              <w:t>5.3.</w:t>
            </w:r>
            <w:r>
              <w:rPr>
                <w:rFonts w:hint="eastAsia" w:cs="Times New Roman"/>
                <w:b/>
                <w:bCs w:val="0"/>
                <w:color w:val="auto"/>
                <w:highlight w:val="none"/>
                <w:lang w:val="en-US" w:eastAsia="zh-CN"/>
              </w:rPr>
              <w:t>1.</w:t>
            </w:r>
            <w:r>
              <w:rPr>
                <w:rFonts w:hint="default" w:ascii="Times New Roman" w:hAnsi="Times New Roman" w:cs="Times New Roman"/>
                <w:b/>
                <w:bCs w:val="0"/>
                <w:color w:val="auto"/>
                <w:highlight w:val="none"/>
                <w:lang w:val="en-US" w:eastAsia="zh-CN"/>
              </w:rPr>
              <w:t>4</w:t>
            </w:r>
            <w:r>
              <w:rPr>
                <w:rFonts w:hint="default" w:ascii="Times New Roman" w:hAnsi="Times New Roman" w:cs="Times New Roman"/>
                <w:b/>
                <w:bCs w:val="0"/>
                <w:color w:val="auto"/>
                <w:highlight w:val="none"/>
                <w:lang w:val="fr-FR"/>
              </w:rPr>
              <w:t>疏浚</w:t>
            </w:r>
            <w:r>
              <w:rPr>
                <w:rFonts w:hint="default" w:ascii="Times New Roman" w:hAnsi="Times New Roman" w:cs="Times New Roman"/>
                <w:b/>
                <w:bCs w:val="0"/>
                <w:color w:val="auto"/>
                <w:highlight w:val="none"/>
                <w:lang w:val="en-US" w:eastAsia="zh-CN"/>
              </w:rPr>
              <w:t>淤泥渗滤废水</w:t>
            </w:r>
          </w:p>
          <w:p w14:paraId="46E094CD">
            <w:pPr>
              <w:widowControl/>
              <w:ind w:firstLine="0"/>
              <w:jc w:val="left"/>
              <w:rPr>
                <w:color w:val="auto"/>
                <w:highlight w:val="none"/>
              </w:rPr>
            </w:pPr>
            <w:r>
              <w:rPr>
                <w:rFonts w:hint="eastAsia" w:ascii="宋体" w:hAnsi="宋体" w:eastAsia="宋体" w:cs="宋体"/>
                <w:snapToGrid w:val="0"/>
                <w:color w:val="auto"/>
                <w:kern w:val="0"/>
                <w:sz w:val="24"/>
                <w:szCs w:val="24"/>
                <w:highlight w:val="none"/>
                <w:lang w:val="en-US" w:eastAsia="zh-CN" w:bidi="ar"/>
              </w:rPr>
              <w:t>为做</w:t>
            </w:r>
            <w:r>
              <w:rPr>
                <w:rFonts w:hint="eastAsia" w:ascii="宋体" w:hAnsi="宋体" w:eastAsia="宋体" w:cs="宋体"/>
                <w:b w:val="0"/>
                <w:bCs w:val="0"/>
                <w:snapToGrid w:val="0"/>
                <w:color w:val="auto"/>
                <w:kern w:val="0"/>
                <w:sz w:val="24"/>
                <w:szCs w:val="24"/>
                <w:highlight w:val="none"/>
                <w:lang w:val="en-US" w:eastAsia="zh-CN" w:bidi="ar"/>
              </w:rPr>
              <w:t>好</w:t>
            </w:r>
            <w:r>
              <w:rPr>
                <w:rFonts w:hint="default" w:ascii="Times New Roman" w:hAnsi="Times New Roman" w:cs="Times New Roman"/>
                <w:b w:val="0"/>
                <w:bCs w:val="0"/>
                <w:color w:val="auto"/>
                <w:highlight w:val="none"/>
                <w:lang w:val="fr-FR"/>
              </w:rPr>
              <w:t>疏浚</w:t>
            </w:r>
            <w:r>
              <w:rPr>
                <w:rFonts w:hint="default" w:ascii="Times New Roman" w:hAnsi="Times New Roman" w:cs="Times New Roman"/>
                <w:b w:val="0"/>
                <w:bCs w:val="0"/>
                <w:color w:val="auto"/>
                <w:highlight w:val="none"/>
                <w:lang w:val="en-US" w:eastAsia="zh-CN"/>
              </w:rPr>
              <w:t>淤泥渗滤废水</w:t>
            </w:r>
            <w:r>
              <w:rPr>
                <w:rFonts w:hint="eastAsia" w:ascii="宋体" w:hAnsi="宋体" w:eastAsia="宋体" w:cs="宋体"/>
                <w:b w:val="0"/>
                <w:bCs w:val="0"/>
                <w:snapToGrid w:val="0"/>
                <w:color w:val="auto"/>
                <w:kern w:val="0"/>
                <w:sz w:val="24"/>
                <w:szCs w:val="24"/>
                <w:highlight w:val="none"/>
                <w:lang w:val="en-US" w:eastAsia="zh-CN" w:bidi="ar"/>
              </w:rPr>
              <w:t>的</w:t>
            </w:r>
            <w:r>
              <w:rPr>
                <w:rFonts w:hint="eastAsia" w:ascii="宋体" w:hAnsi="宋体" w:eastAsia="宋体" w:cs="宋体"/>
                <w:snapToGrid w:val="0"/>
                <w:color w:val="auto"/>
                <w:kern w:val="0"/>
                <w:sz w:val="24"/>
                <w:szCs w:val="24"/>
                <w:highlight w:val="none"/>
                <w:lang w:val="en-US" w:eastAsia="zh-CN" w:bidi="ar"/>
              </w:rPr>
              <w:t>防渗工作，同时采取如下措施；①编织袋拦挡：为防止临时堆放淤泥砂石余水外泄，在临时堆放四周设置</w:t>
            </w:r>
            <w:r>
              <w:rPr>
                <w:rFonts w:hint="default" w:ascii="Times New Roman" w:hAnsi="Times New Roman" w:eastAsia="宋体" w:cs="Times New Roman"/>
                <w:snapToGrid w:val="0"/>
                <w:color w:val="auto"/>
                <w:kern w:val="0"/>
                <w:sz w:val="24"/>
                <w:szCs w:val="24"/>
                <w:highlight w:val="none"/>
                <w:lang w:val="en-US" w:eastAsia="zh-CN" w:bidi="ar"/>
              </w:rPr>
              <w:t xml:space="preserve">0.5m </w:t>
            </w:r>
            <w:r>
              <w:rPr>
                <w:rFonts w:hint="eastAsia" w:ascii="宋体" w:hAnsi="宋体" w:eastAsia="宋体" w:cs="宋体"/>
                <w:snapToGrid w:val="0"/>
                <w:color w:val="auto"/>
                <w:kern w:val="0"/>
                <w:sz w:val="24"/>
                <w:szCs w:val="24"/>
                <w:highlight w:val="none"/>
                <w:lang w:val="en-US" w:eastAsia="zh-CN" w:bidi="ar"/>
              </w:rPr>
              <w:t>高的围堰并做一般防渗处理。②沉淀池：</w:t>
            </w:r>
            <w:r>
              <w:rPr>
                <w:rFonts w:hint="eastAsia" w:cs="Times New Roman"/>
                <w:b w:val="0"/>
                <w:bCs w:val="0"/>
                <w:color w:val="auto"/>
                <w:highlight w:val="none"/>
                <w:lang w:val="en-US" w:eastAsia="zh-CN"/>
              </w:rPr>
              <w:t>在石河镇双拱场段的干化场设置1个5m</w:t>
            </w:r>
            <w:r>
              <w:rPr>
                <w:rFonts w:hint="eastAsia" w:cs="Times New Roman"/>
                <w:b w:val="0"/>
                <w:bCs w:val="0"/>
                <w:color w:val="auto"/>
                <w:highlight w:val="none"/>
                <w:vertAlign w:val="superscript"/>
                <w:lang w:val="en-US" w:eastAsia="zh-CN"/>
              </w:rPr>
              <w:t>3</w:t>
            </w:r>
            <w:r>
              <w:rPr>
                <w:rFonts w:hint="eastAsia" w:cs="Times New Roman"/>
                <w:b w:val="0"/>
                <w:bCs w:val="0"/>
                <w:color w:val="auto"/>
                <w:highlight w:val="none"/>
                <w:lang w:val="en-US" w:eastAsia="zh-CN"/>
              </w:rPr>
              <w:t>/d的沉淀池</w:t>
            </w:r>
            <w:r>
              <w:rPr>
                <w:rFonts w:hint="eastAsia" w:ascii="宋体" w:hAnsi="宋体" w:eastAsia="宋体" w:cs="宋体"/>
                <w:snapToGrid w:val="0"/>
                <w:color w:val="auto"/>
                <w:kern w:val="0"/>
                <w:sz w:val="24"/>
                <w:szCs w:val="24"/>
                <w:highlight w:val="none"/>
                <w:lang w:val="en-US" w:eastAsia="zh-CN" w:bidi="ar"/>
              </w:rPr>
              <w:t>，用以沉淀泥沙，排水沟与沉淀池连接段采用水泥砂浆抹面</w:t>
            </w:r>
            <w:r>
              <w:rPr>
                <w:rFonts w:hint="default" w:ascii="Times New Roman" w:hAnsi="Times New Roman" w:cs="Times New Roman"/>
                <w:b w:val="0"/>
                <w:bCs w:val="0"/>
                <w:color w:val="auto"/>
                <w:highlight w:val="none"/>
                <w:lang w:val="en-US" w:eastAsia="zh-CN"/>
              </w:rPr>
              <w:t>。渗滤水经沉淀池处理后通过河道岸坡自流本河道，对河道水质基本无影响。</w:t>
            </w:r>
            <w:r>
              <w:rPr>
                <w:rFonts w:hint="eastAsia" w:ascii="宋体" w:hAnsi="宋体" w:eastAsia="宋体" w:cs="宋体"/>
                <w:snapToGrid w:val="0"/>
                <w:color w:val="auto"/>
                <w:kern w:val="0"/>
                <w:sz w:val="24"/>
                <w:szCs w:val="24"/>
                <w:highlight w:val="none"/>
                <w:lang w:val="en-US" w:eastAsia="zh-CN" w:bidi="ar"/>
              </w:rPr>
              <w:t>③防尘网：临时堆场砂石淤泥堆放、运输过程中采用防尘网进行覆盖，局部散发恶臭异味区域采用蓬布覆盖并喷洒除臭剂。</w:t>
            </w:r>
          </w:p>
          <w:p w14:paraId="220536EE">
            <w:pPr>
              <w:widowControl/>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此外，施工单位需加强对运输车辆的安全运输管理和机械养护监督，杜绝事故隐患和燃油、机油的跑、冒、滴、漏现象，防止燃油、机油等污染水质对治理河段水质产生不利影响；严禁施工机械直接向水体排放含油污水。</w:t>
            </w:r>
          </w:p>
          <w:p w14:paraId="27A35445">
            <w:pPr>
              <w:widowControl/>
              <w:ind w:left="0" w:leftChars="0" w:firstLine="0" w:firstLineChars="0"/>
              <w:rPr>
                <w:rFonts w:hint="eastAsia" w:cs="Times New Roman"/>
                <w:b/>
                <w:bCs/>
                <w:color w:val="auto"/>
                <w:highlight w:val="none"/>
                <w:lang w:val="en-US" w:eastAsia="zh-CN"/>
              </w:rPr>
            </w:pPr>
            <w:r>
              <w:rPr>
                <w:rFonts w:hint="eastAsia" w:cs="Times New Roman"/>
                <w:b/>
                <w:bCs/>
                <w:color w:val="auto"/>
                <w:highlight w:val="none"/>
                <w:lang w:val="en-US" w:eastAsia="zh-CN"/>
              </w:rPr>
              <w:t>5.3.2 清河镇段及杨家段</w:t>
            </w:r>
          </w:p>
          <w:p w14:paraId="284A9B6B">
            <w:pPr>
              <w:ind w:firstLine="480"/>
              <w:rPr>
                <w:rFonts w:hint="eastAsia"/>
                <w:color w:val="auto"/>
                <w:highlight w:val="none"/>
                <w:lang w:val="en-US" w:eastAsia="zh-CN"/>
              </w:rPr>
            </w:pPr>
            <w:r>
              <w:rPr>
                <w:rFonts w:hint="eastAsia" w:cs="Times New Roman"/>
                <w:color w:val="auto"/>
                <w:highlight w:val="none"/>
                <w:lang w:val="en-US" w:eastAsia="zh-CN"/>
              </w:rPr>
              <w:t>施工期该段未设置施工营地，租赁周边农户住房。施工人员</w:t>
            </w:r>
            <w:r>
              <w:rPr>
                <w:rFonts w:hAnsi="Times New Roman"/>
                <w:color w:val="auto"/>
                <w:highlight w:val="none"/>
              </w:rPr>
              <w:t>大部</w:t>
            </w:r>
            <w:r>
              <w:rPr>
                <w:rFonts w:hint="eastAsia" w:hAnsi="Times New Roman"/>
                <w:color w:val="auto"/>
                <w:highlight w:val="none"/>
                <w:lang w:val="en-US" w:eastAsia="zh-CN"/>
              </w:rPr>
              <w:t>来自于</w:t>
            </w:r>
            <w:r>
              <w:rPr>
                <w:rFonts w:hAnsi="Times New Roman"/>
                <w:color w:val="auto"/>
                <w:highlight w:val="none"/>
              </w:rPr>
              <w:t>当地，食宿均依托当地</w:t>
            </w:r>
            <w:r>
              <w:rPr>
                <w:rFonts w:hint="eastAsia" w:hAnsi="Times New Roman"/>
                <w:color w:val="auto"/>
                <w:highlight w:val="none"/>
                <w:lang w:val="en-US" w:eastAsia="zh-CN"/>
              </w:rPr>
              <w:t>现有设施</w:t>
            </w:r>
            <w:r>
              <w:rPr>
                <w:rFonts w:hint="eastAsia"/>
                <w:color w:val="auto"/>
                <w:highlight w:val="none"/>
                <w:lang w:val="en-US" w:eastAsia="zh-CN"/>
              </w:rPr>
              <w:t>。生活污水依托当地居民现有设施。</w:t>
            </w:r>
          </w:p>
          <w:p w14:paraId="7968A50A">
            <w:pPr>
              <w:ind w:firstLine="480"/>
              <w:rPr>
                <w:rFonts w:hint="default" w:cs="Times New Roman"/>
                <w:color w:val="auto"/>
                <w:highlight w:val="none"/>
                <w:lang w:val="en-US" w:eastAsia="zh-CN"/>
              </w:rPr>
            </w:pPr>
            <w:r>
              <w:rPr>
                <w:rFonts w:hint="eastAsia"/>
                <w:color w:val="auto"/>
                <w:highlight w:val="none"/>
                <w:lang w:val="en-US" w:eastAsia="zh-CN"/>
              </w:rPr>
              <w:t>施工场地车辆冲洗废水及拌和系统冲洗废水、基坑渗水，经沉淀后回用抑尘洒水。项目疏浚淤泥堆放在岸坡上，下游采取编织袋围挡。编织袋渗滤出来的水直接排入地表水体。现场调查，河道水质清澈。项目施工期未发生水污染事件及环保投诉。</w:t>
            </w:r>
          </w:p>
          <w:p w14:paraId="3E712F48">
            <w:pPr>
              <w:ind w:firstLine="0" w:firstLineChars="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5.4 施工期噪声治理措施</w:t>
            </w:r>
          </w:p>
          <w:p w14:paraId="0B97768D">
            <w:pPr>
              <w:pStyle w:val="19"/>
              <w:spacing w:line="360" w:lineRule="auto"/>
              <w:ind w:left="0" w:leftChars="0" w:firstLine="0" w:firstLineChars="0"/>
              <w:rPr>
                <w:rFonts w:hint="eastAsia" w:cs="Times New Roman"/>
                <w:b/>
                <w:bCs w:val="0"/>
                <w:color w:val="auto"/>
                <w:highlight w:val="none"/>
                <w:lang w:val="en-US" w:eastAsia="zh-CN"/>
              </w:rPr>
            </w:pPr>
            <w:r>
              <w:rPr>
                <w:rFonts w:hint="eastAsia" w:hAnsi="Times New Roman" w:cs="Times New Roman"/>
                <w:b/>
                <w:bCs w:val="0"/>
                <w:color w:val="auto"/>
                <w:highlight w:val="none"/>
                <w:lang w:val="en-US" w:eastAsia="zh-CN"/>
              </w:rPr>
              <w:t xml:space="preserve">5.4.1 </w:t>
            </w:r>
            <w:r>
              <w:rPr>
                <w:rFonts w:hint="eastAsia" w:cs="Times New Roman"/>
                <w:b/>
                <w:bCs w:val="0"/>
                <w:color w:val="auto"/>
                <w:highlight w:val="none"/>
                <w:lang w:val="en-US" w:eastAsia="zh-CN"/>
              </w:rPr>
              <w:t>柳城河石河镇二郎段、福兴段、石河镇段、双拱场段</w:t>
            </w:r>
          </w:p>
          <w:p w14:paraId="242ADE5E">
            <w:pPr>
              <w:pStyle w:val="19"/>
              <w:spacing w:line="360" w:lineRule="auto"/>
              <w:ind w:left="480" w:leftChars="200" w:firstLine="0" w:firstLineChars="0"/>
              <w:rPr>
                <w:rFonts w:hint="default" w:ascii="Times New Roman" w:hAnsi="Times New Roman" w:eastAsia="Calibri" w:cs="Times New Roman"/>
                <w:bCs/>
                <w:color w:val="auto"/>
                <w:highlight w:val="none"/>
              </w:rPr>
            </w:pPr>
            <w:r>
              <w:rPr>
                <w:rFonts w:hint="default" w:ascii="Times New Roman" w:hAnsi="Times New Roman" w:cs="Times New Roman"/>
                <w:bCs/>
                <w:color w:val="auto"/>
                <w:highlight w:val="none"/>
              </w:rPr>
              <w:t>建设单位采取的噪声防治措施：</w:t>
            </w:r>
          </w:p>
          <w:p w14:paraId="3EA2C84C">
            <w:pPr>
              <w:wordWrap w:val="0"/>
              <w:adjustRightInd w:val="0"/>
              <w:snapToGrid w:val="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（1）噪声源控制措施</w:t>
            </w:r>
          </w:p>
          <w:p w14:paraId="59FF2C20">
            <w:pPr>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①选用低噪声的设备和工艺，可从根本上降低噪声源强；</w:t>
            </w:r>
          </w:p>
          <w:p w14:paraId="2F4A6331">
            <w:pPr>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②加强机械设备的维修和保养，保持机械润滑，减少运行噪声；</w:t>
            </w:r>
          </w:p>
          <w:p w14:paraId="173B34C8">
            <w:pPr>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③施工运输车辆在通过</w:t>
            </w:r>
            <w:r>
              <w:rPr>
                <w:rFonts w:hint="default" w:ascii="Times New Roman" w:hAnsi="Times New Roman" w:cs="Times New Roman"/>
                <w:color w:val="auto"/>
                <w:highlight w:val="none"/>
                <w:lang w:eastAsia="zh-CN"/>
              </w:rPr>
              <w:t>居民点时</w:t>
            </w:r>
            <w:r>
              <w:rPr>
                <w:rFonts w:hint="default" w:ascii="Times New Roman" w:hAnsi="Times New Roman" w:cs="Times New Roman"/>
                <w:color w:val="auto"/>
                <w:highlight w:val="none"/>
              </w:rPr>
              <w:t>，应减缓车速，禁止鸣放高音喇叭，以减轻交通噪声的干扰；</w:t>
            </w:r>
          </w:p>
          <w:p w14:paraId="2CD1A126">
            <w:pPr>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④优化施工区布局，现阶段为初步设计阶段，部分施工临场地如施工营地，尚未确定具体位置，建议尽量将以上场地设置在离环境敏感点如居民点200m外的地方。</w:t>
            </w:r>
          </w:p>
          <w:p w14:paraId="1BA8E64F">
            <w:pPr>
              <w:wordWrap w:val="0"/>
              <w:adjustRightInd w:val="0"/>
              <w:snapToGrid w:val="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（2）声传播途径控制</w:t>
            </w:r>
          </w:p>
          <w:p w14:paraId="4255B97D">
            <w:pPr>
              <w:wordWrap w:val="0"/>
              <w:adjustRightInd w:val="0"/>
              <w:snapToGrid w:val="0"/>
              <w:ind w:firstLine="480"/>
              <w:rPr>
                <w:rFonts w:hint="eastAsia" w:cs="Times New Roman"/>
                <w:color w:val="auto"/>
                <w:highlight w:val="none"/>
                <w:lang w:eastAsia="zh-CN"/>
              </w:rPr>
            </w:pPr>
            <w:r>
              <w:rPr>
                <w:rFonts w:hint="default" w:ascii="Times New Roman" w:hAnsi="Times New Roman" w:cs="Times New Roman"/>
                <w:color w:val="auto"/>
                <w:highlight w:val="none"/>
              </w:rPr>
              <w:t>①对振动大的机械设备使用减振机座或减振垫</w:t>
            </w:r>
            <w:r>
              <w:rPr>
                <w:rFonts w:hint="eastAsia" w:cs="Times New Roman"/>
                <w:color w:val="auto"/>
                <w:highlight w:val="none"/>
                <w:lang w:eastAsia="zh-CN"/>
              </w:rPr>
              <w:t>。</w:t>
            </w:r>
          </w:p>
          <w:p w14:paraId="1F410F27">
            <w:pPr>
              <w:wordWrap w:val="0"/>
              <w:adjustRightInd w:val="0"/>
              <w:snapToGrid w:val="0"/>
              <w:ind w:firstLine="480"/>
              <w:rPr>
                <w:rFonts w:hint="eastAsia" w:cs="Times New Roman"/>
                <w:color w:val="auto"/>
                <w:highlight w:val="none"/>
                <w:lang w:eastAsia="zh-CN"/>
              </w:rPr>
            </w:pPr>
            <w:r>
              <w:rPr>
                <w:rFonts w:hint="default" w:ascii="Times New Roman" w:hAnsi="Times New Roman" w:cs="Times New Roman"/>
                <w:color w:val="auto"/>
                <w:highlight w:val="none"/>
              </w:rPr>
              <w:t>②封闭施工应在施工场界设置围挡，围挡高度不低于2.5m</w:t>
            </w:r>
            <w:r>
              <w:rPr>
                <w:rFonts w:hint="eastAsia" w:cs="Times New Roman"/>
                <w:color w:val="auto"/>
                <w:highlight w:val="none"/>
                <w:lang w:eastAsia="zh-CN"/>
              </w:rPr>
              <w:t>。</w:t>
            </w:r>
          </w:p>
          <w:p w14:paraId="0C117306">
            <w:pPr>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③合理安排施工区和办公生活区位置，噪声大的施工机械应尽可能远离居民区；合理布局施工场地，保证</w:t>
            </w:r>
            <w:r>
              <w:rPr>
                <w:rFonts w:hint="eastAsia" w:cs="Times New Roman"/>
                <w:color w:val="auto"/>
                <w:highlight w:val="none"/>
                <w:lang w:eastAsia="zh-CN"/>
              </w:rPr>
              <w:t>场界</w:t>
            </w:r>
            <w:r>
              <w:rPr>
                <w:rFonts w:hint="default" w:ascii="Times New Roman" w:hAnsi="Times New Roman" w:cs="Times New Roman"/>
                <w:color w:val="auto"/>
                <w:highlight w:val="none"/>
              </w:rPr>
              <w:t>噪声值满足《建筑施工场界环境噪声排放标准》中相应标准限值。</w:t>
            </w:r>
          </w:p>
          <w:p w14:paraId="15E78BDF">
            <w:pPr>
              <w:wordWrap w:val="0"/>
              <w:adjustRightInd w:val="0"/>
              <w:snapToGrid w:val="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（3）施工管理</w:t>
            </w:r>
          </w:p>
          <w:p w14:paraId="6E5B96F4">
            <w:pPr>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根据声环境敏感目标调查结果，工程沿线200m以内的声敏感点分布较多</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根据声环境影响预测与评价，在采取禁止夜间施工，采用低噪声设备，施工机械远离居民住宅，设置移动声屏障等措施的前提下，沿线居民点声环境质量均能达到相应的标准。</w:t>
            </w:r>
          </w:p>
          <w:p w14:paraId="51524319">
            <w:pPr>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现场地理条件和敏感点分布情况，沿线居民点受现有防护林、堤防的阻隔等因素的影响，结合敏感点噪声预测，需加强其施工管理，从而减缓噪声对居民的影响。结合工程实际情况，从以下几个方面加强施工管理：</w:t>
            </w:r>
          </w:p>
          <w:p w14:paraId="1CAC94ED">
            <w:pPr>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①合理安排施工时间，</w:t>
            </w:r>
            <w:r>
              <w:rPr>
                <w:rFonts w:hint="eastAsia" w:cs="Times New Roman"/>
                <w:color w:val="auto"/>
                <w:highlight w:val="none"/>
                <w:lang w:val="en-US" w:eastAsia="zh-CN"/>
              </w:rPr>
              <w:t>分段施工，</w:t>
            </w:r>
            <w:r>
              <w:rPr>
                <w:rFonts w:hint="default" w:ascii="Times New Roman" w:hAnsi="Times New Roman" w:cs="Times New Roman"/>
                <w:color w:val="auto"/>
                <w:highlight w:val="none"/>
              </w:rPr>
              <w:t>禁止夜间施工；在居民集中的施工段，在人们睡眠休息时间</w:t>
            </w:r>
            <w:r>
              <w:rPr>
                <w:rFonts w:hint="eastAsia" w:cs="Times New Roman"/>
                <w:color w:val="auto"/>
                <w:highlight w:val="none"/>
                <w:lang w:val="en-US" w:eastAsia="zh-CN"/>
              </w:rPr>
              <w:t>避免</w:t>
            </w:r>
            <w:r>
              <w:rPr>
                <w:rFonts w:hint="default" w:ascii="Times New Roman" w:hAnsi="Times New Roman" w:cs="Times New Roman"/>
                <w:color w:val="auto"/>
                <w:highlight w:val="none"/>
              </w:rPr>
              <w:t>施工；合理安排施工工序，对同一施工段涉及多项施工内容时，避开同步施工，分项施工，避免增加噪声贡献值。</w:t>
            </w:r>
          </w:p>
          <w:p w14:paraId="7B68D3F0">
            <w:pPr>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②施工单位应加强对施工队伍的管理，倡导文明施工；尽量避免多种大型机械设备同时施工，干扰附近居民休息。</w:t>
            </w:r>
          </w:p>
          <w:p w14:paraId="3E1F9CAE">
            <w:pPr>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加强施工期噪声监测，项目所在区域地势平坦，噪声影响范围大；施工期环境监测单位应加强对声环境敏感点的噪声监测，对于噪声超标的区域，及时反馈建设单位，督促施工单位加以规范，确保敏感点声环境功能区达标。</w:t>
            </w:r>
          </w:p>
          <w:p w14:paraId="1D6D14CD">
            <w:pPr>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因工程需要，确需夜间施工或多种大型机械设备同时施工，会导致工程所在区域居民点声环境功能区不达标的，建设单位应向当地政府部门环境保护主管申请，并在可能受影响的区域张贴公告，经生态环境主管部门批准后方可施工。</w:t>
            </w:r>
          </w:p>
          <w:p w14:paraId="6CC096B2">
            <w:pPr>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⑤合理施工布局，大型机械施工避免在同一施工区，尽量采用分散式施工，避免集中施工。</w:t>
            </w:r>
          </w:p>
          <w:p w14:paraId="5E2CE011">
            <w:pPr>
              <w:wordWrap w:val="0"/>
              <w:adjustRightInd w:val="0"/>
              <w:snapToGrid w:val="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（4）受体保护措施</w:t>
            </w:r>
          </w:p>
          <w:p w14:paraId="1528A4CF">
            <w:pPr>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①交通运行噪声影响居民点保护措施：施工运输道路经过村庄及集中居民点时，</w:t>
            </w:r>
            <w:r>
              <w:rPr>
                <w:rFonts w:hint="default" w:ascii="Times New Roman" w:hAnsi="Times New Roman" w:cs="Times New Roman"/>
                <w:color w:val="auto"/>
                <w:highlight w:val="none"/>
                <w:lang w:val="en-US" w:eastAsia="zh-CN"/>
              </w:rPr>
              <w:t>经过沿线</w:t>
            </w:r>
            <w:r>
              <w:rPr>
                <w:rFonts w:hint="default" w:ascii="Times New Roman" w:hAnsi="Times New Roman" w:cs="Times New Roman"/>
                <w:color w:val="auto"/>
                <w:highlight w:val="none"/>
              </w:rPr>
              <w:t>居民区</w:t>
            </w:r>
            <w:r>
              <w:rPr>
                <w:rFonts w:hint="default" w:ascii="Times New Roman" w:hAnsi="Times New Roman" w:cs="Times New Roman"/>
                <w:color w:val="auto"/>
                <w:highlight w:val="none"/>
                <w:lang w:val="en-US" w:eastAsia="zh-CN"/>
              </w:rPr>
              <w:t>时采取控制车速、禁止鸣笛等措施</w:t>
            </w:r>
            <w:r>
              <w:rPr>
                <w:rFonts w:hint="default" w:ascii="Times New Roman" w:hAnsi="Times New Roman" w:cs="Times New Roman"/>
                <w:color w:val="auto"/>
                <w:highlight w:val="none"/>
              </w:rPr>
              <w:t>，同时尽量避免在居民午休时间及夜间进行运输活动。</w:t>
            </w:r>
          </w:p>
          <w:p w14:paraId="599B30FF">
            <w:pPr>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以路代堤施工影响居民点保护措施：对以路代堤从现有村庄内部穿过或经村边穿过的，应在靠近居民点的一侧设置移动隔声屏障，隔声屏障选用当地常用的金属或者合成材料结构，根据各工程施工进度安排，隔声屏障可采用可拆卸式结构以便重复利用，高度应不小于2m。</w:t>
            </w:r>
          </w:p>
          <w:p w14:paraId="3AC96692">
            <w:pPr>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河道工程施工影响居民点保护措施：本环评要求建筑物工程施工时必须设置施工围挡，郊区围挡高度不低于1.8m，城市围挡高度不低于2.5m。同时在建筑物附近的敏感点设置移动隔声屏障，以进一步消减噪声。移动声屏障考虑重复利用，不再另计。</w:t>
            </w:r>
          </w:p>
          <w:p w14:paraId="16819444">
            <w:pPr>
              <w:wordWrap w:val="0"/>
              <w:adjustRightInd w:val="0"/>
              <w:snapToGrid w:val="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上述施工期噪声减缓措施基本为管理措施，施工期间建设单位加强施工管理则可达到减缓施工期噪声影响的目的。采取措施后，施工各阶段对周边敏感点影响较小，其敏感点声环境可达到《声环境质量标准》（GB3096-2008）中2类区域标准。</w:t>
            </w:r>
          </w:p>
          <w:p w14:paraId="24FE6644">
            <w:pPr>
              <w:wordWrap w:val="0"/>
              <w:adjustRightInd w:val="0"/>
              <w:snapToGrid w:val="0"/>
              <w:ind w:left="0" w:leftChars="0" w:firstLine="0" w:firstLineChars="0"/>
              <w:rPr>
                <w:rFonts w:hint="default" w:cs="Times New Roman"/>
                <w:b/>
                <w:bCs/>
                <w:color w:val="auto"/>
                <w:highlight w:val="none"/>
                <w:lang w:val="en-US" w:eastAsia="zh-CN"/>
              </w:rPr>
            </w:pPr>
            <w:r>
              <w:rPr>
                <w:rFonts w:hint="eastAsia" w:cs="Times New Roman"/>
                <w:b/>
                <w:bCs/>
                <w:color w:val="auto"/>
                <w:highlight w:val="none"/>
                <w:lang w:val="en-US" w:eastAsia="zh-CN"/>
              </w:rPr>
              <w:t>5.4.2 清河镇段及杨家镇段</w:t>
            </w:r>
          </w:p>
          <w:p w14:paraId="5ABC2FC5">
            <w:pPr>
              <w:ind w:firstLine="480"/>
              <w:rPr>
                <w:rFonts w:hint="eastAsia"/>
                <w:color w:val="auto"/>
                <w:sz w:val="24"/>
                <w:highlight w:val="none"/>
                <w:lang w:val="en-US" w:eastAsia="zh-CN"/>
              </w:rPr>
            </w:pPr>
            <w:r>
              <w:rPr>
                <w:rFonts w:hint="eastAsia"/>
                <w:bCs/>
                <w:color w:val="auto"/>
                <w:highlight w:val="none"/>
                <w:lang w:val="en-US" w:eastAsia="zh-CN"/>
              </w:rPr>
              <w:t>该段施工期噪声主要为</w:t>
            </w:r>
            <w:r>
              <w:rPr>
                <w:rFonts w:hint="eastAsia"/>
                <w:color w:val="auto"/>
                <w:sz w:val="24"/>
                <w:highlight w:val="none"/>
              </w:rPr>
              <w:t>施工机械噪声和施工车辆噪声</w:t>
            </w:r>
            <w:r>
              <w:rPr>
                <w:rFonts w:hint="eastAsia"/>
                <w:color w:val="auto"/>
                <w:sz w:val="24"/>
                <w:highlight w:val="none"/>
                <w:lang w:eastAsia="zh-CN"/>
              </w:rPr>
              <w:t>，</w:t>
            </w:r>
            <w:r>
              <w:rPr>
                <w:rFonts w:hint="eastAsia"/>
                <w:color w:val="auto"/>
                <w:sz w:val="24"/>
                <w:highlight w:val="none"/>
                <w:lang w:val="en-US" w:eastAsia="zh-CN"/>
              </w:rPr>
              <w:t>源强</w:t>
            </w:r>
            <w:r>
              <w:rPr>
                <w:rFonts w:hint="eastAsia"/>
                <w:color w:val="auto"/>
                <w:sz w:val="24"/>
                <w:highlight w:val="none"/>
              </w:rPr>
              <w:t>在</w:t>
            </w:r>
            <w:r>
              <w:rPr>
                <w:rFonts w:hint="eastAsia"/>
                <w:color w:val="auto"/>
                <w:sz w:val="24"/>
                <w:highlight w:val="none"/>
                <w:lang w:val="en-US" w:eastAsia="zh-CN"/>
              </w:rPr>
              <w:t>80</w:t>
            </w:r>
            <w:r>
              <w:rPr>
                <w:color w:val="auto"/>
                <w:sz w:val="24"/>
                <w:highlight w:val="none"/>
              </w:rPr>
              <w:t>~</w:t>
            </w:r>
            <w:r>
              <w:rPr>
                <w:rFonts w:hint="eastAsia"/>
                <w:color w:val="auto"/>
                <w:sz w:val="24"/>
                <w:highlight w:val="none"/>
                <w:lang w:val="en-US" w:eastAsia="zh-CN"/>
              </w:rPr>
              <w:t>100</w:t>
            </w:r>
            <w:r>
              <w:rPr>
                <w:color w:val="auto"/>
                <w:sz w:val="24"/>
                <w:highlight w:val="none"/>
              </w:rPr>
              <w:t>dB（A）</w:t>
            </w:r>
            <w:r>
              <w:rPr>
                <w:rFonts w:hint="eastAsia"/>
                <w:color w:val="auto"/>
                <w:sz w:val="24"/>
                <w:highlight w:val="none"/>
              </w:rPr>
              <w:t>之间</w:t>
            </w:r>
            <w:r>
              <w:rPr>
                <w:rFonts w:hint="eastAsia"/>
                <w:color w:val="auto"/>
                <w:sz w:val="24"/>
                <w:highlight w:val="none"/>
                <w:lang w:eastAsia="zh-CN"/>
              </w:rPr>
              <w:t>。</w:t>
            </w:r>
            <w:r>
              <w:rPr>
                <w:rFonts w:hint="eastAsia"/>
                <w:color w:val="auto"/>
                <w:sz w:val="24"/>
                <w:highlight w:val="none"/>
                <w:lang w:val="en-US" w:eastAsia="zh-CN"/>
              </w:rPr>
              <w:t>根据调查，项目施工期合理安排施工作业时间，夜间不施工；施工前与当地居民的沟通，取得了当地居民谅解和支持。根据调查，项目施工期间未发生噪声扰民及环保投诉。根据现状监测结果，项目施工结束后，区域声环境满足2类标准要求。</w:t>
            </w:r>
          </w:p>
          <w:p w14:paraId="00138372">
            <w:pPr>
              <w:ind w:firstLine="0" w:firstLineChars="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5.5 施工期固体废物治理措施</w:t>
            </w:r>
          </w:p>
          <w:p w14:paraId="6C2B917A">
            <w:pPr>
              <w:ind w:left="0" w:leftChars="0" w:firstLine="0" w:firstLineChars="0"/>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5.5.1 柳城河石河镇二郎段、福兴段、石河镇段、双拱场段</w:t>
            </w:r>
          </w:p>
          <w:p w14:paraId="0A46A869">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（1）土石方弃渣</w:t>
            </w:r>
          </w:p>
          <w:p w14:paraId="22A3285D">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Cs w:val="24"/>
                <w:highlight w:val="none"/>
              </w:rPr>
              <w:t>经土石方平衡后，</w:t>
            </w:r>
            <w:r>
              <w:rPr>
                <w:rFonts w:hint="default" w:ascii="Times New Roman" w:hAnsi="Times New Roman" w:cs="Times New Roman"/>
                <w:color w:val="auto"/>
                <w:szCs w:val="24"/>
                <w:highlight w:val="none"/>
                <w:lang w:eastAsia="zh-CN"/>
              </w:rPr>
              <w:t>弃渣量</w:t>
            </w:r>
            <w:r>
              <w:rPr>
                <w:rFonts w:hint="default" w:ascii="Times New Roman" w:hAnsi="Times New Roman" w:cs="Times New Roman"/>
                <w:color w:val="auto"/>
                <w:szCs w:val="24"/>
                <w:highlight w:val="none"/>
              </w:rPr>
              <w:t>为</w:t>
            </w:r>
            <w:r>
              <w:rPr>
                <w:rFonts w:hint="eastAsia" w:cs="Times New Roman"/>
                <w:color w:val="auto"/>
                <w:highlight w:val="none"/>
                <w:lang w:val="en-US" w:eastAsia="zh-CN"/>
              </w:rPr>
              <w:t>2.98万m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w:t>
            </w:r>
            <w:r>
              <w:rPr>
                <w:rFonts w:hint="default" w:ascii="Times New Roman" w:hAnsi="Times New Roman" w:cs="Times New Roman"/>
                <w:color w:val="auto"/>
                <w:highlight w:val="none"/>
              </w:rPr>
              <w:t>自然方</w:t>
            </w:r>
            <w:r>
              <w:rPr>
                <w:rFonts w:hint="default" w:ascii="Times New Roman" w:hAnsi="Times New Roman" w:cs="Times New Roman"/>
                <w:color w:val="auto"/>
                <w:szCs w:val="24"/>
                <w:highlight w:val="none"/>
              </w:rPr>
              <w:t>）。</w:t>
            </w:r>
            <w:r>
              <w:rPr>
                <w:rFonts w:hint="eastAsia" w:cs="Times New Roman"/>
                <w:color w:val="auto"/>
                <w:sz w:val="24"/>
                <w:szCs w:val="24"/>
                <w:highlight w:val="none"/>
                <w:lang w:eastAsia="zh-CN"/>
              </w:rPr>
              <w:t>经土石方平衡后产生的弃渣，</w:t>
            </w:r>
            <w:r>
              <w:rPr>
                <w:rFonts w:hint="eastAsia" w:cs="Times New Roman"/>
                <w:color w:val="auto"/>
                <w:sz w:val="24"/>
                <w:szCs w:val="24"/>
                <w:highlight w:val="none"/>
                <w:lang w:val="en-US" w:eastAsia="zh-CN"/>
              </w:rPr>
              <w:t>可直接利用的部分由周边居民用于农田做肥料，沉淀泥渣和</w:t>
            </w:r>
            <w:r>
              <w:rPr>
                <w:rFonts w:hint="eastAsia"/>
                <w:color w:val="auto"/>
                <w:sz w:val="24"/>
                <w:szCs w:val="24"/>
                <w:highlight w:val="none"/>
                <w:lang w:val="en-US" w:eastAsia="zh-CN"/>
              </w:rPr>
              <w:t>含砂石量多的疏浚砂石用于沿线低洼地区回填</w:t>
            </w:r>
            <w:r>
              <w:rPr>
                <w:rFonts w:hint="eastAsia" w:cs="Times New Roman"/>
                <w:color w:val="auto"/>
                <w:sz w:val="24"/>
                <w:szCs w:val="24"/>
                <w:highlight w:val="none"/>
                <w:lang w:val="en-US" w:eastAsia="zh-CN"/>
              </w:rPr>
              <w:t>；经晾干后的不可直接利用清淤淤泥运往市政规划的弃渣场</w:t>
            </w:r>
            <w:r>
              <w:rPr>
                <w:rFonts w:hint="default" w:ascii="Times New Roman" w:hAnsi="Times New Roman" w:cs="Times New Roman"/>
                <w:color w:val="auto"/>
                <w:sz w:val="24"/>
                <w:szCs w:val="24"/>
                <w:highlight w:val="none"/>
              </w:rPr>
              <w:t>。</w:t>
            </w:r>
          </w:p>
          <w:p w14:paraId="55D1E2EA">
            <w:pPr>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（2）疏浚淤泥</w:t>
            </w:r>
          </w:p>
          <w:p w14:paraId="02BA8DCA">
            <w:pPr>
              <w:ind w:firstLine="480"/>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可直接利用的部分由周边居民用于农田做肥料，</w:t>
            </w:r>
            <w:r>
              <w:rPr>
                <w:rFonts w:hint="eastAsia"/>
                <w:color w:val="auto"/>
                <w:sz w:val="24"/>
                <w:szCs w:val="24"/>
                <w:highlight w:val="none"/>
                <w:lang w:val="en-US" w:eastAsia="zh-CN"/>
              </w:rPr>
              <w:t>含砂石量多的疏浚砂石用于沿线低洼地区回填</w:t>
            </w:r>
            <w:r>
              <w:rPr>
                <w:rFonts w:hint="eastAsia" w:cs="Times New Roman"/>
                <w:color w:val="auto"/>
                <w:sz w:val="24"/>
                <w:szCs w:val="24"/>
                <w:highlight w:val="none"/>
                <w:lang w:val="en-US" w:eastAsia="zh-CN"/>
              </w:rPr>
              <w:t>；经晾干后的不可直接利用清淤淤泥运往市政规划的弃渣场</w:t>
            </w:r>
            <w:r>
              <w:rPr>
                <w:rFonts w:hint="default" w:ascii="Times New Roman" w:hAnsi="Times New Roman" w:cs="Times New Roman"/>
                <w:color w:val="auto"/>
                <w:sz w:val="24"/>
                <w:szCs w:val="24"/>
                <w:highlight w:val="none"/>
                <w:lang w:eastAsia="zh-CN"/>
              </w:rPr>
              <w:t>。</w:t>
            </w:r>
          </w:p>
          <w:p w14:paraId="02C8A7B0">
            <w:pPr>
              <w:ind w:firstLine="480"/>
              <w:jc w:val="left"/>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（3）</w:t>
            </w:r>
            <w:r>
              <w:rPr>
                <w:rFonts w:hint="eastAsia"/>
                <w:color w:val="auto"/>
                <w:sz w:val="24"/>
                <w:szCs w:val="32"/>
                <w:highlight w:val="none"/>
              </w:rPr>
              <w:t>白蚁防治废包装</w:t>
            </w:r>
          </w:p>
          <w:p w14:paraId="1E0F996E">
            <w:pPr>
              <w:ind w:firstLine="480"/>
              <w:jc w:val="left"/>
              <w:rPr>
                <w:rFonts w:hint="default" w:ascii="Times New Roman" w:hAnsi="Times New Roman"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治理白蚁产生的</w:t>
            </w:r>
            <w:r>
              <w:rPr>
                <w:rFonts w:hint="eastAsia"/>
                <w:b w:val="0"/>
                <w:bCs w:val="0"/>
                <w:color w:val="auto"/>
                <w:sz w:val="24"/>
                <w:szCs w:val="24"/>
                <w:highlight w:val="none"/>
                <w:lang w:val="en-US" w:eastAsia="zh-CN"/>
              </w:rPr>
              <w:t>废弃的农药废包装收集后送至农药经营店，由农药经营店进行回收。</w:t>
            </w:r>
          </w:p>
          <w:p w14:paraId="69ED673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b w:val="0"/>
                <w:bCs w:val="0"/>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4</w:t>
            </w:r>
            <w:r>
              <w:rPr>
                <w:rFonts w:hint="eastAsia" w:cs="Times New Roman"/>
                <w:color w:val="auto"/>
                <w:highlight w:val="none"/>
                <w:lang w:eastAsia="zh-CN"/>
              </w:rPr>
              <w:t>）</w:t>
            </w:r>
            <w:r>
              <w:rPr>
                <w:rFonts w:hint="eastAsia"/>
                <w:b w:val="0"/>
                <w:bCs w:val="0"/>
                <w:color w:val="auto"/>
                <w:highlight w:val="none"/>
                <w:lang w:val="en-US" w:eastAsia="zh-CN"/>
              </w:rPr>
              <w:t>岸坡清理</w:t>
            </w:r>
            <w:r>
              <w:rPr>
                <w:rFonts w:hint="eastAsia" w:eastAsia="宋体"/>
                <w:b w:val="0"/>
                <w:bCs w:val="0"/>
                <w:color w:val="auto"/>
                <w:highlight w:val="none"/>
                <w:lang w:val="en-US" w:eastAsia="zh-CN"/>
              </w:rPr>
              <w:t>废物</w:t>
            </w:r>
          </w:p>
          <w:p w14:paraId="3E6829B9">
            <w:pPr>
              <w:ind w:firstLine="480"/>
              <w:jc w:val="left"/>
              <w:rPr>
                <w:rFonts w:hint="eastAsia" w:cs="Times New Roman"/>
                <w:color w:val="auto"/>
                <w:highlight w:val="none"/>
                <w:lang w:eastAsia="zh-CN"/>
              </w:rPr>
            </w:pPr>
            <w:r>
              <w:rPr>
                <w:rFonts w:hint="eastAsia" w:eastAsia="宋体"/>
                <w:b w:val="0"/>
                <w:bCs w:val="0"/>
                <w:color w:val="auto"/>
                <w:highlight w:val="none"/>
                <w:lang w:val="en-US" w:eastAsia="zh-CN"/>
              </w:rPr>
              <w:t>岸坡清理废物中的生活垃圾交</w:t>
            </w:r>
            <w:r>
              <w:rPr>
                <w:rFonts w:hint="default" w:eastAsia="宋体"/>
                <w:b w:val="0"/>
                <w:bCs w:val="0"/>
                <w:color w:val="auto"/>
                <w:highlight w:val="none"/>
                <w:lang w:val="en-US" w:eastAsia="zh-CN"/>
              </w:rPr>
              <w:t>由环卫部门清运</w:t>
            </w:r>
            <w:r>
              <w:rPr>
                <w:rFonts w:hint="eastAsia" w:eastAsia="宋体"/>
                <w:b w:val="0"/>
                <w:bCs w:val="0"/>
                <w:color w:val="auto"/>
                <w:highlight w:val="none"/>
                <w:lang w:val="en-US" w:eastAsia="zh-CN"/>
              </w:rPr>
              <w:t>，建筑废渣</w:t>
            </w:r>
            <w:r>
              <w:rPr>
                <w:rFonts w:hint="default" w:eastAsia="宋体"/>
                <w:b w:val="0"/>
                <w:bCs w:val="0"/>
                <w:color w:val="auto"/>
                <w:highlight w:val="none"/>
                <w:lang w:val="en-US" w:eastAsia="zh-CN"/>
              </w:rPr>
              <w:t>作为弃渣运往市政规划的弃渣场</w:t>
            </w:r>
            <w:r>
              <w:rPr>
                <w:rFonts w:hint="eastAsia" w:eastAsia="宋体"/>
                <w:b w:val="0"/>
                <w:bCs w:val="0"/>
                <w:color w:val="auto"/>
                <w:highlight w:val="none"/>
                <w:lang w:val="en-US" w:eastAsia="zh-CN"/>
              </w:rPr>
              <w:t>。</w:t>
            </w:r>
          </w:p>
          <w:p w14:paraId="7151567A">
            <w:pPr>
              <w:ind w:firstLine="480"/>
              <w:jc w:val="left"/>
              <w:rPr>
                <w:rFonts w:hint="default" w:ascii="Times New Roman" w:hAnsi="Times New Roman" w:cs="Times New Roman"/>
                <w:color w:val="auto"/>
                <w:highlight w:val="none"/>
              </w:rPr>
            </w:pPr>
            <w:r>
              <w:rPr>
                <w:rFonts w:hint="eastAsia" w:cs="Times New Roman"/>
                <w:color w:val="auto"/>
                <w:highlight w:val="none"/>
                <w:lang w:eastAsia="zh-CN"/>
              </w:rPr>
              <w:t>（</w:t>
            </w:r>
            <w:r>
              <w:rPr>
                <w:rFonts w:hint="eastAsia" w:cs="Times New Roman"/>
                <w:color w:val="auto"/>
                <w:highlight w:val="none"/>
                <w:lang w:val="en-US" w:eastAsia="zh-CN"/>
              </w:rPr>
              <w:t>5</w:t>
            </w:r>
            <w:r>
              <w:rPr>
                <w:rFonts w:hint="eastAsia" w:cs="Times New Roman"/>
                <w:color w:val="auto"/>
                <w:highlight w:val="none"/>
                <w:lang w:eastAsia="zh-CN"/>
              </w:rPr>
              <w:t>）</w:t>
            </w:r>
            <w:r>
              <w:rPr>
                <w:rFonts w:hint="default" w:ascii="Times New Roman" w:hAnsi="Times New Roman" w:cs="Times New Roman"/>
                <w:color w:val="auto"/>
                <w:highlight w:val="none"/>
              </w:rPr>
              <w:t>建筑垃圾</w:t>
            </w:r>
          </w:p>
          <w:p w14:paraId="2166B664">
            <w:pPr>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施工阶段产生的废木、废钢筋、废包装袋等可作为资源回收的材料被回收利用，不能回收的则统一运至</w:t>
            </w:r>
            <w:r>
              <w:rPr>
                <w:rFonts w:hint="eastAsia" w:cs="Times New Roman"/>
                <w:bCs/>
                <w:color w:val="auto"/>
                <w:highlight w:val="none"/>
                <w:lang w:eastAsia="zh-CN"/>
              </w:rPr>
              <w:t>大竹县</w:t>
            </w:r>
            <w:r>
              <w:rPr>
                <w:rFonts w:hint="default" w:ascii="Times New Roman" w:hAnsi="Times New Roman" w:cs="Times New Roman"/>
                <w:bCs/>
                <w:color w:val="auto"/>
                <w:highlight w:val="none"/>
              </w:rPr>
              <w:t>指定的建筑垃圾处置场处理。施工单位不能将建筑垃圾乱放、乱倒、随意堆弃；杜绝超高、超载装运建筑垃圾，运输过程中保持有效遮盖，不得撒漏。</w:t>
            </w:r>
          </w:p>
          <w:p w14:paraId="78279723">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6</w:t>
            </w:r>
            <w:r>
              <w:rPr>
                <w:rFonts w:hint="default" w:ascii="Times New Roman" w:hAnsi="Times New Roman" w:cs="Times New Roman"/>
                <w:color w:val="auto"/>
                <w:highlight w:val="none"/>
              </w:rPr>
              <w:t>）生活垃圾</w:t>
            </w:r>
          </w:p>
          <w:p w14:paraId="79954616">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设垃圾桶集中收集后，依托当地垃圾收运系统处理。</w:t>
            </w:r>
          </w:p>
          <w:p w14:paraId="025C6653">
            <w:pPr>
              <w:ind w:left="0" w:leftChars="0" w:firstLine="0" w:firstLineChars="0"/>
              <w:jc w:val="left"/>
              <w:rPr>
                <w:rFonts w:hint="eastAsia" w:cs="Times New Roman"/>
                <w:b/>
                <w:bCs/>
                <w:color w:val="auto"/>
                <w:highlight w:val="none"/>
                <w:lang w:val="en-US" w:eastAsia="zh-CN"/>
              </w:rPr>
            </w:pPr>
            <w:r>
              <w:rPr>
                <w:rFonts w:hint="eastAsia" w:cs="Times New Roman"/>
                <w:b/>
                <w:bCs/>
                <w:color w:val="auto"/>
                <w:highlight w:val="none"/>
                <w:lang w:val="en-US" w:eastAsia="zh-CN"/>
              </w:rPr>
              <w:t>5.5.2 清河镇段及杨家镇段</w:t>
            </w:r>
          </w:p>
          <w:p w14:paraId="0CF67537">
            <w:pPr>
              <w:adjustRightInd w:val="0"/>
              <w:snapToGrid w:val="0"/>
              <w:spacing w:line="360" w:lineRule="auto"/>
              <w:ind w:firstLine="482" w:firstLineChars="200"/>
              <w:rPr>
                <w:rFonts w:hint="eastAsia"/>
                <w:b/>
                <w:color w:val="auto"/>
                <w:sz w:val="24"/>
                <w:highlight w:val="none"/>
              </w:rPr>
            </w:pPr>
            <w:r>
              <w:rPr>
                <w:rFonts w:hint="eastAsia"/>
                <w:b/>
                <w:color w:val="auto"/>
                <w:sz w:val="24"/>
                <w:highlight w:val="none"/>
                <w:lang w:val="en-US" w:eastAsia="zh-CN"/>
              </w:rPr>
              <w:t>·</w:t>
            </w:r>
            <w:r>
              <w:rPr>
                <w:rFonts w:hint="eastAsia"/>
                <w:b/>
                <w:color w:val="auto"/>
                <w:sz w:val="24"/>
                <w:highlight w:val="none"/>
              </w:rPr>
              <w:t>土石方弃渣</w:t>
            </w:r>
          </w:p>
          <w:p w14:paraId="4B2D3F09">
            <w:pPr>
              <w:adjustRightInd w:val="0"/>
              <w:snapToGrid w:val="0"/>
              <w:spacing w:line="360" w:lineRule="auto"/>
              <w:ind w:firstLine="480" w:firstLineChars="200"/>
              <w:rPr>
                <w:rFonts w:hint="eastAsia"/>
                <w:color w:val="auto"/>
                <w:sz w:val="24"/>
                <w:highlight w:val="none"/>
              </w:rPr>
            </w:pPr>
            <w:r>
              <w:rPr>
                <w:rFonts w:hint="eastAsia"/>
                <w:color w:val="auto"/>
                <w:sz w:val="24"/>
                <w:highlight w:val="none"/>
                <w:lang w:val="en-US" w:eastAsia="zh-CN"/>
              </w:rPr>
              <w:t>经调查，施工期项目未设置弃渣场。弃渣期</w:t>
            </w:r>
            <w:r>
              <w:rPr>
                <w:rFonts w:hint="eastAsia"/>
                <w:color w:val="auto"/>
                <w:sz w:val="24"/>
                <w:highlight w:val="none"/>
              </w:rPr>
              <w:t>用于</w:t>
            </w:r>
            <w:r>
              <w:rPr>
                <w:rFonts w:hint="eastAsia"/>
                <w:color w:val="auto"/>
                <w:sz w:val="24"/>
                <w:highlight w:val="none"/>
                <w:lang w:val="en-US" w:eastAsia="zh-CN"/>
              </w:rPr>
              <w:t>河段</w:t>
            </w:r>
            <w:r>
              <w:rPr>
                <w:rFonts w:hint="eastAsia"/>
                <w:color w:val="auto"/>
                <w:sz w:val="24"/>
                <w:highlight w:val="none"/>
              </w:rPr>
              <w:t>堤后</w:t>
            </w:r>
            <w:r>
              <w:rPr>
                <w:rFonts w:hint="eastAsia"/>
                <w:color w:val="auto"/>
                <w:sz w:val="24"/>
                <w:highlight w:val="none"/>
                <w:lang w:val="en-US" w:eastAsia="zh-CN"/>
              </w:rPr>
              <w:t>低洼处</w:t>
            </w:r>
            <w:r>
              <w:rPr>
                <w:rFonts w:hint="eastAsia"/>
                <w:color w:val="auto"/>
                <w:sz w:val="24"/>
                <w:highlight w:val="none"/>
              </w:rPr>
              <w:t>回填利用。</w:t>
            </w:r>
          </w:p>
          <w:p w14:paraId="142E3A86">
            <w:pPr>
              <w:tabs>
                <w:tab w:val="left" w:pos="1260"/>
              </w:tabs>
              <w:adjustRightInd w:val="0"/>
              <w:snapToGrid w:val="0"/>
              <w:spacing w:line="360" w:lineRule="auto"/>
              <w:ind w:firstLine="482" w:firstLineChars="200"/>
              <w:rPr>
                <w:rFonts w:hint="eastAsia" w:eastAsia="宋体"/>
                <w:b/>
                <w:color w:val="auto"/>
                <w:sz w:val="24"/>
                <w:highlight w:val="none"/>
                <w:lang w:val="en-US" w:eastAsia="zh-CN"/>
              </w:rPr>
            </w:pPr>
            <w:r>
              <w:rPr>
                <w:rFonts w:hint="eastAsia"/>
                <w:b/>
                <w:color w:val="auto"/>
                <w:sz w:val="24"/>
                <w:highlight w:val="none"/>
                <w:lang w:val="en-US" w:eastAsia="zh-CN"/>
              </w:rPr>
              <w:t>·</w:t>
            </w:r>
            <w:r>
              <w:rPr>
                <w:rFonts w:hint="eastAsia"/>
                <w:b/>
                <w:color w:val="auto"/>
                <w:sz w:val="24"/>
                <w:highlight w:val="none"/>
              </w:rPr>
              <w:t>疏浚</w:t>
            </w:r>
            <w:r>
              <w:rPr>
                <w:rFonts w:hint="eastAsia"/>
                <w:b/>
                <w:color w:val="auto"/>
                <w:sz w:val="24"/>
                <w:highlight w:val="none"/>
                <w:lang w:val="en-US" w:eastAsia="zh-CN"/>
              </w:rPr>
              <w:t>淤积物</w:t>
            </w:r>
          </w:p>
          <w:p w14:paraId="08065C02">
            <w:pPr>
              <w:tabs>
                <w:tab w:val="left" w:pos="1260"/>
              </w:tabs>
              <w:adjustRightInd w:val="0"/>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项目疏浚淤积物包括疏浚淤泥和少量生活垃圾。项目疏浚打捞的少量生活垃圾收集后，交当地村镇环卫处置。</w:t>
            </w:r>
          </w:p>
          <w:p w14:paraId="42080606">
            <w:pPr>
              <w:tabs>
                <w:tab w:val="left" w:pos="1260"/>
              </w:tabs>
              <w:adjustRightInd w:val="0"/>
              <w:snapToGrid w:val="0"/>
              <w:spacing w:line="360" w:lineRule="auto"/>
              <w:ind w:firstLine="480" w:firstLineChars="200"/>
              <w:rPr>
                <w:rFonts w:hint="default" w:eastAsia="宋体"/>
                <w:color w:val="auto"/>
                <w:sz w:val="24"/>
                <w:highlight w:val="none"/>
                <w:lang w:val="en-US" w:eastAsia="zh-CN"/>
              </w:rPr>
            </w:pPr>
            <w:r>
              <w:rPr>
                <w:rFonts w:hint="eastAsia"/>
                <w:color w:val="auto"/>
                <w:sz w:val="24"/>
                <w:highlight w:val="none"/>
                <w:lang w:val="en-US" w:eastAsia="zh-CN"/>
              </w:rPr>
              <w:t>砂石含量高的疏浚淤泥用于场地回，含泥量高的淤泥，全部用于护坡作为种植土利用。根据现状监测，河道底泥满足相关标准要求。表明项目施工未对河道底泥造成污染。</w:t>
            </w:r>
          </w:p>
          <w:p w14:paraId="4FAFFD77">
            <w:pPr>
              <w:tabs>
                <w:tab w:val="left" w:pos="1260"/>
              </w:tabs>
              <w:adjustRightInd w:val="0"/>
              <w:snapToGrid w:val="0"/>
              <w:spacing w:line="360" w:lineRule="auto"/>
              <w:ind w:firstLine="482" w:firstLineChars="200"/>
              <w:rPr>
                <w:rFonts w:hint="eastAsia"/>
                <w:b/>
                <w:color w:val="auto"/>
                <w:sz w:val="24"/>
                <w:highlight w:val="none"/>
              </w:rPr>
            </w:pPr>
            <w:r>
              <w:rPr>
                <w:rFonts w:hint="eastAsia"/>
                <w:b/>
                <w:color w:val="auto"/>
                <w:sz w:val="24"/>
                <w:highlight w:val="none"/>
                <w:lang w:val="en-US" w:eastAsia="zh-CN"/>
              </w:rPr>
              <w:t>·</w:t>
            </w:r>
            <w:r>
              <w:rPr>
                <w:rFonts w:hint="eastAsia"/>
                <w:b/>
                <w:color w:val="auto"/>
                <w:sz w:val="24"/>
                <w:highlight w:val="none"/>
              </w:rPr>
              <w:t>建筑垃圾</w:t>
            </w:r>
          </w:p>
          <w:p w14:paraId="39DB31F5">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项目施工期间</w:t>
            </w:r>
            <w:r>
              <w:rPr>
                <w:color w:val="auto"/>
                <w:sz w:val="24"/>
                <w:highlight w:val="none"/>
              </w:rPr>
              <w:t>废木、废钢筋、废包装袋等</w:t>
            </w:r>
            <w:r>
              <w:rPr>
                <w:rFonts w:hint="eastAsia"/>
                <w:color w:val="auto"/>
                <w:sz w:val="24"/>
                <w:highlight w:val="none"/>
                <w:lang w:val="en-US" w:eastAsia="zh-CN"/>
              </w:rPr>
              <w:t>可回收利用收集后，外卖物资回收单位；</w:t>
            </w:r>
            <w:r>
              <w:rPr>
                <w:color w:val="auto"/>
                <w:sz w:val="24"/>
                <w:highlight w:val="none"/>
              </w:rPr>
              <w:t>不能回收</w:t>
            </w:r>
            <w:r>
              <w:rPr>
                <w:rFonts w:hint="eastAsia"/>
                <w:color w:val="auto"/>
                <w:sz w:val="24"/>
                <w:highlight w:val="none"/>
                <w:lang w:val="en-US" w:eastAsia="zh-CN"/>
              </w:rPr>
              <w:t>利用部分，</w:t>
            </w:r>
            <w:r>
              <w:rPr>
                <w:color w:val="auto"/>
                <w:sz w:val="24"/>
                <w:highlight w:val="none"/>
              </w:rPr>
              <w:t>运至</w:t>
            </w:r>
            <w:r>
              <w:rPr>
                <w:rFonts w:hint="eastAsia"/>
                <w:color w:val="auto"/>
                <w:sz w:val="24"/>
                <w:highlight w:val="none"/>
                <w:lang w:val="en-US" w:eastAsia="zh-CN"/>
              </w:rPr>
              <w:t>当地市政部门</w:t>
            </w:r>
            <w:r>
              <w:rPr>
                <w:color w:val="auto"/>
                <w:sz w:val="24"/>
                <w:highlight w:val="none"/>
              </w:rPr>
              <w:t>指定的</w:t>
            </w:r>
            <w:r>
              <w:rPr>
                <w:rFonts w:hint="eastAsia"/>
                <w:color w:val="auto"/>
                <w:sz w:val="24"/>
                <w:highlight w:val="none"/>
                <w:lang w:val="en-US" w:eastAsia="zh-CN"/>
              </w:rPr>
              <w:t>弃渣场处置</w:t>
            </w:r>
            <w:r>
              <w:rPr>
                <w:color w:val="auto"/>
                <w:sz w:val="24"/>
                <w:highlight w:val="none"/>
              </w:rPr>
              <w:t>。</w:t>
            </w:r>
          </w:p>
          <w:p w14:paraId="54B60908">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·生活垃圾</w:t>
            </w:r>
          </w:p>
          <w:p w14:paraId="59256D2A">
            <w:pPr>
              <w:adjustRightInd w:val="0"/>
              <w:snapToGrid w:val="0"/>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施工期生活垃圾依托当地环卫处置。</w:t>
            </w:r>
          </w:p>
          <w:p w14:paraId="257F2CBF">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现场调查，项目河段及岸坡残留有少量生活垃圾和建筑垃圾。施工场地镍遗留有部分施工设备、施工材料及砂石等。</w:t>
            </w:r>
          </w:p>
          <w:p w14:paraId="1E3513B9">
            <w:pPr>
              <w:adjustRightInd w:val="0"/>
              <w:snapToGrid w:val="0"/>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因此，本次评价提出反馈意见：</w:t>
            </w:r>
          </w:p>
          <w:p w14:paraId="2131BFCA">
            <w:pPr>
              <w:numPr>
                <w:ilvl w:val="0"/>
                <w:numId w:val="0"/>
              </w:numPr>
              <w:adjustRightInd w:val="0"/>
              <w:snapToGrid w:val="0"/>
              <w:spacing w:line="360" w:lineRule="auto"/>
              <w:ind w:firstLine="480" w:firstLineChars="200"/>
              <w:rPr>
                <w:rFonts w:hint="default" w:cs="Times New Roman"/>
                <w:color w:val="auto"/>
                <w:highlight w:val="none"/>
                <w:lang w:val="en-US" w:eastAsia="zh-CN"/>
              </w:rPr>
            </w:pPr>
            <w:r>
              <w:rPr>
                <w:rFonts w:hint="eastAsia"/>
                <w:color w:val="auto"/>
                <w:sz w:val="24"/>
                <w:szCs w:val="24"/>
                <w:highlight w:val="none"/>
                <w:lang w:val="en-US" w:eastAsia="zh-CN"/>
              </w:rPr>
              <w:t>(1)</w:t>
            </w:r>
            <w:r>
              <w:rPr>
                <w:rFonts w:hint="eastAsia" w:ascii="Times New Roman" w:hAnsi="Times New Roman" w:eastAsia="宋体"/>
                <w:color w:val="auto"/>
                <w:sz w:val="24"/>
                <w:szCs w:val="24"/>
                <w:highlight w:val="none"/>
                <w:lang w:val="en-US" w:eastAsia="zh-CN"/>
              </w:rPr>
              <w:t>清除施工场地内遗留施工设备、</w:t>
            </w:r>
            <w:r>
              <w:rPr>
                <w:rFonts w:hint="eastAsia"/>
                <w:color w:val="auto"/>
                <w:sz w:val="24"/>
                <w:szCs w:val="24"/>
                <w:highlight w:val="none"/>
                <w:lang w:val="en-US" w:eastAsia="zh-CN"/>
              </w:rPr>
              <w:t>砂石、</w:t>
            </w:r>
            <w:r>
              <w:rPr>
                <w:rFonts w:hint="eastAsia" w:ascii="Times New Roman" w:hAnsi="Times New Roman" w:eastAsia="宋体"/>
                <w:color w:val="auto"/>
                <w:sz w:val="24"/>
                <w:szCs w:val="24"/>
                <w:highlight w:val="none"/>
                <w:lang w:val="en-US" w:eastAsia="zh-CN"/>
              </w:rPr>
              <w:t>施工材料等</w:t>
            </w:r>
            <w:r>
              <w:rPr>
                <w:rFonts w:hint="eastAsia"/>
                <w:color w:val="auto"/>
                <w:sz w:val="24"/>
                <w:szCs w:val="24"/>
                <w:highlight w:val="none"/>
                <w:lang w:val="en-US" w:eastAsia="zh-CN"/>
              </w:rPr>
              <w:t>.</w:t>
            </w:r>
          </w:p>
          <w:p w14:paraId="0D16BEE9">
            <w:pPr>
              <w:numPr>
                <w:ilvl w:val="0"/>
                <w:numId w:val="0"/>
              </w:numPr>
              <w:adjustRightInd w:val="0"/>
              <w:snapToGrid w:val="0"/>
              <w:spacing w:line="360" w:lineRule="auto"/>
              <w:ind w:firstLine="480" w:firstLineChars="200"/>
              <w:rPr>
                <w:rFonts w:hint="default" w:cs="Times New Roman"/>
                <w:color w:val="auto"/>
                <w:highlight w:val="none"/>
                <w:lang w:val="en-US" w:eastAsia="zh-CN"/>
              </w:rPr>
            </w:pPr>
            <w:r>
              <w:rPr>
                <w:rFonts w:hint="eastAsia"/>
                <w:color w:val="auto"/>
                <w:sz w:val="24"/>
                <w:szCs w:val="24"/>
                <w:highlight w:val="none"/>
                <w:lang w:val="en-US" w:eastAsia="zh-CN"/>
              </w:rPr>
              <w:t>(2)清除施工河段沿线残留的</w:t>
            </w:r>
            <w:r>
              <w:rPr>
                <w:rFonts w:hint="eastAsia" w:ascii="Times New Roman" w:hAnsi="Times New Roman" w:eastAsia="宋体"/>
                <w:color w:val="auto"/>
                <w:sz w:val="24"/>
                <w:szCs w:val="24"/>
                <w:highlight w:val="none"/>
                <w:lang w:val="en-US" w:eastAsia="zh-CN"/>
              </w:rPr>
              <w:t>生活垃圾及建筑垃圾</w:t>
            </w:r>
            <w:r>
              <w:rPr>
                <w:rFonts w:hint="eastAsia"/>
                <w:color w:val="auto"/>
                <w:sz w:val="24"/>
                <w:szCs w:val="24"/>
                <w:highlight w:val="none"/>
                <w:lang w:val="en-US" w:eastAsia="zh-CN"/>
              </w:rPr>
              <w:t>。</w:t>
            </w:r>
          </w:p>
          <w:p w14:paraId="1B69C87E">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施工期建立高效、务实的环境保护管理体系，加强工程的环境保护监理工作，沿线施工作业带不得随意扩大范围和破坏周围植被；合理安排施工进度及施工时间，避免雨天和大风天开挖施工作业。在开挖段施工时应做到随挖、随运、随铺、随压，不留或尽可能少留疏松地面，废弃土方要及时清运处理；尽量缩短施工期，使土壤暴露时间缩短，并快速回填。项目施工期在严格落实了本环评提出的上述措施后，其施工期的固体废弃物可实现清洁处理和处置，不致造成二次污染。</w:t>
            </w:r>
          </w:p>
          <w:p w14:paraId="4ADF0728">
            <w:pPr>
              <w:ind w:firstLine="0" w:firstLineChars="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5.6 环境风险分析</w:t>
            </w:r>
          </w:p>
          <w:p w14:paraId="570E393D">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本项目为防洪治理工程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环境风险主要为施工期风险，包括施工期机械设备跑、冒、滴、漏的油污，施工作业面突然坍塌的砂石，被雨水冲刷进入河道，对地表水造成污染。</w:t>
            </w:r>
          </w:p>
          <w:p w14:paraId="2F3538A4">
            <w:pPr>
              <w:pStyle w:val="19"/>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施工前应对施工机械进行检查，确认无误后再作业。若</w:t>
            </w:r>
            <w:r>
              <w:rPr>
                <w:rFonts w:hint="default" w:ascii="Times New Roman" w:hAnsi="Times New Roman" w:cs="Times New Roman"/>
                <w:color w:val="auto"/>
                <w:highlight w:val="none"/>
              </w:rPr>
              <w:t>施工车辆油料泄漏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应及时组织人员将该部分沙土铲除并收集至专用容器中交有资质单位处置，如油料泄漏点位于周边道路，则用沙土覆盖其表面，待其充分被吸收后再用专用容器收集交资质单位处置，从而避免泄漏的油料随雨水等带入周边水体。</w:t>
            </w:r>
          </w:p>
          <w:p w14:paraId="1A2312A9">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为降低环境风险，评价要求项目施工期严格落实环境保护措施，加强管理。通过采取上述措施后，风险可控，其风险防范措施有效、可靠，从环境风险角度可行。</w:t>
            </w:r>
          </w:p>
        </w:tc>
      </w:tr>
      <w:tr w14:paraId="54E1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592" w:type="pct"/>
            <w:tcBorders>
              <w:top w:val="single" w:color="000000" w:sz="4" w:space="0"/>
            </w:tcBorders>
            <w:noWrap w:val="0"/>
            <w:vAlign w:val="center"/>
          </w:tcPr>
          <w:p w14:paraId="37FEFFE6">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运营期生态环境保护措施</w:t>
            </w:r>
          </w:p>
        </w:tc>
        <w:tc>
          <w:tcPr>
            <w:tcW w:w="4407" w:type="pct"/>
            <w:tcBorders>
              <w:top w:val="single" w:color="000000" w:sz="4" w:space="0"/>
              <w:bottom w:val="single" w:color="auto" w:sz="4" w:space="0"/>
            </w:tcBorders>
            <w:noWrap w:val="0"/>
            <w:vAlign w:val="top"/>
          </w:tcPr>
          <w:p w14:paraId="2127F89D">
            <w:pPr>
              <w:pStyle w:val="19"/>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本项目为防洪治理工程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工程完工后由属地化全权管理，不再单独设立管理机构，不增加新的管理人员，现场不新设办公用房。</w:t>
            </w:r>
          </w:p>
          <w:p w14:paraId="416F6C98">
            <w:pPr>
              <w:pStyle w:val="19"/>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本项目为生态影响类建设项目，运营期项目本身不产生废水、废气、噪声、固废等污染物，对环境无不利影响。</w:t>
            </w:r>
          </w:p>
          <w:p w14:paraId="5188231E">
            <w:pPr>
              <w:pStyle w:val="19"/>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应制定河道堤防工程管理的有关规章制度；加强河道巡视；组织堤防护岸工程维护检修，消除隐患，维护工程完好，确保工程安全；汛期应严格按防汛要求进行河堤安全监管；当堤防工程发生重大险情和重大事故时，及时向上级主管部门请示报告和抢险。</w:t>
            </w:r>
          </w:p>
        </w:tc>
      </w:tr>
      <w:tr w14:paraId="58A17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92" w:type="pct"/>
            <w:tcBorders>
              <w:top w:val="single" w:color="auto" w:sz="4" w:space="0"/>
            </w:tcBorders>
            <w:noWrap w:val="0"/>
            <w:vAlign w:val="center"/>
          </w:tcPr>
          <w:p w14:paraId="45E29F70">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p>
        </w:tc>
        <w:tc>
          <w:tcPr>
            <w:tcW w:w="4407" w:type="pct"/>
            <w:tcBorders>
              <w:top w:val="single" w:color="auto" w:sz="4" w:space="0"/>
              <w:bottom w:val="single" w:color="auto" w:sz="4" w:space="0"/>
            </w:tcBorders>
            <w:noWrap w:val="0"/>
            <w:vAlign w:val="center"/>
          </w:tcPr>
          <w:p w14:paraId="0EA22343">
            <w:pPr>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5.7 环境管理</w:t>
            </w:r>
          </w:p>
          <w:p w14:paraId="26FF398D">
            <w:pPr>
              <w:pStyle w:val="19"/>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及营运期需设置详细的环境保护管理与监测计划，需实行“领导全面负责、分级落实、分工负责、归口管理”的体制，保证项目在施工期及营运期各项环保措施及对策能够充分落实到位，使项目的环境影响降到最低。</w:t>
            </w:r>
          </w:p>
          <w:p w14:paraId="6739F3DF">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建设单位在设置工程管理机构中应建立环境保护管理机构，以便对施工期的环境保护工作进行监督和管理，设1名兼职人员，主要职责：</w:t>
            </w:r>
          </w:p>
          <w:p w14:paraId="618F8C72">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（1）贯彻执行国家、省、市的有关环保法规、标准和政策；</w:t>
            </w:r>
          </w:p>
          <w:p w14:paraId="144E4570">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（2）负责制定本项目的环境保护监督管理工作制度，制定环境保护条例、条规和工作计划；</w:t>
            </w:r>
          </w:p>
          <w:p w14:paraId="76D41890">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（3）负责组织、实施施工期及运营期的环境管理，及时向上级环保主管部门报告工程建设期及运营期的环境管理工作开展情况；</w:t>
            </w:r>
          </w:p>
          <w:p w14:paraId="1052D816">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（4）协调各有关部门之间的环保工作和处理出现的环保问题。</w:t>
            </w:r>
          </w:p>
          <w:p w14:paraId="4CCDAC52">
            <w:pPr>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施工期环境管理计划见表5.7-1。</w:t>
            </w:r>
          </w:p>
          <w:p w14:paraId="15E84BC4">
            <w:pPr>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表5.7-1  施工期环境管理计划</w:t>
            </w:r>
          </w:p>
          <w:tbl>
            <w:tblPr>
              <w:tblStyle w:val="11"/>
              <w:tblW w:w="4995" w:type="pct"/>
              <w:jc w:val="center"/>
              <w:tblBorders>
                <w:top w:val="single" w:color="000000" w:sz="2" w:space="0"/>
                <w:left w:val="single" w:color="000000" w:sz="6" w:space="0"/>
                <w:bottom w:val="single" w:color="000000" w:sz="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507"/>
              <w:gridCol w:w="5883"/>
              <w:gridCol w:w="1207"/>
            </w:tblGrid>
            <w:tr w14:paraId="75843491">
              <w:tblPrEx>
                <w:tblBorders>
                  <w:top w:val="single" w:color="000000" w:sz="2" w:space="0"/>
                  <w:left w:val="single" w:color="000000" w:sz="6" w:space="0"/>
                  <w:bottom w:val="single" w:color="000000" w:sz="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atLeast"/>
                <w:tblHeader/>
                <w:jc w:val="center"/>
              </w:trPr>
              <w:tc>
                <w:tcPr>
                  <w:tcW w:w="876" w:type="pct"/>
                  <w:noWrap w:val="0"/>
                  <w:vAlign w:val="center"/>
                </w:tcPr>
                <w:p w14:paraId="0764F5E9">
                  <w:pPr>
                    <w:pStyle w:val="44"/>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影响因素</w:t>
                  </w:r>
                </w:p>
              </w:tc>
              <w:tc>
                <w:tcPr>
                  <w:tcW w:w="3421" w:type="pct"/>
                  <w:noWrap w:val="0"/>
                  <w:vAlign w:val="center"/>
                </w:tcPr>
                <w:p w14:paraId="37DA85A9">
                  <w:pPr>
                    <w:pStyle w:val="44"/>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减缓措施</w:t>
                  </w:r>
                </w:p>
              </w:tc>
              <w:tc>
                <w:tcPr>
                  <w:tcW w:w="702" w:type="pct"/>
                  <w:noWrap w:val="0"/>
                  <w:vAlign w:val="center"/>
                </w:tcPr>
                <w:p w14:paraId="20CA2442">
                  <w:pPr>
                    <w:pStyle w:val="44"/>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实施机构</w:t>
                  </w:r>
                </w:p>
              </w:tc>
            </w:tr>
            <w:tr w14:paraId="1763539E">
              <w:tblPrEx>
                <w:tblBorders>
                  <w:top w:val="single" w:color="000000" w:sz="2" w:space="0"/>
                  <w:left w:val="single" w:color="000000" w:sz="6" w:space="0"/>
                  <w:bottom w:val="single" w:color="000000" w:sz="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9" w:hRule="atLeast"/>
                <w:jc w:val="center"/>
              </w:trPr>
              <w:tc>
                <w:tcPr>
                  <w:tcW w:w="876" w:type="pct"/>
                  <w:noWrap w:val="0"/>
                  <w:vAlign w:val="center"/>
                </w:tcPr>
                <w:p w14:paraId="743487D8">
                  <w:pPr>
                    <w:pStyle w:val="4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生态、水土流失</w:t>
                  </w:r>
                </w:p>
              </w:tc>
              <w:tc>
                <w:tcPr>
                  <w:tcW w:w="3421" w:type="pct"/>
                  <w:shd w:val="clear" w:color="auto" w:fill="auto"/>
                  <w:noWrap w:val="0"/>
                  <w:vAlign w:val="center"/>
                </w:tcPr>
                <w:p w14:paraId="3D278DA2">
                  <w:pPr>
                    <w:pStyle w:val="22"/>
                    <w:spacing w:line="240" w:lineRule="auto"/>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陆生生态：严格划定施工范围施工，严禁越界施工，施工期间做好临时截排水、</w:t>
                  </w:r>
                  <w:r>
                    <w:rPr>
                      <w:rFonts w:hint="eastAsia" w:cs="Times New Roman"/>
                      <w:color w:val="auto"/>
                      <w:sz w:val="21"/>
                      <w:szCs w:val="21"/>
                      <w:highlight w:val="none"/>
                      <w:lang w:eastAsia="zh-CN"/>
                    </w:rPr>
                    <w:t>临时沉砂</w:t>
                  </w:r>
                  <w:r>
                    <w:rPr>
                      <w:rFonts w:hint="default" w:ascii="Times New Roman" w:hAnsi="Times New Roman" w:cs="Times New Roman"/>
                      <w:color w:val="auto"/>
                      <w:sz w:val="21"/>
                      <w:szCs w:val="21"/>
                      <w:highlight w:val="none"/>
                    </w:rPr>
                    <w:t>、裸露开挖地表及临时堆料的临时遮盖等水土保持措施；施工完后拆除陆域内临时设施，并对临时占地范围内进行复耕复绿。</w:t>
                  </w:r>
                </w:p>
                <w:p w14:paraId="74D53395">
                  <w:pPr>
                    <w:pStyle w:val="44"/>
                    <w:ind w:firstLine="0" w:firstLineChars="0"/>
                    <w:jc w:val="both"/>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水生生态：严格按照前期设计的施工导流方案做好围堰导流措施，</w:t>
                  </w:r>
                  <w:r>
                    <w:rPr>
                      <w:rFonts w:hint="eastAsia" w:ascii="Times New Roman" w:hAnsi="Times New Roman" w:cs="Times New Roman"/>
                      <w:color w:val="auto"/>
                      <w:sz w:val="21"/>
                      <w:szCs w:val="21"/>
                      <w:highlight w:val="none"/>
                      <w:lang w:val="en-US" w:eastAsia="zh-CN"/>
                    </w:rPr>
                    <w:t>基坑渗水</w:t>
                  </w:r>
                  <w:r>
                    <w:rPr>
                      <w:rFonts w:hint="default" w:ascii="Times New Roman" w:hAnsi="Times New Roman" w:cs="Times New Roman"/>
                      <w:color w:val="auto"/>
                      <w:sz w:val="21"/>
                      <w:szCs w:val="21"/>
                      <w:highlight w:val="none"/>
                    </w:rPr>
                    <w:t>经</w:t>
                  </w:r>
                  <w:r>
                    <w:rPr>
                      <w:rFonts w:hint="default" w:ascii="Times New Roman" w:hAnsi="Times New Roman" w:cs="Times New Roman"/>
                      <w:color w:val="auto"/>
                      <w:sz w:val="21"/>
                      <w:szCs w:val="21"/>
                      <w:highlight w:val="none"/>
                      <w:lang w:val="en-US" w:eastAsia="zh-CN"/>
                    </w:rPr>
                    <w:t>处理</w:t>
                  </w:r>
                  <w:r>
                    <w:rPr>
                      <w:rFonts w:hint="default" w:ascii="Times New Roman" w:hAnsi="Times New Roman" w:cs="Times New Roman"/>
                      <w:color w:val="auto"/>
                      <w:sz w:val="21"/>
                      <w:szCs w:val="21"/>
                      <w:highlight w:val="none"/>
                      <w:lang w:val="fr-FR" w:eastAsia="zh-CN"/>
                    </w:rPr>
                    <w:t>后</w:t>
                  </w:r>
                  <w:r>
                    <w:rPr>
                      <w:rFonts w:hint="default" w:ascii="Times New Roman" w:hAnsi="Times New Roman" w:cs="Times New Roman"/>
                      <w:color w:val="auto"/>
                      <w:sz w:val="21"/>
                      <w:szCs w:val="21"/>
                      <w:highlight w:val="none"/>
                      <w:lang w:val="en-US" w:eastAsia="zh-CN"/>
                    </w:rPr>
                    <w:t>由</w:t>
                  </w:r>
                  <w:r>
                    <w:rPr>
                      <w:rFonts w:hint="default" w:ascii="Times New Roman" w:hAnsi="Times New Roman" w:cs="Times New Roman"/>
                      <w:color w:val="auto"/>
                      <w:sz w:val="21"/>
                      <w:szCs w:val="21"/>
                      <w:highlight w:val="none"/>
                      <w:lang w:val="fr-FR" w:eastAsia="zh-CN"/>
                    </w:rPr>
                    <w:t>清水泵排入河流</w:t>
                  </w:r>
                  <w:r>
                    <w:rPr>
                      <w:rFonts w:hint="eastAsia" w:ascii="Times New Roman" w:hAnsi="Times New Roman" w:cs="Times New Roman"/>
                      <w:color w:val="auto"/>
                      <w:sz w:val="21"/>
                      <w:szCs w:val="21"/>
                      <w:highlight w:val="none"/>
                      <w:lang w:val="fr-FR" w:eastAsia="zh-CN"/>
                    </w:rPr>
                    <w:t>，</w:t>
                  </w:r>
                  <w:r>
                    <w:rPr>
                      <w:rFonts w:hint="default" w:ascii="Times New Roman" w:hAnsi="Times New Roman" w:cs="Times New Roman"/>
                      <w:b w:val="0"/>
                      <w:bCs w:val="0"/>
                      <w:color w:val="auto"/>
                      <w:sz w:val="21"/>
                      <w:szCs w:val="21"/>
                      <w:highlight w:val="none"/>
                      <w:lang w:val="en-US" w:eastAsia="zh-CN"/>
                    </w:rPr>
                    <w:t>渗滤水经沉淀池处理后通过河道岸坡自流本河道</w:t>
                  </w:r>
                  <w:r>
                    <w:rPr>
                      <w:rFonts w:hint="default" w:ascii="Times New Roman" w:hAnsi="Times New Roman" w:cs="Times New Roman"/>
                      <w:color w:val="auto"/>
                      <w:sz w:val="21"/>
                      <w:szCs w:val="21"/>
                      <w:highlight w:val="none"/>
                    </w:rPr>
                    <w:t>内；严禁施工废渣废水倾倒入河；施工后对河道内围堰等进行拆除，并对河道内基坑、集水井填平，恢复河床。</w:t>
                  </w:r>
                </w:p>
              </w:tc>
              <w:tc>
                <w:tcPr>
                  <w:tcW w:w="702" w:type="pct"/>
                  <w:vMerge w:val="restart"/>
                  <w:noWrap w:val="0"/>
                  <w:vAlign w:val="center"/>
                </w:tcPr>
                <w:p w14:paraId="4AEA7466">
                  <w:pPr>
                    <w:pStyle w:val="4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w:t>
                  </w:r>
                </w:p>
              </w:tc>
            </w:tr>
            <w:tr w14:paraId="40EC0DCB">
              <w:tblPrEx>
                <w:tblBorders>
                  <w:top w:val="single" w:color="000000" w:sz="2" w:space="0"/>
                  <w:left w:val="single" w:color="000000" w:sz="6" w:space="0"/>
                  <w:bottom w:val="single" w:color="000000" w:sz="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7" w:hRule="atLeast"/>
                <w:jc w:val="center"/>
              </w:trPr>
              <w:tc>
                <w:tcPr>
                  <w:tcW w:w="876" w:type="pct"/>
                  <w:noWrap w:val="0"/>
                  <w:vAlign w:val="center"/>
                </w:tcPr>
                <w:p w14:paraId="2A07432D">
                  <w:pPr>
                    <w:pStyle w:val="4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水污染</w:t>
                  </w:r>
                </w:p>
              </w:tc>
              <w:tc>
                <w:tcPr>
                  <w:tcW w:w="3421" w:type="pct"/>
                  <w:shd w:val="clear" w:color="auto" w:fill="auto"/>
                  <w:noWrap w:val="0"/>
                  <w:vAlign w:val="center"/>
                </w:tcPr>
                <w:p w14:paraId="570E3018">
                  <w:pPr>
                    <w:pStyle w:val="44"/>
                    <w:ind w:firstLine="0" w:firstLineChars="0"/>
                    <w:jc w:val="both"/>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施工废水沉淀处后</w:t>
                  </w:r>
                  <w:r>
                    <w:rPr>
                      <w:rFonts w:hint="eastAsia" w:ascii="Times New Roman" w:hAnsi="Times New Roman" w:cs="Times New Roman"/>
                      <w:color w:val="auto"/>
                      <w:sz w:val="21"/>
                      <w:szCs w:val="21"/>
                      <w:highlight w:val="none"/>
                      <w:lang w:eastAsia="zh-CN"/>
                    </w:rPr>
                    <w:t>回用于</w:t>
                  </w:r>
                  <w:r>
                    <w:rPr>
                      <w:rFonts w:hint="default" w:ascii="Times New Roman" w:hAnsi="Times New Roman" w:cs="Times New Roman"/>
                      <w:color w:val="auto"/>
                      <w:sz w:val="21"/>
                      <w:szCs w:val="21"/>
                      <w:highlight w:val="none"/>
                    </w:rPr>
                    <w:t>洒水降尘；施工人员生活污水依托附近居民现有旱厕收集做农肥；基坑渗水经沉淀池</w:t>
                  </w:r>
                  <w:r>
                    <w:rPr>
                      <w:rFonts w:hint="default" w:ascii="Times New Roman" w:hAnsi="Times New Roman" w:cs="Times New Roman"/>
                      <w:color w:val="auto"/>
                      <w:sz w:val="21"/>
                      <w:szCs w:val="21"/>
                      <w:highlight w:val="none"/>
                      <w:lang w:val="en-US" w:eastAsia="zh-CN"/>
                    </w:rPr>
                    <w:t>处理</w:t>
                  </w:r>
                  <w:r>
                    <w:rPr>
                      <w:rFonts w:hint="default" w:ascii="Times New Roman" w:hAnsi="Times New Roman" w:cs="Times New Roman"/>
                      <w:color w:val="auto"/>
                      <w:sz w:val="21"/>
                      <w:szCs w:val="21"/>
                      <w:highlight w:val="none"/>
                      <w:lang w:val="fr-FR" w:eastAsia="zh-CN"/>
                    </w:rPr>
                    <w:t>后</w:t>
                  </w:r>
                  <w:r>
                    <w:rPr>
                      <w:rFonts w:hint="default" w:ascii="Times New Roman" w:hAnsi="Times New Roman" w:cs="Times New Roman"/>
                      <w:color w:val="auto"/>
                      <w:sz w:val="21"/>
                      <w:szCs w:val="21"/>
                      <w:highlight w:val="none"/>
                      <w:lang w:val="en-US" w:eastAsia="zh-CN"/>
                    </w:rPr>
                    <w:t>再由</w:t>
                  </w:r>
                  <w:r>
                    <w:rPr>
                      <w:rFonts w:hint="default" w:ascii="Times New Roman" w:hAnsi="Times New Roman" w:cs="Times New Roman"/>
                      <w:color w:val="auto"/>
                      <w:sz w:val="21"/>
                      <w:szCs w:val="21"/>
                      <w:highlight w:val="none"/>
                      <w:lang w:val="fr-FR" w:eastAsia="zh-CN"/>
                    </w:rPr>
                    <w:t>清水泵排入河流</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sz w:val="21"/>
                      <w:szCs w:val="21"/>
                      <w:highlight w:val="none"/>
                    </w:rPr>
                    <w:t>河道</w:t>
                  </w:r>
                  <w:r>
                    <w:rPr>
                      <w:rFonts w:hint="default" w:ascii="Times New Roman" w:hAnsi="Times New Roman" w:eastAsia="宋体" w:cs="Times New Roman"/>
                      <w:color w:val="auto"/>
                      <w:sz w:val="21"/>
                      <w:szCs w:val="21"/>
                      <w:highlight w:val="none"/>
                      <w:lang w:val="en-US" w:eastAsia="zh-CN"/>
                    </w:rPr>
                    <w:t>疏浚淤泥</w:t>
                  </w:r>
                  <w:r>
                    <w:rPr>
                      <w:rFonts w:hint="default" w:ascii="Times New Roman" w:hAnsi="Times New Roman" w:eastAsia="宋体" w:cs="Times New Roman"/>
                      <w:color w:val="auto"/>
                      <w:sz w:val="21"/>
                      <w:szCs w:val="21"/>
                      <w:highlight w:val="none"/>
                    </w:rPr>
                    <w:t>在干化场自然干化产生的渗滤水</w:t>
                  </w:r>
                  <w:r>
                    <w:rPr>
                      <w:rFonts w:hint="default" w:ascii="Times New Roman" w:hAnsi="Times New Roman"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rPr>
                    <w:t>沉淀</w:t>
                  </w:r>
                  <w:r>
                    <w:rPr>
                      <w:rFonts w:hint="default" w:ascii="Times New Roman" w:hAnsi="Times New Roman" w:cs="Times New Roman"/>
                      <w:color w:val="auto"/>
                      <w:sz w:val="21"/>
                      <w:szCs w:val="21"/>
                      <w:highlight w:val="none"/>
                      <w:lang w:val="en-US" w:eastAsia="zh-CN"/>
                    </w:rPr>
                    <w:t>处理</w:t>
                  </w:r>
                  <w:r>
                    <w:rPr>
                      <w:rFonts w:hint="default" w:ascii="Times New Roman" w:hAnsi="Times New Roman" w:eastAsia="宋体" w:cs="Times New Roman"/>
                      <w:color w:val="auto"/>
                      <w:sz w:val="21"/>
                      <w:szCs w:val="21"/>
                      <w:highlight w:val="none"/>
                    </w:rPr>
                    <w:t>后通过岸坡自流进本河道内；</w:t>
                  </w:r>
                  <w:r>
                    <w:rPr>
                      <w:rFonts w:hint="eastAsia" w:ascii="Times New Roman" w:hAnsi="Times New Roman" w:cs="Times New Roman"/>
                      <w:color w:val="auto"/>
                      <w:sz w:val="21"/>
                      <w:szCs w:val="21"/>
                      <w:highlight w:val="none"/>
                      <w:lang w:eastAsia="zh-CN"/>
                    </w:rPr>
                    <w:t>拌和</w:t>
                  </w:r>
                  <w:r>
                    <w:rPr>
                      <w:rFonts w:hint="default" w:ascii="Times New Roman" w:hAnsi="Times New Roman" w:cs="Times New Roman"/>
                      <w:color w:val="auto"/>
                      <w:sz w:val="21"/>
                      <w:szCs w:val="21"/>
                      <w:highlight w:val="none"/>
                    </w:rPr>
                    <w:t>系统清洗废水沉淀后回用洒水降尘。加强施工机械设备维修保养，避免漏油现象发生。</w:t>
                  </w:r>
                </w:p>
              </w:tc>
              <w:tc>
                <w:tcPr>
                  <w:tcW w:w="702" w:type="pct"/>
                  <w:vMerge w:val="continue"/>
                  <w:noWrap w:val="0"/>
                  <w:vAlign w:val="center"/>
                </w:tcPr>
                <w:p w14:paraId="1AD59C16">
                  <w:pPr>
                    <w:pStyle w:val="44"/>
                    <w:ind w:firstLine="0" w:firstLineChars="0"/>
                    <w:rPr>
                      <w:rFonts w:hint="default" w:ascii="Times New Roman" w:hAnsi="Times New Roman" w:cs="Times New Roman"/>
                      <w:color w:val="auto"/>
                      <w:sz w:val="21"/>
                      <w:szCs w:val="21"/>
                      <w:highlight w:val="none"/>
                    </w:rPr>
                  </w:pPr>
                </w:p>
              </w:tc>
            </w:tr>
            <w:tr w14:paraId="38BA4D86">
              <w:tblPrEx>
                <w:tblBorders>
                  <w:top w:val="single" w:color="000000" w:sz="2" w:space="0"/>
                  <w:left w:val="single" w:color="000000" w:sz="6" w:space="0"/>
                  <w:bottom w:val="single" w:color="000000" w:sz="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76" w:type="pct"/>
                  <w:noWrap w:val="0"/>
                  <w:vAlign w:val="center"/>
                </w:tcPr>
                <w:p w14:paraId="0E861ECB">
                  <w:pPr>
                    <w:pStyle w:val="4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空气污染</w:t>
                  </w:r>
                </w:p>
              </w:tc>
              <w:tc>
                <w:tcPr>
                  <w:tcW w:w="3421" w:type="pct"/>
                  <w:noWrap w:val="0"/>
                  <w:vAlign w:val="center"/>
                </w:tcPr>
                <w:p w14:paraId="00ED3FE2">
                  <w:pPr>
                    <w:pStyle w:val="44"/>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临时堆土进行遮盖，易撒露物质密闭运输；施工车辆上路前清理干净；施工场地配备洒水、喷淋等降尘措施；施工机械、运输车辆不得使用劣质燃料；</w:t>
                  </w:r>
                  <w:r>
                    <w:rPr>
                      <w:rFonts w:hint="default" w:ascii="Times New Roman" w:hAnsi="Times New Roman" w:cs="Times New Roman"/>
                      <w:color w:val="auto"/>
                      <w:sz w:val="21"/>
                      <w:szCs w:val="21"/>
                      <w:highlight w:val="none"/>
                      <w:lang w:eastAsia="zh-CN"/>
                    </w:rPr>
                    <w:t>拌和站</w:t>
                  </w:r>
                  <w:r>
                    <w:rPr>
                      <w:rFonts w:hint="default" w:ascii="Times New Roman" w:hAnsi="Times New Roman" w:cs="Times New Roman"/>
                      <w:color w:val="auto"/>
                      <w:sz w:val="21"/>
                      <w:szCs w:val="21"/>
                      <w:highlight w:val="none"/>
                    </w:rPr>
                    <w:t>布置在单独设置的工棚内，投料口设置喷雾降尘装置，水泥石粉设置篷布遮盖；</w:t>
                  </w:r>
                  <w:r>
                    <w:rPr>
                      <w:rFonts w:hint="eastAsia" w:cs="Times New Roman"/>
                      <w:b w:val="0"/>
                      <w:bCs w:val="0"/>
                      <w:color w:val="auto"/>
                      <w:sz w:val="21"/>
                      <w:szCs w:val="21"/>
                      <w:highlight w:val="none"/>
                      <w:lang w:val="en-US" w:eastAsia="zh-CN"/>
                    </w:rPr>
                    <w:t>焊接烟尘</w:t>
                  </w:r>
                  <w:r>
                    <w:rPr>
                      <w:rFonts w:hint="eastAsia" w:ascii="Times New Roman" w:hAnsi="Times New Roman" w:eastAsia="宋体" w:cs="Times New Roman"/>
                      <w:bCs/>
                      <w:color w:val="auto"/>
                      <w:sz w:val="21"/>
                      <w:szCs w:val="21"/>
                      <w:highlight w:val="none"/>
                    </w:rPr>
                    <w:t>配备净化设备</w:t>
                  </w:r>
                  <w:r>
                    <w:rPr>
                      <w:rFonts w:hint="eastAsia"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snapToGrid/>
                      <w:color w:val="auto"/>
                      <w:kern w:val="2"/>
                      <w:sz w:val="21"/>
                      <w:szCs w:val="21"/>
                      <w:highlight w:val="none"/>
                      <w:lang w:val="en-US" w:eastAsia="zh-CN" w:bidi="ar-SA"/>
                    </w:rPr>
                    <w:t>干化场产生的恶臭通过喷洒除臭剂、大气扩散后无组织排放。河道清淤疏浚避开高温、大风天气</w:t>
                  </w:r>
                  <w:r>
                    <w:rPr>
                      <w:rFonts w:hint="default" w:ascii="Times New Roman" w:hAnsi="Times New Roman" w:cs="Times New Roman"/>
                      <w:color w:val="auto"/>
                      <w:sz w:val="21"/>
                      <w:szCs w:val="21"/>
                      <w:highlight w:val="none"/>
                    </w:rPr>
                    <w:t>。</w:t>
                  </w:r>
                </w:p>
              </w:tc>
              <w:tc>
                <w:tcPr>
                  <w:tcW w:w="702" w:type="pct"/>
                  <w:vMerge w:val="continue"/>
                  <w:noWrap w:val="0"/>
                  <w:vAlign w:val="center"/>
                </w:tcPr>
                <w:p w14:paraId="709EDDB4">
                  <w:pPr>
                    <w:pStyle w:val="44"/>
                    <w:ind w:firstLine="0" w:firstLineChars="0"/>
                    <w:rPr>
                      <w:rFonts w:hint="default" w:ascii="Times New Roman" w:hAnsi="Times New Roman" w:cs="Times New Roman"/>
                      <w:color w:val="auto"/>
                      <w:sz w:val="21"/>
                      <w:szCs w:val="21"/>
                      <w:highlight w:val="none"/>
                    </w:rPr>
                  </w:pPr>
                </w:p>
              </w:tc>
            </w:tr>
            <w:tr w14:paraId="4E1DA85B">
              <w:tblPrEx>
                <w:tblBorders>
                  <w:top w:val="single" w:color="000000" w:sz="2" w:space="0"/>
                  <w:left w:val="single" w:color="000000" w:sz="6" w:space="0"/>
                  <w:bottom w:val="single" w:color="000000" w:sz="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76" w:type="pct"/>
                  <w:noWrap w:val="0"/>
                  <w:vAlign w:val="center"/>
                </w:tcPr>
                <w:p w14:paraId="5F2C9329">
                  <w:pPr>
                    <w:pStyle w:val="4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噪声污染</w:t>
                  </w:r>
                </w:p>
              </w:tc>
              <w:tc>
                <w:tcPr>
                  <w:tcW w:w="3421" w:type="pct"/>
                  <w:noWrap w:val="0"/>
                  <w:vAlign w:val="center"/>
                </w:tcPr>
                <w:p w14:paraId="0C52DCF7">
                  <w:pPr>
                    <w:pStyle w:val="45"/>
                    <w:tabs>
                      <w:tab w:val="left" w:pos="0"/>
                    </w:tabs>
                    <w:spacing w:line="240" w:lineRule="auto"/>
                    <w:ind w:firstLine="0" w:firstLineChars="0"/>
                    <w:jc w:val="both"/>
                    <w:textAlignment w:val="baseline"/>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合理安排工期，设置围挡；加强施工管理，尽量选用低噪声设备；注重对施工器械的保养维护；合理布局高噪声施工设备；合理安排施工时间，严禁夜间施工；运输车辆限速、禁鸣。</w:t>
                  </w:r>
                </w:p>
              </w:tc>
              <w:tc>
                <w:tcPr>
                  <w:tcW w:w="702" w:type="pct"/>
                  <w:vMerge w:val="continue"/>
                  <w:noWrap w:val="0"/>
                  <w:vAlign w:val="center"/>
                </w:tcPr>
                <w:p w14:paraId="0FF75378">
                  <w:pPr>
                    <w:pStyle w:val="44"/>
                    <w:ind w:firstLine="0" w:firstLineChars="0"/>
                    <w:rPr>
                      <w:rFonts w:hint="default" w:ascii="Times New Roman" w:hAnsi="Times New Roman" w:cs="Times New Roman"/>
                      <w:color w:val="auto"/>
                      <w:sz w:val="21"/>
                      <w:szCs w:val="21"/>
                      <w:highlight w:val="none"/>
                    </w:rPr>
                  </w:pPr>
                </w:p>
              </w:tc>
            </w:tr>
            <w:tr w14:paraId="0346424C">
              <w:tblPrEx>
                <w:tblBorders>
                  <w:top w:val="single" w:color="000000" w:sz="2" w:space="0"/>
                  <w:left w:val="single" w:color="000000" w:sz="6" w:space="0"/>
                  <w:bottom w:val="single" w:color="000000" w:sz="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76" w:type="pct"/>
                  <w:noWrap w:val="0"/>
                  <w:vAlign w:val="center"/>
                </w:tcPr>
                <w:p w14:paraId="61363C3A">
                  <w:pPr>
                    <w:pStyle w:val="44"/>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固体废弃物</w:t>
                  </w:r>
                </w:p>
              </w:tc>
              <w:tc>
                <w:tcPr>
                  <w:tcW w:w="3421" w:type="pct"/>
                  <w:shd w:val="clear" w:color="auto" w:fill="auto"/>
                  <w:noWrap w:val="0"/>
                  <w:vAlign w:val="center"/>
                </w:tcPr>
                <w:p w14:paraId="550102EB">
                  <w:pPr>
                    <w:spacing w:line="240" w:lineRule="auto"/>
                    <w:ind w:firstLine="0" w:firstLineChars="0"/>
                    <w:jc w:val="left"/>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石河镇</w:t>
                  </w:r>
                  <w:r>
                    <w:rPr>
                      <w:rFonts w:hint="eastAsia" w:cs="Times New Roman"/>
                      <w:color w:val="auto"/>
                      <w:sz w:val="21"/>
                      <w:szCs w:val="21"/>
                      <w:highlight w:val="none"/>
                      <w:lang w:val="en-US" w:eastAsia="zh-CN"/>
                    </w:rPr>
                    <w:t>二郎段及福兴段、石河镇段及双拱场段：</w:t>
                  </w:r>
                  <w:r>
                    <w:rPr>
                      <w:rFonts w:hint="default" w:ascii="Times New Roman" w:hAnsi="Times New Roman" w:cs="Times New Roman"/>
                      <w:color w:val="auto"/>
                      <w:sz w:val="21"/>
                      <w:szCs w:val="21"/>
                      <w:highlight w:val="none"/>
                    </w:rPr>
                    <w:t>开挖石方部分用于堤后回填，</w:t>
                  </w:r>
                  <w:r>
                    <w:rPr>
                      <w:rFonts w:hint="eastAsia" w:cs="Times New Roman"/>
                      <w:color w:val="auto"/>
                      <w:sz w:val="21"/>
                      <w:szCs w:val="21"/>
                      <w:highlight w:val="none"/>
                      <w:lang w:eastAsia="zh-CN"/>
                    </w:rPr>
                    <w:t>经土石方平衡后产生的弃渣</w:t>
                  </w:r>
                  <w:r>
                    <w:rPr>
                      <w:rFonts w:hint="eastAsia" w:cs="Times New Roman"/>
                      <w:color w:val="auto"/>
                      <w:sz w:val="21"/>
                      <w:szCs w:val="21"/>
                      <w:highlight w:val="none"/>
                      <w:lang w:val="en-US" w:eastAsia="zh-CN"/>
                    </w:rPr>
                    <w:t>可直接利用的部分由周边居民用于农田做肥料，沉淀泥渣和</w:t>
                  </w:r>
                  <w:r>
                    <w:rPr>
                      <w:rFonts w:hint="eastAsia"/>
                      <w:color w:val="auto"/>
                      <w:sz w:val="21"/>
                      <w:szCs w:val="21"/>
                      <w:highlight w:val="none"/>
                      <w:lang w:val="en-US" w:eastAsia="zh-CN"/>
                    </w:rPr>
                    <w:t>含砂石量多的疏浚砂石用于沿线低洼地区回填</w:t>
                  </w:r>
                  <w:r>
                    <w:rPr>
                      <w:rFonts w:hint="eastAsia" w:cs="Times New Roman"/>
                      <w:color w:val="auto"/>
                      <w:sz w:val="21"/>
                      <w:szCs w:val="21"/>
                      <w:highlight w:val="none"/>
                      <w:lang w:val="en-US" w:eastAsia="zh-CN"/>
                    </w:rPr>
                    <w:t>；经晾干后的不可直接利用清淤淤泥运往市政规划的弃渣场</w:t>
                  </w:r>
                  <w:r>
                    <w:rPr>
                      <w:rFonts w:hint="default" w:ascii="Times New Roman" w:hAnsi="Times New Roman" w:eastAsia="宋体" w:cs="Times New Roman"/>
                      <w:color w:val="auto"/>
                      <w:sz w:val="21"/>
                      <w:szCs w:val="21"/>
                      <w:highlight w:val="none"/>
                    </w:rPr>
                    <w:t>；</w:t>
                  </w:r>
                </w:p>
                <w:p w14:paraId="770D52C5">
                  <w:pPr>
                    <w:spacing w:line="240" w:lineRule="auto"/>
                    <w:ind w:firstLine="0" w:firstLineChars="0"/>
                    <w:jc w:val="left"/>
                    <w:rPr>
                      <w:rFonts w:hint="default" w:ascii="Times New Roman" w:hAnsi="Times New Roman" w:eastAsia="宋体" w:cs="Times New Roman"/>
                      <w:color w:val="auto"/>
                      <w:sz w:val="21"/>
                      <w:szCs w:val="21"/>
                      <w:highlight w:val="none"/>
                    </w:rPr>
                  </w:pPr>
                  <w:r>
                    <w:rPr>
                      <w:rFonts w:hint="eastAsia"/>
                      <w:color w:val="auto"/>
                      <w:sz w:val="21"/>
                      <w:szCs w:val="21"/>
                      <w:highlight w:val="none"/>
                      <w:lang w:val="en-US" w:eastAsia="zh-CN"/>
                    </w:rPr>
                    <w:t>清河镇段、杨家镇段：</w:t>
                  </w:r>
                  <w:r>
                    <w:rPr>
                      <w:rFonts w:hint="default" w:ascii="Times New Roman" w:hAnsi="Times New Roman" w:cs="Times New Roman"/>
                      <w:color w:val="auto"/>
                      <w:sz w:val="21"/>
                      <w:szCs w:val="21"/>
                      <w:highlight w:val="none"/>
                    </w:rPr>
                    <w:t>开挖石方部分用于堤后回填</w:t>
                  </w:r>
                  <w:r>
                    <w:rPr>
                      <w:rFonts w:hint="eastAsia" w:ascii="Times New Roman" w:hAnsi="Times New Roman" w:cs="Times New Roman"/>
                      <w:color w:val="auto"/>
                      <w:sz w:val="21"/>
                      <w:szCs w:val="21"/>
                      <w:highlight w:val="none"/>
                      <w:lang w:eastAsia="zh-CN"/>
                    </w:rPr>
                    <w:t>；</w:t>
                  </w:r>
                  <w:r>
                    <w:rPr>
                      <w:rFonts w:hint="eastAsia"/>
                      <w:color w:val="auto"/>
                      <w:sz w:val="21"/>
                      <w:szCs w:val="21"/>
                      <w:highlight w:val="none"/>
                      <w:lang w:val="en-US" w:eastAsia="zh-CN"/>
                    </w:rPr>
                    <w:t>含砂石量多的疏浚砂石用于沿线低洼地区回填；含泥量高的淤泥，回用作护坡土回用。</w:t>
                  </w:r>
                </w:p>
                <w:p w14:paraId="5F51D744">
                  <w:pPr>
                    <w:spacing w:line="240" w:lineRule="auto"/>
                    <w:ind w:firstLine="0" w:firstLineChars="0"/>
                    <w:jc w:val="left"/>
                    <w:rPr>
                      <w:rFonts w:hint="default" w:ascii="Times New Roman" w:hAnsi="Times New Roman" w:eastAsia="宋体" w:cs="Times New Roman"/>
                      <w:color w:val="auto"/>
                      <w:sz w:val="21"/>
                      <w:szCs w:val="21"/>
                      <w:highlight w:val="none"/>
                    </w:rPr>
                  </w:pPr>
                  <w:r>
                    <w:rPr>
                      <w:rFonts w:hint="eastAsia"/>
                      <w:color w:val="auto"/>
                      <w:sz w:val="21"/>
                      <w:szCs w:val="21"/>
                      <w:highlight w:val="none"/>
                    </w:rPr>
                    <w:t>白蚁防治废包装</w:t>
                  </w:r>
                  <w:r>
                    <w:rPr>
                      <w:rFonts w:hint="eastAsia"/>
                      <w:b w:val="0"/>
                      <w:bCs w:val="0"/>
                      <w:color w:val="auto"/>
                      <w:sz w:val="21"/>
                      <w:szCs w:val="21"/>
                      <w:highlight w:val="none"/>
                      <w:lang w:val="en-US" w:eastAsia="zh-CN"/>
                    </w:rPr>
                    <w:t>收集后送至农药经营店，由农药经营店进行回收；</w:t>
                  </w:r>
                </w:p>
                <w:p w14:paraId="22D47842">
                  <w:pPr>
                    <w:spacing w:line="240" w:lineRule="auto"/>
                    <w:ind w:firstLine="0" w:firstLineChars="0"/>
                    <w:jc w:val="left"/>
                    <w:rPr>
                      <w:rFonts w:hint="eastAsia"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岸坡清理废物中的生活垃圾交</w:t>
                  </w:r>
                  <w:r>
                    <w:rPr>
                      <w:rFonts w:hint="default" w:eastAsia="宋体"/>
                      <w:b w:val="0"/>
                      <w:bCs w:val="0"/>
                      <w:color w:val="auto"/>
                      <w:sz w:val="21"/>
                      <w:szCs w:val="21"/>
                      <w:highlight w:val="none"/>
                      <w:lang w:val="en-US" w:eastAsia="zh-CN"/>
                    </w:rPr>
                    <w:t>由环卫部门清运</w:t>
                  </w:r>
                  <w:r>
                    <w:rPr>
                      <w:rFonts w:hint="eastAsia" w:eastAsia="宋体"/>
                      <w:b w:val="0"/>
                      <w:bCs w:val="0"/>
                      <w:color w:val="auto"/>
                      <w:sz w:val="21"/>
                      <w:szCs w:val="21"/>
                      <w:highlight w:val="none"/>
                      <w:lang w:val="en-US" w:eastAsia="zh-CN"/>
                    </w:rPr>
                    <w:t>，建筑废渣</w:t>
                  </w:r>
                  <w:r>
                    <w:rPr>
                      <w:rFonts w:hint="default" w:eastAsia="宋体"/>
                      <w:b w:val="0"/>
                      <w:bCs w:val="0"/>
                      <w:color w:val="auto"/>
                      <w:sz w:val="21"/>
                      <w:szCs w:val="21"/>
                      <w:highlight w:val="none"/>
                      <w:lang w:val="en-US" w:eastAsia="zh-CN"/>
                    </w:rPr>
                    <w:t>作为弃渣运往市政规划的弃渣场</w:t>
                  </w:r>
                  <w:r>
                    <w:rPr>
                      <w:rFonts w:hint="eastAsia" w:eastAsia="宋体"/>
                      <w:b w:val="0"/>
                      <w:bCs w:val="0"/>
                      <w:color w:val="auto"/>
                      <w:sz w:val="21"/>
                      <w:szCs w:val="21"/>
                      <w:highlight w:val="none"/>
                      <w:lang w:val="en-US" w:eastAsia="zh-CN"/>
                    </w:rPr>
                    <w:t>；</w:t>
                  </w:r>
                </w:p>
                <w:p w14:paraId="24DDC513">
                  <w:pPr>
                    <w:spacing w:line="240" w:lineRule="auto"/>
                    <w:ind w:firstLine="0" w:firstLineChars="0"/>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可回收的建材废包装、建筑垃圾交废物回收站处理，不能回收的建筑垃圾定时清运到大竹县指定的建筑垃圾处置场</w:t>
                  </w:r>
                  <w:r>
                    <w:rPr>
                      <w:rFonts w:hint="default" w:ascii="Times New Roman" w:hAnsi="Times New Roman" w:eastAsia="宋体" w:cs="Times New Roman"/>
                      <w:color w:val="auto"/>
                      <w:sz w:val="21"/>
                      <w:szCs w:val="21"/>
                      <w:highlight w:val="none"/>
                    </w:rPr>
                    <w:t>；</w:t>
                  </w:r>
                </w:p>
                <w:p w14:paraId="0945E58F">
                  <w:pPr>
                    <w:spacing w:line="240" w:lineRule="auto"/>
                    <w:ind w:firstLine="0" w:firstLineChars="0"/>
                    <w:jc w:val="left"/>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生活垃圾由环卫部门清运。</w:t>
                  </w:r>
                </w:p>
              </w:tc>
              <w:tc>
                <w:tcPr>
                  <w:tcW w:w="702" w:type="pct"/>
                  <w:vMerge w:val="continue"/>
                  <w:noWrap w:val="0"/>
                  <w:vAlign w:val="center"/>
                </w:tcPr>
                <w:p w14:paraId="76CA4C4D">
                  <w:pPr>
                    <w:pStyle w:val="44"/>
                    <w:ind w:firstLine="0" w:firstLineChars="0"/>
                    <w:rPr>
                      <w:rFonts w:hint="default" w:ascii="Times New Roman" w:hAnsi="Times New Roman" w:cs="Times New Roman"/>
                      <w:color w:val="auto"/>
                      <w:sz w:val="21"/>
                      <w:szCs w:val="21"/>
                      <w:highlight w:val="none"/>
                    </w:rPr>
                  </w:pPr>
                </w:p>
              </w:tc>
            </w:tr>
          </w:tbl>
          <w:p w14:paraId="02204808">
            <w:pPr>
              <w:ind w:firstLine="480"/>
              <w:rPr>
                <w:rFonts w:hint="default" w:ascii="Times New Roman" w:hAnsi="Times New Roman" w:cs="Times New Roman"/>
                <w:color w:val="auto"/>
                <w:highlight w:val="none"/>
              </w:rPr>
            </w:pPr>
          </w:p>
        </w:tc>
      </w:tr>
      <w:tr w14:paraId="7CE7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2" w:type="pct"/>
            <w:tcBorders>
              <w:top w:val="single" w:color="auto" w:sz="4" w:space="0"/>
            </w:tcBorders>
            <w:noWrap w:val="0"/>
            <w:vAlign w:val="center"/>
          </w:tcPr>
          <w:p w14:paraId="7E04A97E">
            <w:pPr>
              <w:pStyle w:val="15"/>
              <w:rPr>
                <w:rFonts w:hint="default" w:ascii="Times New Roman" w:hAnsi="Times New Roman" w:cs="Times New Roman"/>
                <w:color w:val="auto"/>
                <w:highlight w:val="none"/>
              </w:rPr>
            </w:pPr>
            <w:r>
              <w:rPr>
                <w:rFonts w:hint="default" w:ascii="Times New Roman" w:hAnsi="Times New Roman" w:cs="Times New Roman"/>
                <w:color w:val="auto"/>
                <w:highlight w:val="none"/>
              </w:rPr>
              <w:t>环保投资</w:t>
            </w:r>
          </w:p>
        </w:tc>
        <w:tc>
          <w:tcPr>
            <w:tcW w:w="4407" w:type="pct"/>
            <w:tcBorders>
              <w:top w:val="single" w:color="auto" w:sz="4" w:space="0"/>
              <w:bottom w:val="single" w:color="auto" w:sz="4" w:space="0"/>
            </w:tcBorders>
            <w:noWrap w:val="0"/>
            <w:vAlign w:val="center"/>
          </w:tcPr>
          <w:p w14:paraId="6D295D7F">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本项目环保投资详见下表。</w:t>
            </w:r>
          </w:p>
          <w:p w14:paraId="7AEE99FC">
            <w:pPr>
              <w:pStyle w:val="37"/>
              <w:spacing w:line="360" w:lineRule="auto"/>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rPr>
              <w:t>表5.7-2 本项目环保投资一览表</w:t>
            </w:r>
          </w:p>
          <w:tbl>
            <w:tblPr>
              <w:tblStyle w:val="11"/>
              <w:tblW w:w="8619"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5647"/>
              <w:gridCol w:w="1424"/>
            </w:tblGrid>
            <w:tr w14:paraId="782C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98" w:type="pct"/>
                  <w:noWrap w:val="0"/>
                  <w:vAlign w:val="center"/>
                </w:tcPr>
                <w:p w14:paraId="1A265296">
                  <w:pPr>
                    <w:pStyle w:val="46"/>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环保项目</w:t>
                  </w:r>
                </w:p>
              </w:tc>
              <w:tc>
                <w:tcPr>
                  <w:tcW w:w="3275" w:type="pct"/>
                  <w:noWrap w:val="0"/>
                  <w:vAlign w:val="center"/>
                </w:tcPr>
                <w:p w14:paraId="1A5DBBAA">
                  <w:pPr>
                    <w:pStyle w:val="46"/>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措施内容</w:t>
                  </w:r>
                </w:p>
              </w:tc>
              <w:tc>
                <w:tcPr>
                  <w:tcW w:w="826" w:type="pct"/>
                  <w:noWrap w:val="0"/>
                  <w:vAlign w:val="center"/>
                </w:tcPr>
                <w:p w14:paraId="68A28E61">
                  <w:pPr>
                    <w:pStyle w:val="46"/>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投资（万元）</w:t>
                  </w:r>
                </w:p>
              </w:tc>
            </w:tr>
            <w:tr w14:paraId="726A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98" w:type="pct"/>
                  <w:vMerge w:val="restart"/>
                  <w:noWrap w:val="0"/>
                  <w:vAlign w:val="center"/>
                </w:tcPr>
                <w:p w14:paraId="14344821">
                  <w:pPr>
                    <w:pStyle w:val="4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水污染防治</w:t>
                  </w:r>
                </w:p>
              </w:tc>
              <w:tc>
                <w:tcPr>
                  <w:tcW w:w="3275" w:type="pct"/>
                  <w:noWrap w:val="0"/>
                  <w:vAlign w:val="center"/>
                </w:tcPr>
                <w:p w14:paraId="1F2B6935">
                  <w:pPr>
                    <w:pStyle w:val="4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共修建</w:t>
                  </w:r>
                  <w:r>
                    <w:rPr>
                      <w:rFonts w:hint="eastAsia" w:cs="Times New Roman"/>
                      <w:color w:val="auto"/>
                      <w:szCs w:val="21"/>
                      <w:highlight w:val="none"/>
                      <w:lang w:val="en-US" w:eastAsia="zh-CN"/>
                    </w:rPr>
                    <w:t>1</w:t>
                  </w:r>
                  <w:r>
                    <w:rPr>
                      <w:rFonts w:hint="default" w:ascii="Times New Roman" w:hAnsi="Times New Roman" w:cs="Times New Roman"/>
                      <w:color w:val="auto"/>
                      <w:szCs w:val="21"/>
                      <w:highlight w:val="none"/>
                    </w:rPr>
                    <w:t>个</w:t>
                  </w:r>
                  <w:r>
                    <w:rPr>
                      <w:rFonts w:hint="eastAsia" w:cs="Times New Roman"/>
                      <w:color w:val="auto"/>
                      <w:szCs w:val="21"/>
                      <w:highlight w:val="none"/>
                      <w:lang w:val="en-US" w:eastAsia="zh-CN"/>
                    </w:rPr>
                    <w:t>12</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/d沉淀池</w:t>
                  </w:r>
                  <w:r>
                    <w:rPr>
                      <w:rFonts w:hint="default" w:ascii="Times New Roman" w:hAnsi="Times New Roman" w:cs="Times New Roman"/>
                      <w:color w:val="auto"/>
                      <w:szCs w:val="21"/>
                      <w:highlight w:val="none"/>
                      <w:lang w:val="en-US" w:eastAsia="zh-CN"/>
                    </w:rPr>
                    <w:t>、</w:t>
                  </w:r>
                  <w:r>
                    <w:rPr>
                      <w:rFonts w:hint="eastAsia" w:cs="Times New Roman"/>
                      <w:color w:val="auto"/>
                      <w:szCs w:val="21"/>
                      <w:highlight w:val="none"/>
                      <w:lang w:val="en-US" w:eastAsia="zh-CN"/>
                    </w:rPr>
                    <w:t>7</w:t>
                  </w:r>
                  <w:r>
                    <w:rPr>
                      <w:rFonts w:hint="default" w:ascii="Times New Roman" w:hAnsi="Times New Roman" w:cs="Times New Roman"/>
                      <w:color w:val="auto"/>
                      <w:szCs w:val="21"/>
                      <w:highlight w:val="none"/>
                      <w:lang w:val="en-US" w:eastAsia="zh-CN"/>
                    </w:rPr>
                    <w:t>个集水井、</w:t>
                  </w:r>
                  <w:r>
                    <w:rPr>
                      <w:rFonts w:hint="eastAsia" w:cs="Times New Roman"/>
                      <w:color w:val="auto"/>
                      <w:szCs w:val="21"/>
                      <w:highlight w:val="none"/>
                      <w:lang w:val="en-US" w:eastAsia="zh-CN"/>
                    </w:rPr>
                    <w:t>8</w:t>
                  </w:r>
                  <w:r>
                    <w:rPr>
                      <w:rFonts w:hint="default" w:ascii="Times New Roman" w:hAnsi="Times New Roman" w:cs="Times New Roman"/>
                      <w:color w:val="auto"/>
                      <w:szCs w:val="21"/>
                      <w:highlight w:val="none"/>
                    </w:rPr>
                    <w:t>个</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rPr>
                    <w:t>m</w:t>
                  </w:r>
                  <w:r>
                    <w:rPr>
                      <w:rFonts w:hint="default" w:ascii="Times New Roman" w:hAnsi="Times New Roman" w:cs="Times New Roman"/>
                      <w:color w:val="auto"/>
                      <w:szCs w:val="21"/>
                      <w:highlight w:val="none"/>
                      <w:vertAlign w:val="superscript"/>
                    </w:rPr>
                    <w:t>3</w:t>
                  </w:r>
                  <w:r>
                    <w:rPr>
                      <w:rFonts w:hint="default" w:ascii="Times New Roman" w:hAnsi="Times New Roman" w:cs="Times New Roman"/>
                      <w:color w:val="auto"/>
                      <w:szCs w:val="21"/>
                      <w:highlight w:val="none"/>
                    </w:rPr>
                    <w:t>/d沉淀池</w:t>
                  </w:r>
                </w:p>
              </w:tc>
              <w:tc>
                <w:tcPr>
                  <w:tcW w:w="826" w:type="pct"/>
                  <w:vMerge w:val="restart"/>
                  <w:shd w:val="clear" w:color="auto" w:fill="auto"/>
                  <w:noWrap w:val="0"/>
                  <w:vAlign w:val="center"/>
                </w:tcPr>
                <w:p w14:paraId="16ABFF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bidi="ar-SA"/>
                    </w:rPr>
                    <w:t>69.45</w:t>
                  </w:r>
                </w:p>
              </w:tc>
            </w:tr>
            <w:tr w14:paraId="1FF7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898" w:type="pct"/>
                  <w:vMerge w:val="continue"/>
                  <w:noWrap w:val="0"/>
                  <w:vAlign w:val="center"/>
                </w:tcPr>
                <w:p w14:paraId="69B6E524">
                  <w:pPr>
                    <w:pStyle w:val="46"/>
                    <w:rPr>
                      <w:rFonts w:hint="default" w:ascii="Times New Roman" w:hAnsi="Times New Roman" w:cs="Times New Roman"/>
                      <w:color w:val="auto"/>
                      <w:szCs w:val="21"/>
                      <w:highlight w:val="none"/>
                    </w:rPr>
                  </w:pPr>
                </w:p>
              </w:tc>
              <w:tc>
                <w:tcPr>
                  <w:tcW w:w="3275" w:type="pct"/>
                  <w:noWrap w:val="0"/>
                  <w:vAlign w:val="center"/>
                </w:tcPr>
                <w:p w14:paraId="4E7FB2F1">
                  <w:pPr>
                    <w:pStyle w:val="46"/>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依托周边居民现有旱厕收集后用作农肥</w:t>
                  </w:r>
                </w:p>
              </w:tc>
              <w:tc>
                <w:tcPr>
                  <w:tcW w:w="826" w:type="pct"/>
                  <w:vMerge w:val="continue"/>
                  <w:shd w:val="clear" w:color="auto" w:fill="auto"/>
                  <w:noWrap w:val="0"/>
                  <w:vAlign w:val="center"/>
                </w:tcPr>
                <w:p w14:paraId="703406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color w:val="auto"/>
                      <w:kern w:val="2"/>
                      <w:sz w:val="21"/>
                      <w:szCs w:val="21"/>
                      <w:highlight w:val="none"/>
                      <w:lang w:val="en-US" w:eastAsia="zh-CN" w:bidi="ar-SA"/>
                    </w:rPr>
                  </w:pPr>
                </w:p>
              </w:tc>
            </w:tr>
            <w:tr w14:paraId="2022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898" w:type="pct"/>
                  <w:vMerge w:val="restart"/>
                  <w:noWrap w:val="0"/>
                  <w:vAlign w:val="center"/>
                </w:tcPr>
                <w:p w14:paraId="6CD6CBDA">
                  <w:pPr>
                    <w:pStyle w:val="4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大气环境保护</w:t>
                  </w:r>
                </w:p>
              </w:tc>
              <w:tc>
                <w:tcPr>
                  <w:tcW w:w="3275" w:type="pct"/>
                  <w:noWrap w:val="0"/>
                  <w:vAlign w:val="center"/>
                </w:tcPr>
                <w:p w14:paraId="1304A1D5">
                  <w:pPr>
                    <w:pStyle w:val="4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施工现场遮盖、围挡、洒水降尘</w:t>
                  </w:r>
                </w:p>
              </w:tc>
              <w:tc>
                <w:tcPr>
                  <w:tcW w:w="826" w:type="pct"/>
                  <w:vMerge w:val="restart"/>
                  <w:shd w:val="clear" w:color="auto" w:fill="auto"/>
                  <w:noWrap w:val="0"/>
                  <w:vAlign w:val="center"/>
                </w:tcPr>
                <w:p w14:paraId="70935A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bidi="ar-SA"/>
                    </w:rPr>
                    <w:t>64.46</w:t>
                  </w:r>
                </w:p>
              </w:tc>
            </w:tr>
            <w:tr w14:paraId="275B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98" w:type="pct"/>
                  <w:vMerge w:val="continue"/>
                  <w:noWrap w:val="0"/>
                  <w:vAlign w:val="center"/>
                </w:tcPr>
                <w:p w14:paraId="0FEA2C93">
                  <w:pPr>
                    <w:pStyle w:val="46"/>
                    <w:rPr>
                      <w:rFonts w:hint="default" w:ascii="Times New Roman" w:hAnsi="Times New Roman" w:cs="Times New Roman"/>
                      <w:color w:val="auto"/>
                      <w:szCs w:val="21"/>
                      <w:highlight w:val="none"/>
                    </w:rPr>
                  </w:pPr>
                </w:p>
              </w:tc>
              <w:tc>
                <w:tcPr>
                  <w:tcW w:w="3275" w:type="pct"/>
                  <w:noWrap w:val="0"/>
                  <w:vAlign w:val="center"/>
                </w:tcPr>
                <w:p w14:paraId="51F9ECF6">
                  <w:pPr>
                    <w:pStyle w:val="4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运输线路洒水降尘、及时清除尘土；</w:t>
                  </w:r>
                  <w:r>
                    <w:rPr>
                      <w:rFonts w:hint="default" w:ascii="Times New Roman" w:hAnsi="Times New Roman" w:cs="Times New Roman"/>
                      <w:color w:val="auto"/>
                      <w:szCs w:val="21"/>
                      <w:highlight w:val="none"/>
                      <w:lang w:val="en-US" w:eastAsia="zh-CN"/>
                    </w:rPr>
                    <w:t>物料、</w:t>
                  </w:r>
                  <w:r>
                    <w:rPr>
                      <w:rFonts w:hint="default" w:ascii="Times New Roman" w:hAnsi="Times New Roman" w:cs="Times New Roman"/>
                      <w:color w:val="auto"/>
                      <w:szCs w:val="21"/>
                      <w:highlight w:val="none"/>
                    </w:rPr>
                    <w:t>弃渣运输禁止冒顶装载和洒漏；清理运输车辆轮胎</w:t>
                  </w:r>
                </w:p>
              </w:tc>
              <w:tc>
                <w:tcPr>
                  <w:tcW w:w="826" w:type="pct"/>
                  <w:vMerge w:val="continue"/>
                  <w:shd w:val="clear" w:color="auto" w:fill="auto"/>
                  <w:noWrap w:val="0"/>
                  <w:vAlign w:val="center"/>
                </w:tcPr>
                <w:p w14:paraId="542C0A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color w:val="auto"/>
                      <w:kern w:val="2"/>
                      <w:sz w:val="21"/>
                      <w:szCs w:val="21"/>
                      <w:highlight w:val="none"/>
                      <w:lang w:val="en-US" w:eastAsia="zh-CN" w:bidi="ar-SA"/>
                    </w:rPr>
                  </w:pPr>
                </w:p>
              </w:tc>
            </w:tr>
            <w:tr w14:paraId="7E0B8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98" w:type="pct"/>
                  <w:vMerge w:val="continue"/>
                  <w:noWrap w:val="0"/>
                  <w:vAlign w:val="center"/>
                </w:tcPr>
                <w:p w14:paraId="7A79D53E">
                  <w:pPr>
                    <w:pStyle w:val="46"/>
                    <w:rPr>
                      <w:rFonts w:hint="default" w:ascii="Times New Roman" w:hAnsi="Times New Roman" w:cs="Times New Roman"/>
                      <w:color w:val="auto"/>
                      <w:szCs w:val="21"/>
                      <w:highlight w:val="none"/>
                    </w:rPr>
                  </w:pPr>
                </w:p>
              </w:tc>
              <w:tc>
                <w:tcPr>
                  <w:tcW w:w="3275" w:type="pct"/>
                  <w:noWrap w:val="0"/>
                  <w:vAlign w:val="center"/>
                </w:tcPr>
                <w:p w14:paraId="11D902E2">
                  <w:pPr>
                    <w:pStyle w:val="46"/>
                    <w:rPr>
                      <w:rFonts w:hint="default" w:ascii="Times New Roman" w:hAnsi="Times New Roman" w:cs="Times New Roman"/>
                      <w:color w:val="auto"/>
                      <w:szCs w:val="21"/>
                      <w:highlight w:val="none"/>
                    </w:rPr>
                  </w:pPr>
                  <w:r>
                    <w:rPr>
                      <w:rFonts w:hint="default" w:ascii="Times New Roman" w:hAnsi="Times New Roman" w:cs="Times New Roman"/>
                      <w:color w:val="auto"/>
                      <w:highlight w:val="none"/>
                      <w:lang w:eastAsia="zh-CN"/>
                    </w:rPr>
                    <w:t>拌和站</w:t>
                  </w:r>
                  <w:r>
                    <w:rPr>
                      <w:rFonts w:hint="default" w:ascii="Times New Roman" w:hAnsi="Times New Roman" w:cs="Times New Roman"/>
                      <w:color w:val="auto"/>
                      <w:highlight w:val="none"/>
                    </w:rPr>
                    <w:t>布置在专用工棚内，投料口设置喷雾降尘装置</w:t>
                  </w:r>
                </w:p>
              </w:tc>
              <w:tc>
                <w:tcPr>
                  <w:tcW w:w="826" w:type="pct"/>
                  <w:vMerge w:val="continue"/>
                  <w:shd w:val="clear" w:color="auto" w:fill="auto"/>
                  <w:noWrap w:val="0"/>
                  <w:vAlign w:val="center"/>
                </w:tcPr>
                <w:p w14:paraId="76D836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color w:val="auto"/>
                      <w:kern w:val="2"/>
                      <w:sz w:val="21"/>
                      <w:szCs w:val="21"/>
                      <w:highlight w:val="none"/>
                      <w:lang w:val="en-US" w:eastAsia="zh-CN" w:bidi="ar-SA"/>
                    </w:rPr>
                  </w:pPr>
                </w:p>
              </w:tc>
            </w:tr>
            <w:tr w14:paraId="60C5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898" w:type="pct"/>
                  <w:vMerge w:val="continue"/>
                  <w:noWrap w:val="0"/>
                  <w:vAlign w:val="center"/>
                </w:tcPr>
                <w:p w14:paraId="3EE12441">
                  <w:pPr>
                    <w:pStyle w:val="46"/>
                    <w:rPr>
                      <w:rFonts w:hint="default" w:ascii="Times New Roman" w:hAnsi="Times New Roman" w:cs="Times New Roman"/>
                      <w:color w:val="auto"/>
                      <w:szCs w:val="21"/>
                      <w:highlight w:val="none"/>
                    </w:rPr>
                  </w:pPr>
                </w:p>
              </w:tc>
              <w:tc>
                <w:tcPr>
                  <w:tcW w:w="3275" w:type="pct"/>
                  <w:noWrap w:val="0"/>
                  <w:vAlign w:val="center"/>
                </w:tcPr>
                <w:p w14:paraId="27886662">
                  <w:pPr>
                    <w:pStyle w:val="4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临时堆料</w:t>
                  </w:r>
                  <w:r>
                    <w:rPr>
                      <w:rFonts w:hint="default" w:cs="Times New Roman"/>
                      <w:color w:val="auto"/>
                      <w:szCs w:val="21"/>
                      <w:highlight w:val="none"/>
                      <w:lang w:val="en-US" w:eastAsia="zh-CN"/>
                    </w:rPr>
                    <w:t>场</w:t>
                  </w:r>
                  <w:r>
                    <w:rPr>
                      <w:rFonts w:hint="default" w:ascii="Times New Roman" w:hAnsi="Times New Roman" w:cs="Times New Roman"/>
                      <w:color w:val="auto"/>
                      <w:szCs w:val="21"/>
                      <w:highlight w:val="none"/>
                    </w:rPr>
                    <w:t>加强物料遮盖、定期洒水</w:t>
                  </w:r>
                </w:p>
              </w:tc>
              <w:tc>
                <w:tcPr>
                  <w:tcW w:w="826" w:type="pct"/>
                  <w:vMerge w:val="continue"/>
                  <w:shd w:val="clear" w:color="auto" w:fill="auto"/>
                  <w:noWrap w:val="0"/>
                  <w:vAlign w:val="center"/>
                </w:tcPr>
                <w:p w14:paraId="27F89B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color w:val="auto"/>
                      <w:kern w:val="2"/>
                      <w:sz w:val="21"/>
                      <w:szCs w:val="21"/>
                      <w:highlight w:val="none"/>
                      <w:lang w:val="en-US" w:eastAsia="zh-CN" w:bidi="ar-SA"/>
                    </w:rPr>
                  </w:pPr>
                </w:p>
              </w:tc>
            </w:tr>
            <w:tr w14:paraId="31B4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898" w:type="pct"/>
                  <w:vMerge w:val="continue"/>
                  <w:noWrap w:val="0"/>
                  <w:vAlign w:val="center"/>
                </w:tcPr>
                <w:p w14:paraId="66A5665D">
                  <w:pPr>
                    <w:pStyle w:val="46"/>
                    <w:rPr>
                      <w:rFonts w:hint="default" w:ascii="Times New Roman" w:hAnsi="Times New Roman" w:cs="Times New Roman"/>
                      <w:color w:val="auto"/>
                      <w:szCs w:val="21"/>
                      <w:highlight w:val="none"/>
                    </w:rPr>
                  </w:pPr>
                </w:p>
              </w:tc>
              <w:tc>
                <w:tcPr>
                  <w:tcW w:w="3275" w:type="pct"/>
                  <w:noWrap w:val="0"/>
                  <w:vAlign w:val="center"/>
                </w:tcPr>
                <w:p w14:paraId="4692DC0B">
                  <w:pPr>
                    <w:pStyle w:val="46"/>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焊接烟尘配备净化设备</w:t>
                  </w:r>
                </w:p>
              </w:tc>
              <w:tc>
                <w:tcPr>
                  <w:tcW w:w="826" w:type="pct"/>
                  <w:vMerge w:val="continue"/>
                  <w:shd w:val="clear" w:color="auto" w:fill="auto"/>
                  <w:noWrap w:val="0"/>
                  <w:vAlign w:val="center"/>
                </w:tcPr>
                <w:p w14:paraId="6E4499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color w:val="auto"/>
                      <w:kern w:val="2"/>
                      <w:sz w:val="21"/>
                      <w:szCs w:val="21"/>
                      <w:highlight w:val="none"/>
                      <w:lang w:val="en-US" w:eastAsia="zh-CN" w:bidi="ar-SA"/>
                    </w:rPr>
                  </w:pPr>
                </w:p>
              </w:tc>
            </w:tr>
            <w:tr w14:paraId="172E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898" w:type="pct"/>
                  <w:vMerge w:val="continue"/>
                  <w:noWrap w:val="0"/>
                  <w:vAlign w:val="center"/>
                </w:tcPr>
                <w:p w14:paraId="75240386">
                  <w:pPr>
                    <w:pStyle w:val="46"/>
                    <w:rPr>
                      <w:color w:val="auto"/>
                      <w:highlight w:val="none"/>
                    </w:rPr>
                  </w:pPr>
                </w:p>
              </w:tc>
              <w:tc>
                <w:tcPr>
                  <w:tcW w:w="3275" w:type="pct"/>
                  <w:noWrap w:val="0"/>
                  <w:vAlign w:val="center"/>
                </w:tcPr>
                <w:p w14:paraId="1CE00435">
                  <w:pPr>
                    <w:spacing w:line="240" w:lineRule="auto"/>
                    <w:ind w:firstLine="0" w:firstLineChars="0"/>
                    <w:jc w:val="left"/>
                    <w:rPr>
                      <w:rFonts w:hint="default" w:ascii="Times New Roman" w:hAnsi="Times New Roman" w:eastAsia="宋体" w:cs="Times New Roman"/>
                      <w:snapToGrid/>
                      <w:color w:val="auto"/>
                      <w:kern w:val="2"/>
                      <w:sz w:val="21"/>
                      <w:szCs w:val="21"/>
                      <w:highlight w:val="none"/>
                    </w:rPr>
                  </w:pPr>
                  <w:r>
                    <w:rPr>
                      <w:rFonts w:hint="default" w:ascii="Times New Roman" w:hAnsi="Times New Roman" w:eastAsia="宋体" w:cs="Times New Roman"/>
                      <w:snapToGrid/>
                      <w:color w:val="auto"/>
                      <w:kern w:val="2"/>
                      <w:sz w:val="21"/>
                      <w:szCs w:val="21"/>
                      <w:highlight w:val="none"/>
                      <w:lang w:val="en-US" w:eastAsia="zh-CN" w:bidi="ar-SA"/>
                    </w:rPr>
                    <w:t>干化场产生的恶臭通过喷洒除臭剂、大气扩散后无组织排放。河道清淤疏浚避开高温、大风天气。</w:t>
                  </w:r>
                </w:p>
              </w:tc>
              <w:tc>
                <w:tcPr>
                  <w:tcW w:w="826" w:type="pct"/>
                  <w:vMerge w:val="continue"/>
                  <w:shd w:val="clear" w:color="auto" w:fill="auto"/>
                  <w:noWrap w:val="0"/>
                  <w:vAlign w:val="center"/>
                </w:tcPr>
                <w:p w14:paraId="708E018D">
                  <w:pPr>
                    <w:pStyle w:val="46"/>
                    <w:rPr>
                      <w:rFonts w:hint="default" w:ascii="Times New Roman" w:hAnsi="Times New Roman" w:cs="Times New Roman"/>
                      <w:color w:val="auto"/>
                      <w:szCs w:val="21"/>
                      <w:highlight w:val="none"/>
                    </w:rPr>
                  </w:pPr>
                </w:p>
              </w:tc>
            </w:tr>
            <w:tr w14:paraId="265A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98" w:type="pct"/>
                  <w:noWrap w:val="0"/>
                  <w:vAlign w:val="center"/>
                </w:tcPr>
                <w:p w14:paraId="38484992">
                  <w:pPr>
                    <w:pStyle w:val="4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声环境保护</w:t>
                  </w:r>
                </w:p>
              </w:tc>
              <w:tc>
                <w:tcPr>
                  <w:tcW w:w="3275" w:type="pct"/>
                  <w:noWrap w:val="0"/>
                  <w:vAlign w:val="center"/>
                </w:tcPr>
                <w:p w14:paraId="72F31248">
                  <w:pPr>
                    <w:pStyle w:val="4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尽量采用低噪声设备；施工人员配发个人噪声防护装备；在施工敏感段采取相应隔离遮挡措施</w:t>
                  </w:r>
                </w:p>
              </w:tc>
              <w:tc>
                <w:tcPr>
                  <w:tcW w:w="826" w:type="pct"/>
                  <w:shd w:val="clear" w:color="auto" w:fill="auto"/>
                  <w:noWrap w:val="0"/>
                  <w:vAlign w:val="center"/>
                </w:tcPr>
                <w:p w14:paraId="13A5EA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bidi="ar-SA"/>
                    </w:rPr>
                    <w:t>12</w:t>
                  </w:r>
                </w:p>
              </w:tc>
            </w:tr>
            <w:tr w14:paraId="3086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98" w:type="pct"/>
                  <w:noWrap w:val="0"/>
                  <w:vAlign w:val="center"/>
                </w:tcPr>
                <w:p w14:paraId="318477F2">
                  <w:pPr>
                    <w:pStyle w:val="4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固体废物</w:t>
                  </w:r>
                </w:p>
              </w:tc>
              <w:tc>
                <w:tcPr>
                  <w:tcW w:w="3275" w:type="pct"/>
                  <w:noWrap w:val="0"/>
                  <w:vAlign w:val="center"/>
                </w:tcPr>
                <w:p w14:paraId="734F9D61">
                  <w:pPr>
                    <w:pStyle w:val="46"/>
                    <w:rPr>
                      <w:rFonts w:hint="default" w:ascii="Times New Roman" w:hAnsi="Times New Roman" w:cs="Times New Roman"/>
                      <w:color w:val="auto"/>
                      <w:szCs w:val="21"/>
                      <w:highlight w:val="none"/>
                    </w:rPr>
                  </w:pPr>
                  <w:r>
                    <w:rPr>
                      <w:rFonts w:hint="eastAsia" w:cs="Times New Roman"/>
                      <w:color w:val="auto"/>
                      <w:szCs w:val="21"/>
                      <w:highlight w:val="none"/>
                      <w:lang w:eastAsia="zh-CN"/>
                    </w:rPr>
                    <w:t>施工场地</w:t>
                  </w:r>
                  <w:r>
                    <w:rPr>
                      <w:rFonts w:hint="default" w:ascii="Times New Roman" w:hAnsi="Times New Roman" w:cs="Times New Roman"/>
                      <w:color w:val="auto"/>
                      <w:szCs w:val="21"/>
                      <w:highlight w:val="none"/>
                    </w:rPr>
                    <w:t>设置垃圾收集桶，定期由环卫部门进行清运；建筑垃圾交由建筑垃</w:t>
                  </w:r>
                  <w:r>
                    <w:rPr>
                      <w:rFonts w:hint="default" w:ascii="Times New Roman" w:hAnsi="Times New Roman" w:cs="Times New Roman"/>
                      <w:color w:val="auto"/>
                      <w:highlight w:val="none"/>
                    </w:rPr>
                    <w:t>圾堆放场处理</w:t>
                  </w:r>
                </w:p>
              </w:tc>
              <w:tc>
                <w:tcPr>
                  <w:tcW w:w="826" w:type="pct"/>
                  <w:shd w:val="clear" w:color="auto" w:fill="auto"/>
                  <w:noWrap w:val="0"/>
                  <w:vAlign w:val="center"/>
                </w:tcPr>
                <w:p w14:paraId="02D8D1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bidi="ar-SA"/>
                    </w:rPr>
                    <w:t>19</w:t>
                  </w:r>
                </w:p>
              </w:tc>
            </w:tr>
            <w:tr w14:paraId="056E6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98" w:type="pct"/>
                  <w:noWrap w:val="0"/>
                  <w:vAlign w:val="center"/>
                </w:tcPr>
                <w:p w14:paraId="5A8A5544">
                  <w:pPr>
                    <w:pStyle w:val="4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生态环境保护及恢复措施</w:t>
                  </w:r>
                </w:p>
              </w:tc>
              <w:tc>
                <w:tcPr>
                  <w:tcW w:w="3275" w:type="pct"/>
                  <w:noWrap w:val="0"/>
                  <w:vAlign w:val="center"/>
                </w:tcPr>
                <w:p w14:paraId="4FA4FF50">
                  <w:pPr>
                    <w:pStyle w:val="4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开挖临时排水渠、施工临时土地整治等工程措施、临时措施、植物措施</w:t>
                  </w:r>
                </w:p>
              </w:tc>
              <w:tc>
                <w:tcPr>
                  <w:tcW w:w="826" w:type="pct"/>
                  <w:shd w:val="clear" w:color="auto" w:fill="auto"/>
                  <w:noWrap w:val="0"/>
                  <w:vAlign w:val="center"/>
                </w:tcPr>
                <w:p w14:paraId="27D87F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color w:val="auto"/>
                      <w:kern w:val="2"/>
                      <w:sz w:val="21"/>
                      <w:szCs w:val="21"/>
                      <w:highlight w:val="none"/>
                      <w:lang w:val="en-US" w:eastAsia="zh-CN" w:bidi="ar-SA"/>
                    </w:rPr>
                  </w:pPr>
                  <w:r>
                    <w:rPr>
                      <w:rFonts w:hint="eastAsia" w:ascii="Times New Roman" w:hAnsi="Times New Roman" w:eastAsia="宋体" w:cs="Times New Roman"/>
                      <w:snapToGrid/>
                      <w:color w:val="auto"/>
                      <w:kern w:val="2"/>
                      <w:sz w:val="21"/>
                      <w:szCs w:val="21"/>
                      <w:highlight w:val="none"/>
                      <w:lang w:val="en-US" w:eastAsia="zh-CN" w:bidi="ar-SA"/>
                    </w:rPr>
                    <w:t>33</w:t>
                  </w:r>
                </w:p>
              </w:tc>
            </w:tr>
            <w:tr w14:paraId="793F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98" w:type="pct"/>
                  <w:noWrap w:val="0"/>
                  <w:vAlign w:val="center"/>
                </w:tcPr>
                <w:p w14:paraId="67C3F642">
                  <w:pPr>
                    <w:pStyle w:val="4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风险防范措施</w:t>
                  </w:r>
                </w:p>
              </w:tc>
              <w:tc>
                <w:tcPr>
                  <w:tcW w:w="3275" w:type="pct"/>
                  <w:noWrap w:val="0"/>
                  <w:vAlign w:val="center"/>
                </w:tcPr>
                <w:p w14:paraId="1803B4C2">
                  <w:pPr>
                    <w:pStyle w:val="4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设置标牌，加强施工人员教育，建立应急方案等</w:t>
                  </w:r>
                </w:p>
              </w:tc>
              <w:tc>
                <w:tcPr>
                  <w:tcW w:w="826" w:type="pct"/>
                  <w:shd w:val="clear" w:color="auto" w:fill="auto"/>
                  <w:noWrap w:val="0"/>
                  <w:vAlign w:val="center"/>
                </w:tcPr>
                <w:p w14:paraId="4F7293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color w:val="auto"/>
                      <w:kern w:val="2"/>
                      <w:sz w:val="21"/>
                      <w:szCs w:val="21"/>
                      <w:highlight w:val="none"/>
                      <w:lang w:val="en-US" w:eastAsia="zh-CN" w:bidi="ar-SA"/>
                    </w:rPr>
                  </w:pPr>
                  <w:r>
                    <w:rPr>
                      <w:rFonts w:hint="eastAsia" w:ascii="Times New Roman" w:hAnsi="Times New Roman" w:eastAsia="宋体" w:cs="Times New Roman"/>
                      <w:snapToGrid/>
                      <w:color w:val="auto"/>
                      <w:kern w:val="2"/>
                      <w:sz w:val="21"/>
                      <w:szCs w:val="21"/>
                      <w:highlight w:val="none"/>
                      <w:lang w:val="en-US" w:eastAsia="zh-CN" w:bidi="ar-SA"/>
                    </w:rPr>
                    <w:t>4</w:t>
                  </w:r>
                </w:p>
              </w:tc>
            </w:tr>
            <w:tr w14:paraId="429B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98" w:type="pct"/>
                  <w:noWrap w:val="0"/>
                  <w:vAlign w:val="center"/>
                </w:tcPr>
                <w:p w14:paraId="674DB05C">
                  <w:pPr>
                    <w:pStyle w:val="4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环境监测、监理、管理</w:t>
                  </w:r>
                </w:p>
              </w:tc>
              <w:tc>
                <w:tcPr>
                  <w:tcW w:w="3275" w:type="pct"/>
                  <w:noWrap w:val="0"/>
                  <w:vAlign w:val="center"/>
                </w:tcPr>
                <w:p w14:paraId="0AB34659">
                  <w:pPr>
                    <w:pStyle w:val="4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加强施工期运输道路车速、人员管理</w:t>
                  </w:r>
                </w:p>
              </w:tc>
              <w:tc>
                <w:tcPr>
                  <w:tcW w:w="826" w:type="pct"/>
                  <w:shd w:val="clear" w:color="auto" w:fill="auto"/>
                  <w:noWrap w:val="0"/>
                  <w:vAlign w:val="center"/>
                </w:tcPr>
                <w:p w14:paraId="77D569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snapToGrid/>
                      <w:color w:val="auto"/>
                      <w:kern w:val="2"/>
                      <w:sz w:val="21"/>
                      <w:szCs w:val="21"/>
                      <w:highlight w:val="none"/>
                      <w:lang w:val="en-US" w:eastAsia="zh-CN" w:bidi="ar-SA"/>
                    </w:rPr>
                  </w:pPr>
                  <w:r>
                    <w:rPr>
                      <w:rFonts w:hint="eastAsia" w:cs="Times New Roman"/>
                      <w:snapToGrid/>
                      <w:color w:val="auto"/>
                      <w:kern w:val="2"/>
                      <w:sz w:val="21"/>
                      <w:szCs w:val="21"/>
                      <w:highlight w:val="none"/>
                      <w:lang w:val="en-US" w:eastAsia="zh-CN" w:bidi="ar-SA"/>
                    </w:rPr>
                    <w:t>12</w:t>
                  </w:r>
                </w:p>
              </w:tc>
            </w:tr>
            <w:tr w14:paraId="6845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173" w:type="pct"/>
                  <w:gridSpan w:val="2"/>
                  <w:noWrap w:val="0"/>
                  <w:vAlign w:val="center"/>
                </w:tcPr>
                <w:p w14:paraId="06A9F1D4">
                  <w:pPr>
                    <w:pStyle w:val="46"/>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合计</w:t>
                  </w:r>
                </w:p>
              </w:tc>
              <w:tc>
                <w:tcPr>
                  <w:tcW w:w="826" w:type="pct"/>
                  <w:noWrap w:val="0"/>
                  <w:vAlign w:val="center"/>
                </w:tcPr>
                <w:p w14:paraId="6625A5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snapToGrid/>
                      <w:color w:val="auto"/>
                      <w:kern w:val="2"/>
                      <w:sz w:val="21"/>
                      <w:szCs w:val="21"/>
                      <w:highlight w:val="none"/>
                      <w:lang w:val="en-US" w:eastAsia="zh-CN" w:bidi="ar-SA"/>
                    </w:rPr>
                  </w:pPr>
                  <w:r>
                    <w:rPr>
                      <w:rFonts w:hint="eastAsia" w:ascii="Times New Roman" w:hAnsi="Times New Roman" w:eastAsia="宋体" w:cs="Times New Roman"/>
                      <w:snapToGrid/>
                      <w:color w:val="auto"/>
                      <w:kern w:val="2"/>
                      <w:sz w:val="21"/>
                      <w:szCs w:val="21"/>
                      <w:highlight w:val="none"/>
                      <w:lang w:val="en-US" w:eastAsia="zh-CN" w:bidi="ar-SA"/>
                    </w:rPr>
                    <w:t>167</w:t>
                  </w:r>
                </w:p>
              </w:tc>
            </w:tr>
          </w:tbl>
          <w:p w14:paraId="2FF4BE06">
            <w:pPr>
              <w:ind w:firstLine="0" w:firstLineChars="0"/>
              <w:rPr>
                <w:rFonts w:hint="default" w:ascii="Times New Roman" w:hAnsi="Times New Roman" w:cs="Times New Roman"/>
                <w:color w:val="auto"/>
                <w:highlight w:val="none"/>
              </w:rPr>
            </w:pPr>
          </w:p>
        </w:tc>
      </w:tr>
    </w:tbl>
    <w:p w14:paraId="61194269">
      <w:pPr>
        <w:ind w:firstLine="480"/>
        <w:rPr>
          <w:rFonts w:hint="default" w:ascii="Times New Roman" w:hAnsi="Times New Roman" w:cs="Times New Roman"/>
          <w:color w:val="auto"/>
          <w:highlight w:val="none"/>
        </w:rPr>
        <w:sectPr>
          <w:pgSz w:w="11906" w:h="16838"/>
          <w:pgMar w:top="1440" w:right="1083" w:bottom="1440" w:left="1083" w:header="851" w:footer="992" w:gutter="0"/>
          <w:pgBorders>
            <w:top w:val="none" w:sz="0" w:space="0"/>
            <w:left w:val="none" w:sz="0" w:space="0"/>
            <w:bottom w:val="none" w:sz="0" w:space="0"/>
            <w:right w:val="none" w:sz="0" w:space="0"/>
          </w:pgBorders>
          <w:pgNumType w:fmt="decimal"/>
          <w:cols w:space="720" w:num="1"/>
          <w:docGrid w:type="lines" w:linePitch="335" w:charSpace="0"/>
        </w:sectPr>
      </w:pPr>
    </w:p>
    <w:p w14:paraId="48EDBAC7">
      <w:pPr>
        <w:pStyle w:val="10"/>
        <w:spacing w:beforeAutospacing="0" w:afterAutospacing="0"/>
        <w:ind w:firstLine="0" w:firstLineChars="0"/>
        <w:jc w:val="center"/>
        <w:outlineLvl w:val="0"/>
        <w:rPr>
          <w:rFonts w:hint="default" w:ascii="Times New Roman" w:hAnsi="Times New Roman" w:eastAsia="黑体" w:cs="Times New Roman"/>
          <w:color w:val="auto"/>
          <w:sz w:val="30"/>
          <w:szCs w:val="30"/>
          <w:highlight w:val="none"/>
        </w:rPr>
      </w:pPr>
      <w:r>
        <w:rPr>
          <w:rFonts w:hint="default" w:ascii="Times New Roman" w:hAnsi="Times New Roman" w:eastAsia="黑体" w:cs="Times New Roman"/>
          <w:color w:val="auto"/>
          <w:sz w:val="30"/>
          <w:szCs w:val="30"/>
          <w:highlight w:val="none"/>
        </w:rPr>
        <w:t>六、环境保护措施监督检查清单</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3655"/>
        <w:gridCol w:w="2107"/>
        <w:gridCol w:w="1753"/>
        <w:gridCol w:w="1223"/>
      </w:tblGrid>
      <w:tr w14:paraId="15633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612" w:type="pct"/>
            <w:vMerge w:val="restart"/>
            <w:tcBorders>
              <w:top w:val="single" w:color="auto" w:sz="4" w:space="0"/>
              <w:tl2br w:val="single" w:color="auto" w:sz="4" w:space="0"/>
            </w:tcBorders>
            <w:noWrap w:val="0"/>
            <w:vAlign w:val="top"/>
          </w:tcPr>
          <w:p w14:paraId="50810D18">
            <w:pPr>
              <w:pStyle w:val="15"/>
              <w:spacing w:line="240" w:lineRule="auto"/>
              <w:jc w:val="righ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内容</w:t>
            </w:r>
          </w:p>
          <w:p w14:paraId="166531A0">
            <w:pPr>
              <w:pStyle w:val="15"/>
              <w:spacing w:line="240" w:lineRule="auto"/>
              <w:jc w:val="left"/>
              <w:rPr>
                <w:rFonts w:hint="default" w:ascii="Times New Roman" w:hAnsi="Times New Roman" w:cs="Times New Roman"/>
                <w:color w:val="auto"/>
                <w:sz w:val="21"/>
                <w:szCs w:val="21"/>
                <w:highlight w:val="none"/>
              </w:rPr>
            </w:pPr>
          </w:p>
          <w:p w14:paraId="360E00CA">
            <w:pPr>
              <w:pStyle w:val="15"/>
              <w:spacing w:line="240" w:lineRule="auto"/>
              <w:jc w:val="left"/>
              <w:rPr>
                <w:rFonts w:hint="default" w:ascii="Times New Roman" w:hAnsi="Times New Roman" w:cs="Times New Roman"/>
                <w:color w:val="auto"/>
                <w:sz w:val="21"/>
                <w:szCs w:val="21"/>
                <w:highlight w:val="none"/>
              </w:rPr>
            </w:pPr>
          </w:p>
          <w:p w14:paraId="4C8191F5">
            <w:pPr>
              <w:pStyle w:val="15"/>
              <w:spacing w:line="240" w:lineRule="auto"/>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要素</w:t>
            </w:r>
          </w:p>
        </w:tc>
        <w:tc>
          <w:tcPr>
            <w:tcW w:w="2893" w:type="pct"/>
            <w:gridSpan w:val="2"/>
            <w:tcBorders>
              <w:top w:val="single" w:color="auto" w:sz="4" w:space="0"/>
              <w:bottom w:val="single" w:color="auto" w:sz="4" w:space="0"/>
            </w:tcBorders>
            <w:noWrap w:val="0"/>
            <w:vAlign w:val="center"/>
          </w:tcPr>
          <w:p w14:paraId="7E6DEBB7">
            <w:pPr>
              <w:pStyle w:val="1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w:t>
            </w:r>
          </w:p>
        </w:tc>
        <w:tc>
          <w:tcPr>
            <w:tcW w:w="1493" w:type="pct"/>
            <w:gridSpan w:val="2"/>
            <w:tcBorders>
              <w:top w:val="single" w:color="auto" w:sz="4" w:space="0"/>
              <w:bottom w:val="single" w:color="auto" w:sz="4" w:space="0"/>
            </w:tcBorders>
            <w:noWrap w:val="0"/>
            <w:vAlign w:val="center"/>
          </w:tcPr>
          <w:p w14:paraId="16681D19">
            <w:pPr>
              <w:pStyle w:val="1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w:t>
            </w:r>
          </w:p>
        </w:tc>
      </w:tr>
      <w:tr w14:paraId="6D39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612" w:type="pct"/>
            <w:vMerge w:val="continue"/>
            <w:noWrap w:val="0"/>
            <w:vAlign w:val="top"/>
          </w:tcPr>
          <w:p w14:paraId="73FECFD1">
            <w:pPr>
              <w:pStyle w:val="15"/>
              <w:spacing w:line="240" w:lineRule="auto"/>
              <w:rPr>
                <w:rFonts w:hint="default" w:ascii="Times New Roman" w:hAnsi="Times New Roman" w:cs="Times New Roman"/>
                <w:color w:val="auto"/>
                <w:sz w:val="21"/>
                <w:szCs w:val="21"/>
                <w:highlight w:val="none"/>
              </w:rPr>
            </w:pPr>
          </w:p>
        </w:tc>
        <w:tc>
          <w:tcPr>
            <w:tcW w:w="1835" w:type="pct"/>
            <w:tcBorders>
              <w:top w:val="single" w:color="auto" w:sz="4" w:space="0"/>
              <w:bottom w:val="single" w:color="auto" w:sz="4" w:space="0"/>
            </w:tcBorders>
            <w:noWrap w:val="0"/>
            <w:vAlign w:val="center"/>
          </w:tcPr>
          <w:p w14:paraId="376E5A2C">
            <w:pPr>
              <w:pStyle w:val="1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环境保护措施</w:t>
            </w:r>
          </w:p>
        </w:tc>
        <w:tc>
          <w:tcPr>
            <w:tcW w:w="1058" w:type="pct"/>
            <w:tcBorders>
              <w:top w:val="single" w:color="auto" w:sz="4" w:space="0"/>
              <w:bottom w:val="single" w:color="auto" w:sz="4" w:space="0"/>
            </w:tcBorders>
            <w:noWrap w:val="0"/>
            <w:vAlign w:val="center"/>
          </w:tcPr>
          <w:p w14:paraId="7E7446E6">
            <w:pPr>
              <w:pStyle w:val="1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验收要求</w:t>
            </w:r>
          </w:p>
        </w:tc>
        <w:tc>
          <w:tcPr>
            <w:tcW w:w="880" w:type="pct"/>
            <w:tcBorders>
              <w:top w:val="single" w:color="auto" w:sz="4" w:space="0"/>
              <w:bottom w:val="single" w:color="auto" w:sz="4" w:space="0"/>
            </w:tcBorders>
            <w:noWrap w:val="0"/>
            <w:vAlign w:val="center"/>
          </w:tcPr>
          <w:p w14:paraId="12B31E41">
            <w:pPr>
              <w:pStyle w:val="1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环境保护措施</w:t>
            </w:r>
          </w:p>
        </w:tc>
        <w:tc>
          <w:tcPr>
            <w:tcW w:w="613" w:type="pct"/>
            <w:tcBorders>
              <w:top w:val="single" w:color="auto" w:sz="4" w:space="0"/>
              <w:bottom w:val="single" w:color="auto" w:sz="4" w:space="0"/>
            </w:tcBorders>
            <w:noWrap w:val="0"/>
            <w:vAlign w:val="center"/>
          </w:tcPr>
          <w:p w14:paraId="57DF3521">
            <w:pPr>
              <w:pStyle w:val="1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验收要求</w:t>
            </w:r>
          </w:p>
        </w:tc>
      </w:tr>
      <w:tr w14:paraId="44AB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12" w:type="pct"/>
            <w:noWrap w:val="0"/>
            <w:vAlign w:val="center"/>
          </w:tcPr>
          <w:p w14:paraId="0105C7A7">
            <w:pPr>
              <w:pStyle w:val="1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陆生生态</w:t>
            </w:r>
          </w:p>
        </w:tc>
        <w:tc>
          <w:tcPr>
            <w:tcW w:w="1835" w:type="pct"/>
            <w:tcBorders>
              <w:top w:val="single" w:color="auto" w:sz="4" w:space="0"/>
              <w:bottom w:val="single" w:color="auto" w:sz="4" w:space="0"/>
            </w:tcBorders>
            <w:shd w:val="clear" w:color="auto" w:fill="auto"/>
            <w:noWrap w:val="0"/>
            <w:vAlign w:val="center"/>
          </w:tcPr>
          <w:p w14:paraId="613F8857">
            <w:pPr>
              <w:pStyle w:val="22"/>
              <w:spacing w:line="240" w:lineRule="auto"/>
              <w:ind w:firstLine="0" w:firstLineChars="0"/>
              <w:jc w:val="both"/>
              <w:rPr>
                <w:rFonts w:hint="default" w:ascii="Times New Roman" w:hAnsi="Times New Roman" w:cs="Times New Roman"/>
                <w:color w:val="auto"/>
                <w:sz w:val="21"/>
                <w:szCs w:val="21"/>
                <w:highlight w:val="none"/>
              </w:rPr>
            </w:pPr>
            <w:r>
              <w:rPr>
                <w:rFonts w:hint="eastAsia" w:cs="Times New Roman"/>
                <w:b w:val="0"/>
                <w:bCs/>
                <w:color w:val="auto"/>
                <w:highlight w:val="none"/>
                <w:lang w:val="en-US" w:eastAsia="zh-CN"/>
              </w:rPr>
              <w:t>石河镇二郎段、福兴段、石河镇段、双拱场段：</w:t>
            </w:r>
            <w:r>
              <w:rPr>
                <w:rFonts w:hint="default" w:ascii="Times New Roman" w:hAnsi="Times New Roman" w:cs="Times New Roman"/>
                <w:color w:val="auto"/>
                <w:sz w:val="21"/>
                <w:szCs w:val="21"/>
                <w:highlight w:val="none"/>
              </w:rPr>
              <w:t>严格划定施工范围施工，严禁越界施工，施工期间做好临时截排水、</w:t>
            </w:r>
            <w:r>
              <w:rPr>
                <w:rFonts w:hint="eastAsia" w:cs="Times New Roman"/>
                <w:color w:val="auto"/>
                <w:sz w:val="21"/>
                <w:szCs w:val="21"/>
                <w:highlight w:val="none"/>
                <w:lang w:eastAsia="zh-CN"/>
              </w:rPr>
              <w:t>临时沉砂</w:t>
            </w:r>
            <w:r>
              <w:rPr>
                <w:rFonts w:hint="default" w:ascii="Times New Roman" w:hAnsi="Times New Roman" w:cs="Times New Roman"/>
                <w:color w:val="auto"/>
                <w:sz w:val="21"/>
                <w:szCs w:val="21"/>
                <w:highlight w:val="none"/>
              </w:rPr>
              <w:t>、裸露开挖地表及临时堆料的临时遮盖等水土保持措施；施工完后拆除陆域内临时设施，并对临时占地范围内进行复耕复绿。</w:t>
            </w:r>
          </w:p>
          <w:p w14:paraId="0D0C5C82">
            <w:pPr>
              <w:pStyle w:val="22"/>
              <w:spacing w:line="240" w:lineRule="auto"/>
              <w:ind w:firstLine="0" w:firstLineChars="0"/>
              <w:jc w:val="both"/>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清河镇段及杨家镇段：</w:t>
            </w:r>
            <w:r>
              <w:rPr>
                <w:rFonts w:hint="eastAsia" w:cs="Times New Roman"/>
                <w:color w:val="auto"/>
                <w:highlight w:val="none"/>
                <w:lang w:val="en-US" w:eastAsia="zh-CN"/>
              </w:rPr>
              <w:t>对已完工护坡进行巡视，对裸露部分进行生态恢复。生态恢复须采用当地植被，严禁引入外来植被。</w:t>
            </w:r>
          </w:p>
        </w:tc>
        <w:tc>
          <w:tcPr>
            <w:tcW w:w="1058" w:type="pct"/>
            <w:tcBorders>
              <w:top w:val="single" w:color="auto" w:sz="4" w:space="0"/>
            </w:tcBorders>
            <w:noWrap w:val="0"/>
            <w:vAlign w:val="center"/>
          </w:tcPr>
          <w:p w14:paraId="6E23E090">
            <w:pPr>
              <w:pStyle w:val="47"/>
              <w:keepNext w:val="0"/>
              <w:keepLines w:val="0"/>
              <w:pageBreakBefore w:val="0"/>
              <w:widowControl w:val="0"/>
              <w:numPr>
                <w:ilvl w:val="0"/>
                <w:numId w:val="12"/>
              </w:numPr>
              <w:kinsoku/>
              <w:wordWrap/>
              <w:overflowPunct/>
              <w:topLinePunct w:val="0"/>
              <w:autoSpaceDE/>
              <w:autoSpaceDN/>
              <w:bidi w:val="0"/>
              <w:adjustRightInd/>
              <w:spacing w:line="240" w:lineRule="auto"/>
              <w:ind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施工结束后拆除</w:t>
            </w:r>
            <w:r>
              <w:rPr>
                <w:rFonts w:hint="default" w:ascii="Times New Roman" w:hAnsi="Times New Roman" w:cs="Times New Roman"/>
                <w:color w:val="auto"/>
                <w:sz w:val="21"/>
                <w:highlight w:val="none"/>
                <w:lang w:val="en-US" w:eastAsia="zh-CN"/>
              </w:rPr>
              <w:t>施工场地的</w:t>
            </w:r>
            <w:r>
              <w:rPr>
                <w:rFonts w:hint="default" w:ascii="Times New Roman" w:hAnsi="Times New Roman" w:cs="Times New Roman"/>
                <w:color w:val="auto"/>
                <w:sz w:val="21"/>
                <w:highlight w:val="none"/>
              </w:rPr>
              <w:t>围挡、沉淀池；</w:t>
            </w:r>
          </w:p>
          <w:p w14:paraId="6BE4DB51">
            <w:pPr>
              <w:pStyle w:val="47"/>
              <w:keepNext w:val="0"/>
              <w:keepLines w:val="0"/>
              <w:pageBreakBefore w:val="0"/>
              <w:widowControl w:val="0"/>
              <w:numPr>
                <w:ilvl w:val="0"/>
                <w:numId w:val="12"/>
              </w:numPr>
              <w:kinsoku/>
              <w:wordWrap/>
              <w:overflowPunct/>
              <w:topLinePunct w:val="0"/>
              <w:autoSpaceDE/>
              <w:autoSpaceDN/>
              <w:bidi w:val="0"/>
              <w:adjustRightInd/>
              <w:spacing w:line="240" w:lineRule="auto"/>
              <w:ind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施工结束后施工作业带、</w:t>
            </w:r>
            <w:r>
              <w:rPr>
                <w:rFonts w:hint="eastAsia" w:hAnsi="Times New Roman" w:cs="Times New Roman"/>
                <w:color w:val="auto"/>
                <w:sz w:val="21"/>
                <w:highlight w:val="none"/>
                <w:lang w:eastAsia="zh-CN"/>
              </w:rPr>
              <w:t>施工场地</w:t>
            </w:r>
            <w:r>
              <w:rPr>
                <w:rFonts w:hint="default" w:ascii="Times New Roman" w:hAnsi="Times New Roman" w:cs="Times New Roman"/>
                <w:color w:val="auto"/>
                <w:sz w:val="21"/>
                <w:highlight w:val="none"/>
              </w:rPr>
              <w:t>进行迹地恢复；</w:t>
            </w:r>
          </w:p>
          <w:p w14:paraId="0ABA1C3F">
            <w:pPr>
              <w:pStyle w:val="47"/>
              <w:keepNext w:val="0"/>
              <w:keepLines w:val="0"/>
              <w:pageBreakBefore w:val="0"/>
              <w:widowControl w:val="0"/>
              <w:numPr>
                <w:ilvl w:val="0"/>
                <w:numId w:val="12"/>
              </w:numPr>
              <w:kinsoku/>
              <w:wordWrap/>
              <w:overflowPunct/>
              <w:topLinePunct w:val="0"/>
              <w:autoSpaceDE/>
              <w:autoSpaceDN/>
              <w:bidi w:val="0"/>
              <w:adjustRightInd/>
              <w:spacing w:line="240" w:lineRule="auto"/>
              <w:ind w:left="0" w:leftChars="0"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施工区未发生明显水土流失现象。</w:t>
            </w:r>
          </w:p>
        </w:tc>
        <w:tc>
          <w:tcPr>
            <w:tcW w:w="880" w:type="pct"/>
            <w:tcBorders>
              <w:top w:val="single" w:color="auto" w:sz="4" w:space="0"/>
              <w:bottom w:val="single" w:color="auto" w:sz="4" w:space="0"/>
            </w:tcBorders>
            <w:noWrap w:val="0"/>
            <w:vAlign w:val="center"/>
          </w:tcPr>
          <w:p w14:paraId="3F7A2801">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对植草护坡、临时占地范围内种植的植被定期进行管护</w:t>
            </w:r>
          </w:p>
        </w:tc>
        <w:tc>
          <w:tcPr>
            <w:tcW w:w="613" w:type="pct"/>
            <w:tcBorders>
              <w:top w:val="single" w:color="auto" w:sz="4" w:space="0"/>
              <w:bottom w:val="single" w:color="auto" w:sz="4" w:space="0"/>
            </w:tcBorders>
            <w:noWrap w:val="0"/>
            <w:vAlign w:val="center"/>
          </w:tcPr>
          <w:p w14:paraId="422DB62D">
            <w:pPr>
              <w:pStyle w:val="45"/>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植被长势较好，满足生态景观要求</w:t>
            </w:r>
          </w:p>
        </w:tc>
      </w:tr>
      <w:tr w14:paraId="6D04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12" w:type="pct"/>
            <w:noWrap w:val="0"/>
            <w:vAlign w:val="center"/>
          </w:tcPr>
          <w:p w14:paraId="65FC632B">
            <w:pPr>
              <w:pStyle w:val="1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水生生态</w:t>
            </w:r>
          </w:p>
        </w:tc>
        <w:tc>
          <w:tcPr>
            <w:tcW w:w="1835" w:type="pct"/>
            <w:tcBorders>
              <w:top w:val="single" w:color="auto" w:sz="4" w:space="0"/>
              <w:bottom w:val="single" w:color="auto" w:sz="4" w:space="0"/>
            </w:tcBorders>
            <w:noWrap w:val="0"/>
            <w:vAlign w:val="center"/>
          </w:tcPr>
          <w:p w14:paraId="3390C9D4">
            <w:pPr>
              <w:pStyle w:val="45"/>
              <w:tabs>
                <w:tab w:val="left" w:pos="0"/>
              </w:tabs>
              <w:spacing w:line="240" w:lineRule="auto"/>
              <w:ind w:firstLine="0" w:firstLineChars="0"/>
              <w:jc w:val="both"/>
              <w:textAlignment w:val="baseline"/>
              <w:rPr>
                <w:rFonts w:hint="default" w:ascii="Times New Roman" w:hAnsi="Times New Roman" w:cs="Times New Roman"/>
                <w:color w:val="auto"/>
                <w:sz w:val="21"/>
                <w:szCs w:val="21"/>
                <w:highlight w:val="none"/>
              </w:rPr>
            </w:pPr>
            <w:r>
              <w:rPr>
                <w:rFonts w:hint="eastAsia" w:cs="Times New Roman"/>
                <w:b w:val="0"/>
                <w:bCs/>
                <w:color w:val="auto"/>
                <w:sz w:val="21"/>
                <w:highlight w:val="none"/>
                <w:lang w:val="en-US" w:eastAsia="zh-CN"/>
              </w:rPr>
              <w:t>石河镇二郎段、福兴段、石河镇段、双拱场段：</w:t>
            </w:r>
            <w:r>
              <w:rPr>
                <w:rFonts w:hint="default" w:ascii="Times New Roman" w:hAnsi="Times New Roman" w:cs="Times New Roman"/>
                <w:color w:val="auto"/>
                <w:sz w:val="21"/>
                <w:highlight w:val="none"/>
              </w:rPr>
              <w:t>枯水期施工，</w:t>
            </w:r>
            <w:r>
              <w:rPr>
                <w:rFonts w:hint="default" w:ascii="Times New Roman" w:hAnsi="Times New Roman" w:cs="Times New Roman"/>
                <w:color w:val="auto"/>
                <w:sz w:val="21"/>
                <w:szCs w:val="21"/>
                <w:highlight w:val="none"/>
              </w:rPr>
              <w:t>严格按照前期设计的施工导流方案做好围堰导流措施，</w:t>
            </w:r>
            <w:r>
              <w:rPr>
                <w:rFonts w:hint="eastAsia" w:ascii="Times New Roman" w:hAnsi="Times New Roman" w:cs="Times New Roman"/>
                <w:color w:val="auto"/>
                <w:sz w:val="21"/>
                <w:szCs w:val="21"/>
                <w:highlight w:val="none"/>
                <w:lang w:val="en-US" w:eastAsia="zh-CN"/>
              </w:rPr>
              <w:t>基坑渗水</w:t>
            </w:r>
            <w:r>
              <w:rPr>
                <w:rFonts w:hint="default" w:ascii="Times New Roman" w:hAnsi="Times New Roman" w:cs="Times New Roman"/>
                <w:color w:val="auto"/>
                <w:sz w:val="21"/>
                <w:szCs w:val="21"/>
                <w:highlight w:val="none"/>
              </w:rPr>
              <w:t>经</w:t>
            </w:r>
            <w:r>
              <w:rPr>
                <w:rFonts w:hint="default" w:ascii="Times New Roman" w:hAnsi="Times New Roman" w:cs="Times New Roman"/>
                <w:color w:val="auto"/>
                <w:sz w:val="21"/>
                <w:szCs w:val="21"/>
                <w:highlight w:val="none"/>
                <w:lang w:val="en-US" w:eastAsia="zh-CN"/>
              </w:rPr>
              <w:t>处理</w:t>
            </w:r>
            <w:r>
              <w:rPr>
                <w:rFonts w:hint="default" w:ascii="Times New Roman" w:hAnsi="Times New Roman" w:cs="Times New Roman"/>
                <w:color w:val="auto"/>
                <w:sz w:val="21"/>
                <w:szCs w:val="21"/>
                <w:highlight w:val="none"/>
                <w:lang w:val="fr-FR" w:eastAsia="zh-CN"/>
              </w:rPr>
              <w:t>后</w:t>
            </w:r>
            <w:r>
              <w:rPr>
                <w:rFonts w:hint="default" w:ascii="Times New Roman" w:hAnsi="Times New Roman" w:cs="Times New Roman"/>
                <w:color w:val="auto"/>
                <w:sz w:val="21"/>
                <w:szCs w:val="21"/>
                <w:highlight w:val="none"/>
                <w:lang w:val="en-US" w:eastAsia="zh-CN"/>
              </w:rPr>
              <w:t>由</w:t>
            </w:r>
            <w:r>
              <w:rPr>
                <w:rFonts w:hint="default" w:ascii="Times New Roman" w:hAnsi="Times New Roman" w:cs="Times New Roman"/>
                <w:color w:val="auto"/>
                <w:sz w:val="21"/>
                <w:szCs w:val="21"/>
                <w:highlight w:val="none"/>
                <w:lang w:val="fr-FR" w:eastAsia="zh-CN"/>
              </w:rPr>
              <w:t>清水泵排入河流</w:t>
            </w:r>
            <w:r>
              <w:rPr>
                <w:rFonts w:hint="eastAsia" w:ascii="Times New Roman" w:hAnsi="Times New Roman" w:cs="Times New Roman"/>
                <w:color w:val="auto"/>
                <w:sz w:val="21"/>
                <w:szCs w:val="21"/>
                <w:highlight w:val="none"/>
                <w:lang w:val="fr-FR" w:eastAsia="zh-CN"/>
              </w:rPr>
              <w:t>，</w:t>
            </w:r>
            <w:r>
              <w:rPr>
                <w:rFonts w:hint="default" w:ascii="Times New Roman" w:hAnsi="Times New Roman" w:cs="Times New Roman"/>
                <w:b w:val="0"/>
                <w:bCs w:val="0"/>
                <w:color w:val="auto"/>
                <w:sz w:val="21"/>
                <w:szCs w:val="21"/>
                <w:highlight w:val="none"/>
                <w:lang w:val="en-US" w:eastAsia="zh-CN"/>
              </w:rPr>
              <w:t>渗滤水经沉淀池处理后通过河道岸坡自流本河道</w:t>
            </w:r>
            <w:r>
              <w:rPr>
                <w:rFonts w:hint="default" w:ascii="Times New Roman" w:hAnsi="Times New Roman" w:cs="Times New Roman"/>
                <w:color w:val="auto"/>
                <w:sz w:val="21"/>
                <w:szCs w:val="21"/>
                <w:highlight w:val="none"/>
              </w:rPr>
              <w:t>内；严禁施工废渣废水倾倒入河；施工后对河道内围堰等进行拆除，并对河道内基坑、集水井填平，恢复河床。</w:t>
            </w:r>
          </w:p>
          <w:p w14:paraId="266D9A26">
            <w:pPr>
              <w:pStyle w:val="45"/>
              <w:tabs>
                <w:tab w:val="left" w:pos="0"/>
              </w:tabs>
              <w:spacing w:line="240" w:lineRule="auto"/>
              <w:ind w:firstLine="0" w:firstLineChars="0"/>
              <w:jc w:val="both"/>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清河镇段及杨家镇段：疏浚段人工投放砾石基质（粒径5~20cm）重建产卵场，移植沉水植物或投放水生植物种子，加速水生生态修复。适当投放当地常见鱼类。</w:t>
            </w:r>
          </w:p>
        </w:tc>
        <w:tc>
          <w:tcPr>
            <w:tcW w:w="1058" w:type="pct"/>
            <w:tcBorders>
              <w:bottom w:val="single" w:color="auto" w:sz="4" w:space="0"/>
            </w:tcBorders>
            <w:noWrap w:val="0"/>
            <w:vAlign w:val="center"/>
          </w:tcPr>
          <w:p w14:paraId="0040B8CF">
            <w:pPr>
              <w:pStyle w:val="47"/>
              <w:keepNext w:val="0"/>
              <w:keepLines w:val="0"/>
              <w:pageBreakBefore w:val="0"/>
              <w:widowControl w:val="0"/>
              <w:kinsoku/>
              <w:wordWrap/>
              <w:overflowPunct/>
              <w:topLinePunct w:val="0"/>
              <w:autoSpaceDE/>
              <w:autoSpaceDN/>
              <w:bidi w:val="0"/>
              <w:adjustRightInd/>
              <w:spacing w:line="240" w:lineRule="auto"/>
              <w:ind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施工结束水体扰动停止，水生生态得到恢复。</w:t>
            </w:r>
          </w:p>
        </w:tc>
        <w:tc>
          <w:tcPr>
            <w:tcW w:w="880" w:type="pct"/>
            <w:tcBorders>
              <w:top w:val="single" w:color="auto" w:sz="4" w:space="0"/>
              <w:bottom w:val="single" w:color="auto" w:sz="4" w:space="0"/>
            </w:tcBorders>
            <w:noWrap w:val="0"/>
            <w:vAlign w:val="center"/>
          </w:tcPr>
          <w:p w14:paraId="57183408">
            <w:pPr>
              <w:pStyle w:val="45"/>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c>
          <w:tcPr>
            <w:tcW w:w="613" w:type="pct"/>
            <w:tcBorders>
              <w:top w:val="single" w:color="auto" w:sz="4" w:space="0"/>
              <w:bottom w:val="single" w:color="auto" w:sz="4" w:space="0"/>
            </w:tcBorders>
            <w:noWrap w:val="0"/>
            <w:vAlign w:val="center"/>
          </w:tcPr>
          <w:p w14:paraId="1A22A120">
            <w:pPr>
              <w:pStyle w:val="45"/>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r w14:paraId="483A3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12" w:type="pct"/>
            <w:noWrap w:val="0"/>
            <w:vAlign w:val="center"/>
          </w:tcPr>
          <w:p w14:paraId="450B3986">
            <w:pPr>
              <w:pStyle w:val="1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c>
          <w:tcPr>
            <w:tcW w:w="1835" w:type="pct"/>
            <w:tcBorders>
              <w:top w:val="single" w:color="auto" w:sz="4" w:space="0"/>
            </w:tcBorders>
            <w:shd w:val="clear" w:color="auto" w:fill="auto"/>
            <w:noWrap w:val="0"/>
            <w:vAlign w:val="center"/>
          </w:tcPr>
          <w:p w14:paraId="53BE10CE">
            <w:pPr>
              <w:pStyle w:val="44"/>
              <w:ind w:firstLine="0" w:firstLineChars="0"/>
              <w:jc w:val="both"/>
              <w:rPr>
                <w:rFonts w:hint="default" w:ascii="Times New Roman" w:hAnsi="Times New Roman" w:eastAsia="宋体" w:cs="Times New Roman"/>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rPr>
              <w:t>施工废水沉淀处后</w:t>
            </w:r>
            <w:r>
              <w:rPr>
                <w:rFonts w:hint="eastAsia" w:ascii="Times New Roman" w:hAnsi="Times New Roman" w:cs="Times New Roman"/>
                <w:color w:val="auto"/>
                <w:sz w:val="21"/>
                <w:szCs w:val="21"/>
                <w:highlight w:val="none"/>
                <w:lang w:eastAsia="zh-CN"/>
              </w:rPr>
              <w:t>回用于</w:t>
            </w:r>
            <w:r>
              <w:rPr>
                <w:rFonts w:hint="default" w:ascii="Times New Roman" w:hAnsi="Times New Roman" w:cs="Times New Roman"/>
                <w:color w:val="auto"/>
                <w:sz w:val="21"/>
                <w:szCs w:val="21"/>
                <w:highlight w:val="none"/>
              </w:rPr>
              <w:t>洒水降尘；施工人员生活污水依托附近居民现有旱厕收集做农肥；基坑渗水经沉淀池</w:t>
            </w:r>
            <w:r>
              <w:rPr>
                <w:rFonts w:hint="default" w:ascii="Times New Roman" w:hAnsi="Times New Roman" w:cs="Times New Roman"/>
                <w:color w:val="auto"/>
                <w:sz w:val="21"/>
                <w:szCs w:val="21"/>
                <w:highlight w:val="none"/>
                <w:lang w:val="en-US" w:eastAsia="zh-CN"/>
              </w:rPr>
              <w:t>处理</w:t>
            </w:r>
            <w:r>
              <w:rPr>
                <w:rFonts w:hint="default" w:ascii="Times New Roman" w:hAnsi="Times New Roman" w:cs="Times New Roman"/>
                <w:color w:val="auto"/>
                <w:sz w:val="21"/>
                <w:szCs w:val="21"/>
                <w:highlight w:val="none"/>
                <w:lang w:val="fr-FR" w:eastAsia="zh-CN"/>
              </w:rPr>
              <w:t>后</w:t>
            </w:r>
            <w:r>
              <w:rPr>
                <w:rFonts w:hint="default" w:ascii="Times New Roman" w:hAnsi="Times New Roman" w:cs="Times New Roman"/>
                <w:color w:val="auto"/>
                <w:sz w:val="21"/>
                <w:szCs w:val="21"/>
                <w:highlight w:val="none"/>
                <w:lang w:val="en-US" w:eastAsia="zh-CN"/>
              </w:rPr>
              <w:t>再由</w:t>
            </w:r>
            <w:r>
              <w:rPr>
                <w:rFonts w:hint="default" w:ascii="Times New Roman" w:hAnsi="Times New Roman" w:cs="Times New Roman"/>
                <w:color w:val="auto"/>
                <w:sz w:val="21"/>
                <w:szCs w:val="21"/>
                <w:highlight w:val="none"/>
                <w:lang w:val="fr-FR" w:eastAsia="zh-CN"/>
              </w:rPr>
              <w:t>清水泵排入河流</w:t>
            </w: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sz w:val="21"/>
                <w:szCs w:val="21"/>
                <w:highlight w:val="none"/>
              </w:rPr>
              <w:t>河道</w:t>
            </w:r>
            <w:r>
              <w:rPr>
                <w:rFonts w:hint="default" w:ascii="Times New Roman" w:hAnsi="Times New Roman" w:eastAsia="宋体" w:cs="Times New Roman"/>
                <w:color w:val="auto"/>
                <w:sz w:val="21"/>
                <w:szCs w:val="21"/>
                <w:highlight w:val="none"/>
                <w:lang w:val="en-US" w:eastAsia="zh-CN"/>
              </w:rPr>
              <w:t>疏浚淤泥</w:t>
            </w:r>
            <w:r>
              <w:rPr>
                <w:rFonts w:hint="default" w:ascii="Times New Roman" w:hAnsi="Times New Roman" w:eastAsia="宋体" w:cs="Times New Roman"/>
                <w:color w:val="auto"/>
                <w:sz w:val="21"/>
                <w:szCs w:val="21"/>
                <w:highlight w:val="none"/>
              </w:rPr>
              <w:t>在干化场自然干化产生的渗滤水</w:t>
            </w:r>
            <w:r>
              <w:rPr>
                <w:rFonts w:hint="default" w:ascii="Times New Roman" w:hAnsi="Times New Roman" w:cs="Times New Roman"/>
                <w:color w:val="auto"/>
                <w:sz w:val="21"/>
                <w:szCs w:val="21"/>
                <w:highlight w:val="none"/>
                <w:lang w:val="en-US" w:eastAsia="zh-CN"/>
              </w:rPr>
              <w:t>经</w:t>
            </w:r>
            <w:r>
              <w:rPr>
                <w:rFonts w:hint="default" w:ascii="Times New Roman" w:hAnsi="Times New Roman" w:eastAsia="宋体" w:cs="Times New Roman"/>
                <w:color w:val="auto"/>
                <w:sz w:val="21"/>
                <w:szCs w:val="21"/>
                <w:highlight w:val="none"/>
              </w:rPr>
              <w:t>沉淀</w:t>
            </w:r>
            <w:r>
              <w:rPr>
                <w:rFonts w:hint="default" w:ascii="Times New Roman" w:hAnsi="Times New Roman" w:cs="Times New Roman"/>
                <w:color w:val="auto"/>
                <w:sz w:val="21"/>
                <w:szCs w:val="21"/>
                <w:highlight w:val="none"/>
                <w:lang w:val="en-US" w:eastAsia="zh-CN"/>
              </w:rPr>
              <w:t>处理</w:t>
            </w:r>
            <w:r>
              <w:rPr>
                <w:rFonts w:hint="default" w:ascii="Times New Roman" w:hAnsi="Times New Roman" w:eastAsia="宋体" w:cs="Times New Roman"/>
                <w:color w:val="auto"/>
                <w:sz w:val="21"/>
                <w:szCs w:val="21"/>
                <w:highlight w:val="none"/>
              </w:rPr>
              <w:t>后通过岸坡自流进本河道内；</w:t>
            </w:r>
            <w:r>
              <w:rPr>
                <w:rFonts w:hint="eastAsia" w:ascii="Times New Roman" w:hAnsi="Times New Roman" w:cs="Times New Roman"/>
                <w:color w:val="auto"/>
                <w:sz w:val="21"/>
                <w:szCs w:val="21"/>
                <w:highlight w:val="none"/>
                <w:lang w:eastAsia="zh-CN"/>
              </w:rPr>
              <w:t>拌和</w:t>
            </w:r>
            <w:r>
              <w:rPr>
                <w:rFonts w:hint="default" w:ascii="Times New Roman" w:hAnsi="Times New Roman" w:cs="Times New Roman"/>
                <w:color w:val="auto"/>
                <w:sz w:val="21"/>
                <w:szCs w:val="21"/>
                <w:highlight w:val="none"/>
              </w:rPr>
              <w:t>系统清洗废水沉淀后回用洒水降尘。加强施工机械设备维修保养，避免漏油现象发生。</w:t>
            </w:r>
          </w:p>
        </w:tc>
        <w:tc>
          <w:tcPr>
            <w:tcW w:w="1058" w:type="pct"/>
            <w:tcBorders>
              <w:top w:val="single" w:color="auto" w:sz="4" w:space="0"/>
            </w:tcBorders>
            <w:noWrap w:val="0"/>
            <w:vAlign w:val="center"/>
          </w:tcPr>
          <w:p w14:paraId="629E871C">
            <w:pPr>
              <w:pStyle w:val="45"/>
              <w:keepNext w:val="0"/>
              <w:keepLines w:val="0"/>
              <w:pageBreakBefore w:val="0"/>
              <w:widowControl w:val="0"/>
              <w:tabs>
                <w:tab w:val="left" w:pos="0"/>
              </w:tabs>
              <w:kinsoku/>
              <w:wordWrap/>
              <w:overflowPunct/>
              <w:topLinePunct w:val="0"/>
              <w:autoSpaceDE/>
              <w:autoSpaceDN/>
              <w:bidi w:val="0"/>
              <w:adjustRightInd/>
              <w:spacing w:line="240" w:lineRule="auto"/>
              <w:ind w:firstLine="0" w:firstLineChars="0"/>
              <w:jc w:val="both"/>
              <w:textAlignment w:val="baseline"/>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施工期污、废水按要求得到妥善处置，未发生地表水污染事故，未收到关于施工废水乱排的环保投诉；临时设施已拆除，并恢复用地原状。</w:t>
            </w:r>
          </w:p>
        </w:tc>
        <w:tc>
          <w:tcPr>
            <w:tcW w:w="880" w:type="pct"/>
            <w:tcBorders>
              <w:top w:val="single" w:color="auto" w:sz="4" w:space="0"/>
            </w:tcBorders>
            <w:noWrap w:val="0"/>
            <w:vAlign w:val="center"/>
          </w:tcPr>
          <w:p w14:paraId="621001CB">
            <w:pPr>
              <w:pStyle w:val="45"/>
              <w:tabs>
                <w:tab w:val="left" w:pos="0"/>
              </w:tabs>
              <w:spacing w:line="240" w:lineRule="auto"/>
              <w:ind w:firstLine="0" w:firstLineChars="0"/>
              <w:textAlignment w:val="baseline"/>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c>
          <w:tcPr>
            <w:tcW w:w="613" w:type="pct"/>
            <w:tcBorders>
              <w:top w:val="single" w:color="auto" w:sz="4" w:space="0"/>
              <w:bottom w:val="single" w:color="auto" w:sz="4" w:space="0"/>
            </w:tcBorders>
            <w:noWrap w:val="0"/>
            <w:vAlign w:val="center"/>
          </w:tcPr>
          <w:p w14:paraId="08592932">
            <w:pPr>
              <w:pStyle w:val="45"/>
              <w:tabs>
                <w:tab w:val="left" w:pos="0"/>
              </w:tabs>
              <w:spacing w:line="240" w:lineRule="auto"/>
              <w:ind w:firstLine="0" w:firstLineChars="0"/>
              <w:textAlignment w:val="baseline"/>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r w14:paraId="2E77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12" w:type="pct"/>
            <w:noWrap w:val="0"/>
            <w:vAlign w:val="center"/>
          </w:tcPr>
          <w:p w14:paraId="3336A156">
            <w:pPr>
              <w:pStyle w:val="1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1835" w:type="pct"/>
            <w:tcBorders>
              <w:top w:val="single" w:color="auto" w:sz="4" w:space="0"/>
              <w:bottom w:val="single" w:color="auto" w:sz="4" w:space="0"/>
            </w:tcBorders>
            <w:noWrap w:val="0"/>
            <w:vAlign w:val="center"/>
          </w:tcPr>
          <w:p w14:paraId="14A4EA98">
            <w:pPr>
              <w:pStyle w:val="45"/>
              <w:tabs>
                <w:tab w:val="left" w:pos="0"/>
              </w:tabs>
              <w:spacing w:line="240" w:lineRule="auto"/>
              <w:ind w:firstLine="0" w:firstLineChars="0"/>
              <w:jc w:val="both"/>
              <w:textAlignment w:val="baseline"/>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合理安排工期，设置围挡；加强施工管理，尽量选用低噪声设备；注重对施工器械的保养维护；合理布局高噪声施工设备；合理安排施工时间，严禁夜间施工；运输车辆限速、禁鸣。</w:t>
            </w:r>
          </w:p>
        </w:tc>
        <w:tc>
          <w:tcPr>
            <w:tcW w:w="1058" w:type="pct"/>
            <w:tcBorders>
              <w:top w:val="single" w:color="auto" w:sz="4" w:space="0"/>
              <w:bottom w:val="single" w:color="auto" w:sz="4" w:space="0"/>
            </w:tcBorders>
            <w:noWrap w:val="0"/>
            <w:vAlign w:val="center"/>
          </w:tcPr>
          <w:p w14:paraId="6E335D11">
            <w:pPr>
              <w:pStyle w:val="47"/>
              <w:keepNext w:val="0"/>
              <w:keepLines w:val="0"/>
              <w:pageBreakBefore w:val="0"/>
              <w:widowControl w:val="0"/>
              <w:kinsoku/>
              <w:wordWrap/>
              <w:overflowPunct/>
              <w:topLinePunct w:val="0"/>
              <w:autoSpaceDE/>
              <w:autoSpaceDN/>
              <w:bidi w:val="0"/>
              <w:adjustRightInd/>
              <w:spacing w:line="240" w:lineRule="auto"/>
              <w:ind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施工期声满足《建筑施工场界环境噪声排放标准》（GB12523-2011）中的相关限值，确保噪声不扰民。</w:t>
            </w:r>
          </w:p>
        </w:tc>
        <w:tc>
          <w:tcPr>
            <w:tcW w:w="880" w:type="pct"/>
            <w:tcBorders>
              <w:top w:val="single" w:color="auto" w:sz="4" w:space="0"/>
              <w:bottom w:val="single" w:color="auto" w:sz="4" w:space="0"/>
            </w:tcBorders>
            <w:noWrap w:val="0"/>
            <w:vAlign w:val="center"/>
          </w:tcPr>
          <w:p w14:paraId="2CD83B71">
            <w:pPr>
              <w:pStyle w:val="45"/>
              <w:tabs>
                <w:tab w:val="left" w:pos="0"/>
              </w:tabs>
              <w:spacing w:line="240" w:lineRule="auto"/>
              <w:ind w:firstLine="0" w:firstLineChars="0"/>
              <w:textAlignment w:val="baseline"/>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c>
          <w:tcPr>
            <w:tcW w:w="613" w:type="pct"/>
            <w:tcBorders>
              <w:top w:val="single" w:color="auto" w:sz="4" w:space="0"/>
              <w:bottom w:val="single" w:color="auto" w:sz="4" w:space="0"/>
            </w:tcBorders>
            <w:noWrap w:val="0"/>
            <w:vAlign w:val="center"/>
          </w:tcPr>
          <w:p w14:paraId="2257B911">
            <w:pPr>
              <w:pStyle w:val="45"/>
              <w:tabs>
                <w:tab w:val="left" w:pos="0"/>
              </w:tabs>
              <w:spacing w:line="240" w:lineRule="auto"/>
              <w:ind w:firstLine="0" w:firstLineChars="0"/>
              <w:textAlignment w:val="baseline"/>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r w14:paraId="54A2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12" w:type="pct"/>
            <w:noWrap w:val="0"/>
            <w:vAlign w:val="center"/>
          </w:tcPr>
          <w:p w14:paraId="783A62E3">
            <w:pPr>
              <w:pStyle w:val="1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c>
          <w:tcPr>
            <w:tcW w:w="1835" w:type="pct"/>
            <w:tcBorders>
              <w:top w:val="single" w:color="auto" w:sz="4" w:space="0"/>
              <w:bottom w:val="single" w:color="auto" w:sz="4" w:space="0"/>
            </w:tcBorders>
            <w:shd w:val="clear" w:color="auto" w:fill="auto"/>
            <w:noWrap w:val="0"/>
            <w:vAlign w:val="center"/>
          </w:tcPr>
          <w:p w14:paraId="17DA404F">
            <w:pPr>
              <w:pStyle w:val="44"/>
              <w:ind w:firstLine="0" w:firstLineChars="0"/>
              <w:jc w:val="both"/>
              <w:rPr>
                <w:rFonts w:hint="default" w:ascii="Times New Roman" w:hAnsi="Times New Roman" w:eastAsia="宋体" w:cs="Times New Roman"/>
                <w:snapToGrid w:val="0"/>
                <w:color w:val="auto"/>
                <w:sz w:val="21"/>
                <w:szCs w:val="21"/>
                <w:highlight w:val="none"/>
                <w:lang w:val="zh-CN" w:eastAsia="zh-CN" w:bidi="ar-SA"/>
              </w:rPr>
            </w:pPr>
            <w:r>
              <w:rPr>
                <w:rFonts w:hint="default" w:ascii="Times New Roman" w:hAnsi="Times New Roman" w:cs="Times New Roman"/>
                <w:color w:val="auto"/>
                <w:sz w:val="21"/>
                <w:szCs w:val="21"/>
                <w:highlight w:val="none"/>
              </w:rPr>
              <w:t>临时堆土进行遮盖，易撒露物质密闭运输；施工车辆上路前清理干净；施工场地配备洒水、喷淋等降尘措施；施工机械、运输车辆不得使用劣质燃料；</w:t>
            </w:r>
            <w:r>
              <w:rPr>
                <w:rFonts w:hint="eastAsia" w:ascii="Times New Roman" w:hAnsi="Times New Roman" w:cs="Times New Roman"/>
                <w:color w:val="auto"/>
                <w:sz w:val="21"/>
                <w:szCs w:val="21"/>
                <w:highlight w:val="none"/>
                <w:lang w:eastAsia="zh-CN"/>
              </w:rPr>
              <w:t>拌和站</w:t>
            </w:r>
            <w:r>
              <w:rPr>
                <w:rFonts w:hint="default" w:ascii="Times New Roman" w:hAnsi="Times New Roman" w:cs="Times New Roman"/>
                <w:color w:val="auto"/>
                <w:sz w:val="21"/>
                <w:szCs w:val="21"/>
                <w:highlight w:val="none"/>
              </w:rPr>
              <w:t>布置在单独设置的工棚内，投料口设置喷雾降尘装置，水泥石粉设置篷布遮盖；</w:t>
            </w:r>
            <w:r>
              <w:rPr>
                <w:rFonts w:hint="eastAsia" w:ascii="Times New Roman" w:hAnsi="Times New Roman" w:cs="Times New Roman"/>
                <w:color w:val="auto"/>
                <w:sz w:val="21"/>
                <w:szCs w:val="21"/>
                <w:highlight w:val="none"/>
                <w:lang w:val="en-US" w:eastAsia="zh-CN"/>
              </w:rPr>
              <w:t>焊接烟尘配备净化设备；</w:t>
            </w:r>
            <w:r>
              <w:rPr>
                <w:rFonts w:hint="default" w:ascii="Times New Roman" w:hAnsi="Times New Roman" w:eastAsia="宋体" w:cs="Times New Roman"/>
                <w:snapToGrid/>
                <w:color w:val="auto"/>
                <w:kern w:val="2"/>
                <w:sz w:val="21"/>
                <w:szCs w:val="21"/>
                <w:highlight w:val="none"/>
                <w:lang w:val="en-US" w:eastAsia="zh-CN" w:bidi="ar-SA"/>
              </w:rPr>
              <w:t>干化场产生的恶臭通过喷洒除臭剂、大气扩散后无组织排放。河道清淤疏浚避开高温、大风天气。</w:t>
            </w:r>
          </w:p>
        </w:tc>
        <w:tc>
          <w:tcPr>
            <w:tcW w:w="1058" w:type="pct"/>
            <w:tcBorders>
              <w:top w:val="single" w:color="auto" w:sz="4" w:space="0"/>
              <w:bottom w:val="single" w:color="auto" w:sz="4" w:space="0"/>
            </w:tcBorders>
            <w:noWrap w:val="0"/>
            <w:vAlign w:val="center"/>
          </w:tcPr>
          <w:p w14:paraId="0EEE7B1C">
            <w:pPr>
              <w:pStyle w:val="47"/>
              <w:keepNext w:val="0"/>
              <w:keepLines w:val="0"/>
              <w:pageBreakBefore w:val="0"/>
              <w:widowControl w:val="0"/>
              <w:kinsoku/>
              <w:wordWrap/>
              <w:overflowPunct/>
              <w:topLinePunct w:val="0"/>
              <w:autoSpaceDE/>
              <w:autoSpaceDN/>
              <w:bidi w:val="0"/>
              <w:adjustRightInd/>
              <w:spacing w:line="240" w:lineRule="auto"/>
              <w:ind w:firstLine="0" w:firstLineChars="0"/>
              <w:jc w:val="both"/>
              <w:rPr>
                <w:rFonts w:hint="eastAsia"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rPr>
              <w:t>施工场地扬尘执行《四川省施工场地扬尘排放标准》（DB51/2682-2020）表1规定的浓度限值</w:t>
            </w:r>
            <w:r>
              <w:rPr>
                <w:rFonts w:hint="eastAsia" w:hAnsi="Times New Roman" w:cs="Times New Roman"/>
                <w:color w:val="auto"/>
                <w:sz w:val="21"/>
                <w:highlight w:val="none"/>
                <w:lang w:eastAsia="zh-CN"/>
              </w:rPr>
              <w:t>、</w:t>
            </w:r>
            <w:r>
              <w:rPr>
                <w:rFonts w:hint="eastAsia" w:ascii="宋体" w:hAnsi="宋体" w:eastAsia="宋体" w:cs="宋体"/>
                <w:snapToGrid w:val="0"/>
                <w:color w:val="auto"/>
                <w:kern w:val="0"/>
                <w:sz w:val="21"/>
                <w:szCs w:val="21"/>
                <w:highlight w:val="none"/>
                <w:lang w:val="en-US" w:eastAsia="zh-CN" w:bidi="ar"/>
              </w:rPr>
              <w:t>《恶臭污染物排放标准》（</w:t>
            </w:r>
            <w:r>
              <w:rPr>
                <w:rFonts w:hint="default" w:ascii="Times New Roman" w:hAnsi="Times New Roman" w:eastAsia="宋体" w:cs="Times New Roman"/>
                <w:snapToGrid w:val="0"/>
                <w:color w:val="auto"/>
                <w:kern w:val="0"/>
                <w:sz w:val="21"/>
                <w:szCs w:val="21"/>
                <w:highlight w:val="none"/>
                <w:lang w:val="en-US" w:eastAsia="zh-CN" w:bidi="ar"/>
              </w:rPr>
              <w:t>GB14554-93</w:t>
            </w:r>
            <w:r>
              <w:rPr>
                <w:rFonts w:hint="eastAsia" w:ascii="宋体" w:hAnsi="宋体" w:eastAsia="宋体" w:cs="宋体"/>
                <w:snapToGrid w:val="0"/>
                <w:color w:val="auto"/>
                <w:kern w:val="0"/>
                <w:sz w:val="21"/>
                <w:szCs w:val="21"/>
                <w:highlight w:val="none"/>
                <w:lang w:val="en-US" w:eastAsia="zh-CN" w:bidi="ar"/>
              </w:rPr>
              <w:t xml:space="preserve">）中表 </w:t>
            </w:r>
            <w:r>
              <w:rPr>
                <w:rFonts w:hint="default" w:ascii="Times New Roman" w:hAnsi="Times New Roman" w:eastAsia="宋体" w:cs="Times New Roman"/>
                <w:snapToGrid w:val="0"/>
                <w:color w:val="auto"/>
                <w:kern w:val="0"/>
                <w:sz w:val="21"/>
                <w:szCs w:val="21"/>
                <w:highlight w:val="none"/>
                <w:lang w:val="en-US" w:eastAsia="zh-CN" w:bidi="ar"/>
              </w:rPr>
              <w:t xml:space="preserve">1 </w:t>
            </w:r>
            <w:r>
              <w:rPr>
                <w:rFonts w:hint="eastAsia" w:ascii="宋体" w:hAnsi="宋体" w:eastAsia="宋体" w:cs="宋体"/>
                <w:snapToGrid w:val="0"/>
                <w:color w:val="auto"/>
                <w:kern w:val="0"/>
                <w:sz w:val="21"/>
                <w:szCs w:val="21"/>
                <w:highlight w:val="none"/>
                <w:lang w:val="en-US" w:eastAsia="zh-CN" w:bidi="ar"/>
              </w:rPr>
              <w:t>的二级排放标准</w:t>
            </w:r>
          </w:p>
        </w:tc>
        <w:tc>
          <w:tcPr>
            <w:tcW w:w="880" w:type="pct"/>
            <w:tcBorders>
              <w:top w:val="single" w:color="auto" w:sz="4" w:space="0"/>
              <w:bottom w:val="single" w:color="auto" w:sz="4" w:space="0"/>
            </w:tcBorders>
            <w:noWrap w:val="0"/>
            <w:vAlign w:val="center"/>
          </w:tcPr>
          <w:p w14:paraId="6E6A3F1E">
            <w:pPr>
              <w:pStyle w:val="45"/>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c>
          <w:tcPr>
            <w:tcW w:w="613" w:type="pct"/>
            <w:tcBorders>
              <w:top w:val="single" w:color="auto" w:sz="4" w:space="0"/>
              <w:bottom w:val="single" w:color="auto" w:sz="4" w:space="0"/>
            </w:tcBorders>
            <w:noWrap w:val="0"/>
            <w:vAlign w:val="center"/>
          </w:tcPr>
          <w:p w14:paraId="737EAE72">
            <w:pPr>
              <w:pStyle w:val="45"/>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r w14:paraId="051C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12" w:type="pct"/>
            <w:noWrap w:val="0"/>
            <w:vAlign w:val="center"/>
          </w:tcPr>
          <w:p w14:paraId="421C9BDB">
            <w:pPr>
              <w:pStyle w:val="1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1835" w:type="pct"/>
            <w:tcBorders>
              <w:top w:val="single" w:color="auto" w:sz="4" w:space="0"/>
              <w:bottom w:val="single" w:color="auto" w:sz="4" w:space="0"/>
            </w:tcBorders>
            <w:shd w:val="clear" w:color="auto" w:fill="auto"/>
            <w:noWrap w:val="0"/>
            <w:vAlign w:val="center"/>
          </w:tcPr>
          <w:p w14:paraId="265680F4">
            <w:pPr>
              <w:spacing w:line="240" w:lineRule="auto"/>
              <w:ind w:firstLine="0" w:firstLineChars="0"/>
              <w:jc w:val="left"/>
              <w:rPr>
                <w:rFonts w:hint="default" w:ascii="Times New Roman" w:hAnsi="Times New Roman" w:eastAsia="宋体" w:cs="Times New Roman"/>
                <w:color w:val="auto"/>
                <w:sz w:val="21"/>
                <w:szCs w:val="21"/>
                <w:highlight w:val="none"/>
              </w:rPr>
            </w:pPr>
            <w:r>
              <w:rPr>
                <w:rFonts w:hint="eastAsia" w:eastAsia="宋体" w:cs="Times New Roman"/>
                <w:color w:val="auto"/>
                <w:sz w:val="21"/>
                <w:szCs w:val="21"/>
                <w:highlight w:val="none"/>
                <w:lang w:val="en-US" w:eastAsia="zh-CN"/>
              </w:rPr>
              <w:t>石河镇</w:t>
            </w:r>
            <w:r>
              <w:rPr>
                <w:rFonts w:hint="eastAsia" w:cs="Times New Roman"/>
                <w:color w:val="auto"/>
                <w:sz w:val="21"/>
                <w:szCs w:val="21"/>
                <w:highlight w:val="none"/>
                <w:lang w:val="en-US" w:eastAsia="zh-CN"/>
              </w:rPr>
              <w:t>二郎段及福兴段、石河镇段及双拱场段：</w:t>
            </w:r>
            <w:r>
              <w:rPr>
                <w:rFonts w:hint="default" w:ascii="Times New Roman" w:hAnsi="Times New Roman" w:cs="Times New Roman"/>
                <w:color w:val="auto"/>
                <w:sz w:val="21"/>
                <w:szCs w:val="21"/>
                <w:highlight w:val="none"/>
              </w:rPr>
              <w:t>开挖石方部分用于堤后回填，</w:t>
            </w:r>
            <w:r>
              <w:rPr>
                <w:rFonts w:hint="eastAsia" w:cs="Times New Roman"/>
                <w:color w:val="auto"/>
                <w:sz w:val="21"/>
                <w:szCs w:val="21"/>
                <w:highlight w:val="none"/>
                <w:lang w:eastAsia="zh-CN"/>
              </w:rPr>
              <w:t>经土石方平衡后产生的弃渣</w:t>
            </w:r>
            <w:r>
              <w:rPr>
                <w:rFonts w:hint="eastAsia" w:cs="Times New Roman"/>
                <w:color w:val="auto"/>
                <w:sz w:val="21"/>
                <w:szCs w:val="21"/>
                <w:highlight w:val="none"/>
                <w:lang w:val="en-US" w:eastAsia="zh-CN"/>
              </w:rPr>
              <w:t>可直接利用的部分由周边居民用于农田做肥料，沉淀泥渣和</w:t>
            </w:r>
            <w:r>
              <w:rPr>
                <w:rFonts w:hint="eastAsia"/>
                <w:color w:val="auto"/>
                <w:sz w:val="21"/>
                <w:szCs w:val="21"/>
                <w:highlight w:val="none"/>
                <w:lang w:val="en-US" w:eastAsia="zh-CN"/>
              </w:rPr>
              <w:t>含砂石量多的疏浚砂石用于沿线低洼地区回填</w:t>
            </w:r>
            <w:r>
              <w:rPr>
                <w:rFonts w:hint="eastAsia" w:cs="Times New Roman"/>
                <w:color w:val="auto"/>
                <w:sz w:val="21"/>
                <w:szCs w:val="21"/>
                <w:highlight w:val="none"/>
                <w:lang w:val="en-US" w:eastAsia="zh-CN"/>
              </w:rPr>
              <w:t>；经晾干后的不可直接利用清淤淤泥运往市政规划的弃渣场</w:t>
            </w:r>
            <w:r>
              <w:rPr>
                <w:rFonts w:hint="default" w:ascii="Times New Roman" w:hAnsi="Times New Roman" w:eastAsia="宋体" w:cs="Times New Roman"/>
                <w:color w:val="auto"/>
                <w:sz w:val="21"/>
                <w:szCs w:val="21"/>
                <w:highlight w:val="none"/>
              </w:rPr>
              <w:t>；</w:t>
            </w:r>
          </w:p>
          <w:p w14:paraId="2A99B3AC">
            <w:pPr>
              <w:spacing w:line="240" w:lineRule="auto"/>
              <w:ind w:firstLine="0" w:firstLineChars="0"/>
              <w:jc w:val="left"/>
              <w:rPr>
                <w:rFonts w:hint="default" w:ascii="Times New Roman" w:hAnsi="Times New Roman" w:eastAsia="宋体" w:cs="Times New Roman"/>
                <w:color w:val="auto"/>
                <w:sz w:val="21"/>
                <w:szCs w:val="21"/>
                <w:highlight w:val="none"/>
              </w:rPr>
            </w:pPr>
            <w:r>
              <w:rPr>
                <w:rFonts w:hint="eastAsia"/>
                <w:color w:val="auto"/>
                <w:sz w:val="21"/>
                <w:szCs w:val="21"/>
                <w:highlight w:val="none"/>
                <w:lang w:val="en-US" w:eastAsia="zh-CN"/>
              </w:rPr>
              <w:t>清河镇段、杨家镇段：</w:t>
            </w:r>
            <w:r>
              <w:rPr>
                <w:rFonts w:hint="default" w:ascii="Times New Roman" w:hAnsi="Times New Roman" w:cs="Times New Roman"/>
                <w:color w:val="auto"/>
                <w:sz w:val="21"/>
                <w:szCs w:val="21"/>
                <w:highlight w:val="none"/>
              </w:rPr>
              <w:t>开挖石方部分用于堤后回填</w:t>
            </w:r>
            <w:r>
              <w:rPr>
                <w:rFonts w:hint="eastAsia" w:ascii="Times New Roman" w:hAnsi="Times New Roman" w:cs="Times New Roman"/>
                <w:color w:val="auto"/>
                <w:sz w:val="21"/>
                <w:szCs w:val="21"/>
                <w:highlight w:val="none"/>
                <w:lang w:eastAsia="zh-CN"/>
              </w:rPr>
              <w:t>；</w:t>
            </w:r>
            <w:r>
              <w:rPr>
                <w:rFonts w:hint="eastAsia"/>
                <w:color w:val="auto"/>
                <w:sz w:val="21"/>
                <w:szCs w:val="21"/>
                <w:highlight w:val="none"/>
                <w:lang w:val="en-US" w:eastAsia="zh-CN"/>
              </w:rPr>
              <w:t>含砂石量多的疏浚砂石用于沿线低洼地区回填；含泥量高的淤泥，回用作护坡土回用。</w:t>
            </w:r>
          </w:p>
          <w:p w14:paraId="6261CC8D">
            <w:pPr>
              <w:spacing w:line="240" w:lineRule="auto"/>
              <w:ind w:firstLine="0" w:firstLineChars="0"/>
              <w:jc w:val="left"/>
              <w:rPr>
                <w:rFonts w:hint="default" w:ascii="Times New Roman" w:hAnsi="Times New Roman" w:eastAsia="宋体" w:cs="Times New Roman"/>
                <w:color w:val="auto"/>
                <w:sz w:val="21"/>
                <w:szCs w:val="21"/>
                <w:highlight w:val="none"/>
              </w:rPr>
            </w:pPr>
            <w:r>
              <w:rPr>
                <w:rFonts w:hint="eastAsia"/>
                <w:color w:val="auto"/>
                <w:sz w:val="21"/>
                <w:szCs w:val="21"/>
                <w:highlight w:val="none"/>
              </w:rPr>
              <w:t>白蚁防治废包装</w:t>
            </w:r>
            <w:r>
              <w:rPr>
                <w:rFonts w:hint="eastAsia"/>
                <w:b w:val="0"/>
                <w:bCs w:val="0"/>
                <w:color w:val="auto"/>
                <w:sz w:val="21"/>
                <w:szCs w:val="21"/>
                <w:highlight w:val="none"/>
                <w:lang w:val="en-US" w:eastAsia="zh-CN"/>
              </w:rPr>
              <w:t>收集后送至农药经营店，由农药经营店进行回收；</w:t>
            </w:r>
          </w:p>
          <w:p w14:paraId="75C1465E">
            <w:pPr>
              <w:spacing w:line="240" w:lineRule="auto"/>
              <w:ind w:firstLine="0" w:firstLineChars="0"/>
              <w:jc w:val="left"/>
              <w:rPr>
                <w:rFonts w:hint="eastAsia" w:eastAsia="宋体"/>
                <w:b w:val="0"/>
                <w:bCs w:val="0"/>
                <w:color w:val="auto"/>
                <w:sz w:val="21"/>
                <w:szCs w:val="21"/>
                <w:highlight w:val="none"/>
                <w:lang w:val="en-US" w:eastAsia="zh-CN"/>
              </w:rPr>
            </w:pPr>
            <w:r>
              <w:rPr>
                <w:rFonts w:hint="eastAsia" w:eastAsia="宋体"/>
                <w:b w:val="0"/>
                <w:bCs w:val="0"/>
                <w:color w:val="auto"/>
                <w:sz w:val="21"/>
                <w:szCs w:val="21"/>
                <w:highlight w:val="none"/>
                <w:lang w:val="en-US" w:eastAsia="zh-CN"/>
              </w:rPr>
              <w:t>岸坡清理废物中的生活垃圾交</w:t>
            </w:r>
            <w:r>
              <w:rPr>
                <w:rFonts w:hint="default" w:eastAsia="宋体"/>
                <w:b w:val="0"/>
                <w:bCs w:val="0"/>
                <w:color w:val="auto"/>
                <w:sz w:val="21"/>
                <w:szCs w:val="21"/>
                <w:highlight w:val="none"/>
                <w:lang w:val="en-US" w:eastAsia="zh-CN"/>
              </w:rPr>
              <w:t>由环卫部门清运</w:t>
            </w:r>
            <w:r>
              <w:rPr>
                <w:rFonts w:hint="eastAsia" w:eastAsia="宋体"/>
                <w:b w:val="0"/>
                <w:bCs w:val="0"/>
                <w:color w:val="auto"/>
                <w:sz w:val="21"/>
                <w:szCs w:val="21"/>
                <w:highlight w:val="none"/>
                <w:lang w:val="en-US" w:eastAsia="zh-CN"/>
              </w:rPr>
              <w:t>，建筑废渣</w:t>
            </w:r>
            <w:r>
              <w:rPr>
                <w:rFonts w:hint="default" w:eastAsia="宋体"/>
                <w:b w:val="0"/>
                <w:bCs w:val="0"/>
                <w:color w:val="auto"/>
                <w:sz w:val="21"/>
                <w:szCs w:val="21"/>
                <w:highlight w:val="none"/>
                <w:lang w:val="en-US" w:eastAsia="zh-CN"/>
              </w:rPr>
              <w:t>作为弃渣运往市政规划的弃渣场</w:t>
            </w:r>
            <w:r>
              <w:rPr>
                <w:rFonts w:hint="eastAsia" w:eastAsia="宋体"/>
                <w:b w:val="0"/>
                <w:bCs w:val="0"/>
                <w:color w:val="auto"/>
                <w:sz w:val="21"/>
                <w:szCs w:val="21"/>
                <w:highlight w:val="none"/>
                <w:lang w:val="en-US" w:eastAsia="zh-CN"/>
              </w:rPr>
              <w:t>；</w:t>
            </w:r>
          </w:p>
          <w:p w14:paraId="78104804">
            <w:pPr>
              <w:spacing w:line="240" w:lineRule="auto"/>
              <w:ind w:firstLine="0" w:firstLineChars="0"/>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可回收的建材废包装、建筑垃圾交废物回收站处理，不能回收的建筑垃圾定时清运到大竹县指定的建筑垃圾处置场</w:t>
            </w:r>
            <w:r>
              <w:rPr>
                <w:rFonts w:hint="default" w:ascii="Times New Roman" w:hAnsi="Times New Roman" w:eastAsia="宋体" w:cs="Times New Roman"/>
                <w:color w:val="auto"/>
                <w:sz w:val="21"/>
                <w:szCs w:val="21"/>
                <w:highlight w:val="none"/>
              </w:rPr>
              <w:t>；</w:t>
            </w:r>
          </w:p>
          <w:p w14:paraId="6E9B1803">
            <w:pPr>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生活垃圾由环卫部门清运。</w:t>
            </w:r>
          </w:p>
          <w:p w14:paraId="31485C64">
            <w:pPr>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清河镇段及杨家镇段：清除施工场地内遗留施工设备、砂石、施工材料等；清除施工河段沿线残留的生活垃圾及建筑垃圾。</w:t>
            </w:r>
          </w:p>
        </w:tc>
        <w:tc>
          <w:tcPr>
            <w:tcW w:w="1058" w:type="pct"/>
            <w:tcBorders>
              <w:top w:val="single" w:color="auto" w:sz="4" w:space="0"/>
              <w:bottom w:val="single" w:color="auto" w:sz="4" w:space="0"/>
            </w:tcBorders>
            <w:noWrap w:val="0"/>
            <w:vAlign w:val="center"/>
          </w:tcPr>
          <w:p w14:paraId="7E787FE2">
            <w:pPr>
              <w:pStyle w:val="45"/>
              <w:keepNext w:val="0"/>
              <w:keepLines w:val="0"/>
              <w:pageBreakBefore w:val="0"/>
              <w:widowControl w:val="0"/>
              <w:tabs>
                <w:tab w:val="left" w:pos="0"/>
              </w:tabs>
              <w:kinsoku/>
              <w:wordWrap/>
              <w:overflowPunct/>
              <w:topLinePunct w:val="0"/>
              <w:autoSpaceDE/>
              <w:autoSpaceDN/>
              <w:bidi w:val="0"/>
              <w:adjustRightInd/>
              <w:spacing w:line="240" w:lineRule="auto"/>
              <w:ind w:firstLine="0" w:firstLineChars="0"/>
              <w:jc w:val="both"/>
              <w:textAlignment w:val="baseline"/>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合理处置，不造成二次污染。</w:t>
            </w:r>
          </w:p>
          <w:p w14:paraId="71440C00">
            <w:pPr>
              <w:pStyle w:val="45"/>
              <w:keepNext w:val="0"/>
              <w:keepLines w:val="0"/>
              <w:pageBreakBefore w:val="0"/>
              <w:widowControl w:val="0"/>
              <w:tabs>
                <w:tab w:val="left" w:pos="0"/>
              </w:tabs>
              <w:kinsoku/>
              <w:wordWrap/>
              <w:overflowPunct/>
              <w:topLinePunct w:val="0"/>
              <w:autoSpaceDE/>
              <w:autoSpaceDN/>
              <w:bidi w:val="0"/>
              <w:adjustRightInd/>
              <w:spacing w:line="240" w:lineRule="auto"/>
              <w:ind w:firstLine="0" w:firstLineChars="0"/>
              <w:jc w:val="both"/>
              <w:textAlignment w:val="baseline"/>
              <w:rPr>
                <w:rFonts w:hint="default" w:ascii="Times New Roman" w:hAnsi="Times New Roman" w:cs="Times New Roman"/>
                <w:color w:val="auto"/>
                <w:sz w:val="21"/>
                <w:highlight w:val="none"/>
              </w:rPr>
            </w:pPr>
          </w:p>
        </w:tc>
        <w:tc>
          <w:tcPr>
            <w:tcW w:w="880" w:type="pct"/>
            <w:tcBorders>
              <w:top w:val="single" w:color="auto" w:sz="4" w:space="0"/>
              <w:bottom w:val="single" w:color="auto" w:sz="4" w:space="0"/>
            </w:tcBorders>
            <w:noWrap w:val="0"/>
            <w:vAlign w:val="center"/>
          </w:tcPr>
          <w:p w14:paraId="346727B7">
            <w:pPr>
              <w:pStyle w:val="45"/>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c>
          <w:tcPr>
            <w:tcW w:w="613" w:type="pct"/>
            <w:tcBorders>
              <w:top w:val="single" w:color="auto" w:sz="4" w:space="0"/>
              <w:bottom w:val="single" w:color="auto" w:sz="4" w:space="0"/>
            </w:tcBorders>
            <w:noWrap w:val="0"/>
            <w:vAlign w:val="center"/>
          </w:tcPr>
          <w:p w14:paraId="233AB6C1">
            <w:pPr>
              <w:pStyle w:val="45"/>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r w14:paraId="5934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12" w:type="pct"/>
            <w:noWrap w:val="0"/>
            <w:vAlign w:val="center"/>
          </w:tcPr>
          <w:p w14:paraId="1B850878">
            <w:pPr>
              <w:pStyle w:val="1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w:t>
            </w:r>
          </w:p>
        </w:tc>
        <w:tc>
          <w:tcPr>
            <w:tcW w:w="1835" w:type="pct"/>
            <w:tcBorders>
              <w:top w:val="single" w:color="auto" w:sz="4" w:space="0"/>
            </w:tcBorders>
            <w:noWrap w:val="0"/>
            <w:vAlign w:val="center"/>
          </w:tcPr>
          <w:p w14:paraId="628687B1">
            <w:pPr>
              <w:pStyle w:val="45"/>
              <w:tabs>
                <w:tab w:val="left" w:pos="0"/>
              </w:tabs>
              <w:spacing w:line="240" w:lineRule="auto"/>
              <w:ind w:firstLine="0" w:firstLineChars="0"/>
              <w:jc w:val="both"/>
              <w:textAlignment w:val="baseline"/>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施工现场严禁设置储油罐；加强对机械设备的维护和管理，防止发生漏油现象。</w:t>
            </w:r>
          </w:p>
        </w:tc>
        <w:tc>
          <w:tcPr>
            <w:tcW w:w="1058" w:type="pct"/>
            <w:tcBorders>
              <w:top w:val="single" w:color="auto" w:sz="4" w:space="0"/>
            </w:tcBorders>
            <w:noWrap w:val="0"/>
            <w:vAlign w:val="center"/>
          </w:tcPr>
          <w:p w14:paraId="47A16B42">
            <w:pPr>
              <w:pStyle w:val="47"/>
              <w:keepNext w:val="0"/>
              <w:keepLines w:val="0"/>
              <w:pageBreakBefore w:val="0"/>
              <w:widowControl w:val="0"/>
              <w:kinsoku/>
              <w:wordWrap/>
              <w:overflowPunct/>
              <w:topLinePunct w:val="0"/>
              <w:autoSpaceDE/>
              <w:autoSpaceDN/>
              <w:bidi w:val="0"/>
              <w:adjustRightInd/>
              <w:spacing w:line="240" w:lineRule="auto"/>
              <w:ind w:firstLine="0" w:firstLineChars="0"/>
              <w:jc w:val="both"/>
              <w:rPr>
                <w:rFonts w:hint="default" w:ascii="Times New Roman" w:hAnsi="Times New Roman" w:cs="Times New Roman"/>
                <w:color w:val="auto"/>
                <w:sz w:val="21"/>
                <w:highlight w:val="none"/>
                <w:lang w:val="zh-CN"/>
              </w:rPr>
            </w:pPr>
            <w:r>
              <w:rPr>
                <w:rFonts w:hint="default" w:ascii="Times New Roman" w:hAnsi="Times New Roman" w:cs="Times New Roman"/>
                <w:color w:val="auto"/>
                <w:sz w:val="21"/>
                <w:highlight w:val="none"/>
              </w:rPr>
              <w:t>未发生环境风险事故。</w:t>
            </w:r>
          </w:p>
        </w:tc>
        <w:tc>
          <w:tcPr>
            <w:tcW w:w="880" w:type="pct"/>
            <w:tcBorders>
              <w:top w:val="single" w:color="auto" w:sz="4" w:space="0"/>
            </w:tcBorders>
            <w:noWrap w:val="0"/>
            <w:vAlign w:val="center"/>
          </w:tcPr>
          <w:p w14:paraId="484F2B61">
            <w:pPr>
              <w:pStyle w:val="45"/>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c>
          <w:tcPr>
            <w:tcW w:w="613" w:type="pct"/>
            <w:tcBorders>
              <w:top w:val="single" w:color="auto" w:sz="4" w:space="0"/>
              <w:bottom w:val="single" w:color="auto" w:sz="4" w:space="0"/>
            </w:tcBorders>
            <w:noWrap w:val="0"/>
            <w:vAlign w:val="center"/>
          </w:tcPr>
          <w:p w14:paraId="13E9630E">
            <w:pPr>
              <w:pStyle w:val="45"/>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r w14:paraId="04D7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12" w:type="pct"/>
            <w:noWrap w:val="0"/>
            <w:vAlign w:val="center"/>
          </w:tcPr>
          <w:p w14:paraId="430986C9">
            <w:pPr>
              <w:pStyle w:val="1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环境监测</w:t>
            </w:r>
          </w:p>
        </w:tc>
        <w:tc>
          <w:tcPr>
            <w:tcW w:w="1835" w:type="pct"/>
            <w:tcBorders>
              <w:top w:val="single" w:color="auto" w:sz="4" w:space="0"/>
              <w:bottom w:val="single" w:color="auto" w:sz="4" w:space="0"/>
            </w:tcBorders>
            <w:noWrap w:val="0"/>
            <w:vAlign w:val="center"/>
          </w:tcPr>
          <w:p w14:paraId="231AC22B">
            <w:pPr>
              <w:pStyle w:val="47"/>
              <w:spacing w:line="240" w:lineRule="auto"/>
              <w:ind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制定施工区环境监测计划，定期委托有资质单位进行监测。</w:t>
            </w:r>
          </w:p>
        </w:tc>
        <w:tc>
          <w:tcPr>
            <w:tcW w:w="1058" w:type="pct"/>
            <w:tcBorders>
              <w:top w:val="single" w:color="auto" w:sz="4" w:space="0"/>
              <w:bottom w:val="single" w:color="auto" w:sz="4" w:space="0"/>
            </w:tcBorders>
            <w:noWrap w:val="0"/>
            <w:vAlign w:val="center"/>
          </w:tcPr>
          <w:p w14:paraId="04ECA43A">
            <w:pPr>
              <w:pStyle w:val="47"/>
              <w:keepNext w:val="0"/>
              <w:keepLines w:val="0"/>
              <w:pageBreakBefore w:val="0"/>
              <w:widowControl w:val="0"/>
              <w:kinsoku/>
              <w:wordWrap/>
              <w:overflowPunct/>
              <w:topLinePunct w:val="0"/>
              <w:autoSpaceDE/>
              <w:autoSpaceDN/>
              <w:bidi w:val="0"/>
              <w:adjustRightInd/>
              <w:spacing w:line="240" w:lineRule="auto"/>
              <w:ind w:firstLine="0" w:firstLineChars="0"/>
              <w:jc w:val="both"/>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施工期环境监测计划落实情况。</w:t>
            </w:r>
          </w:p>
        </w:tc>
        <w:tc>
          <w:tcPr>
            <w:tcW w:w="880" w:type="pct"/>
            <w:tcBorders>
              <w:top w:val="single" w:color="auto" w:sz="4" w:space="0"/>
              <w:bottom w:val="single" w:color="auto" w:sz="4" w:space="0"/>
            </w:tcBorders>
            <w:noWrap w:val="0"/>
            <w:vAlign w:val="center"/>
          </w:tcPr>
          <w:p w14:paraId="309F106A">
            <w:pPr>
              <w:pStyle w:val="45"/>
              <w:tabs>
                <w:tab w:val="left" w:pos="0"/>
              </w:tabs>
              <w:spacing w:line="240" w:lineRule="auto"/>
              <w:ind w:firstLine="0" w:firstLineChars="0"/>
              <w:textAlignment w:val="baseline"/>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c>
          <w:tcPr>
            <w:tcW w:w="613" w:type="pct"/>
            <w:tcBorders>
              <w:top w:val="single" w:color="auto" w:sz="4" w:space="0"/>
              <w:bottom w:val="single" w:color="auto" w:sz="4" w:space="0"/>
            </w:tcBorders>
            <w:noWrap w:val="0"/>
            <w:vAlign w:val="center"/>
          </w:tcPr>
          <w:p w14:paraId="36446B1E">
            <w:pPr>
              <w:pStyle w:val="45"/>
              <w:tabs>
                <w:tab w:val="left" w:pos="0"/>
              </w:tabs>
              <w:spacing w:line="240" w:lineRule="auto"/>
              <w:ind w:firstLine="0" w:firstLineChars="0"/>
              <w:textAlignment w:val="baseline"/>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w:t>
            </w:r>
          </w:p>
        </w:tc>
      </w:tr>
      <w:tr w14:paraId="6716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12" w:type="pct"/>
            <w:noWrap w:val="0"/>
            <w:vAlign w:val="center"/>
          </w:tcPr>
          <w:p w14:paraId="3A4A6CBA">
            <w:pPr>
              <w:pStyle w:val="15"/>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w:t>
            </w:r>
          </w:p>
        </w:tc>
        <w:tc>
          <w:tcPr>
            <w:tcW w:w="4387" w:type="pct"/>
            <w:gridSpan w:val="4"/>
            <w:tcBorders>
              <w:top w:val="single" w:color="auto" w:sz="4" w:space="0"/>
              <w:bottom w:val="single" w:color="auto" w:sz="4" w:space="0"/>
            </w:tcBorders>
            <w:noWrap w:val="0"/>
            <w:vAlign w:val="center"/>
          </w:tcPr>
          <w:p w14:paraId="61F6F160">
            <w:pPr>
              <w:pStyle w:val="45"/>
              <w:spacing w:line="240" w:lineRule="auto"/>
              <w:ind w:firstLine="0" w:firstLineChars="0"/>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建立并完善环境管理机构，明确职责，环保手续齐全</w:t>
            </w:r>
          </w:p>
        </w:tc>
      </w:tr>
    </w:tbl>
    <w:p w14:paraId="2D8E26C8">
      <w:pPr>
        <w:ind w:firstLine="480"/>
        <w:rPr>
          <w:rFonts w:hint="default" w:ascii="Times New Roman" w:hAnsi="Times New Roman" w:cs="Times New Roman"/>
          <w:color w:val="auto"/>
          <w:highlight w:val="none"/>
        </w:rPr>
        <w:sectPr>
          <w:pgSz w:w="11906" w:h="16838"/>
          <w:pgMar w:top="1440" w:right="1083" w:bottom="1440" w:left="1083" w:header="851" w:footer="992" w:gutter="0"/>
          <w:pgBorders>
            <w:top w:val="none" w:sz="0" w:space="0"/>
            <w:left w:val="none" w:sz="0" w:space="0"/>
            <w:bottom w:val="none" w:sz="0" w:space="0"/>
            <w:right w:val="none" w:sz="0" w:space="0"/>
          </w:pgBorders>
          <w:pgNumType w:fmt="decimal"/>
          <w:cols w:space="720" w:num="1"/>
          <w:docGrid w:type="lines" w:linePitch="335" w:charSpace="0"/>
        </w:sectPr>
      </w:pPr>
    </w:p>
    <w:p w14:paraId="6DB2ACB9">
      <w:pPr>
        <w:pStyle w:val="10"/>
        <w:spacing w:beforeAutospacing="0" w:afterAutospacing="0"/>
        <w:ind w:firstLine="0" w:firstLineChars="0"/>
        <w:jc w:val="center"/>
        <w:outlineLvl w:val="0"/>
        <w:rPr>
          <w:rFonts w:hint="default" w:ascii="Times New Roman" w:hAnsi="Times New Roman" w:eastAsia="黑体" w:cs="Times New Roman"/>
          <w:color w:val="auto"/>
          <w:sz w:val="30"/>
          <w:szCs w:val="30"/>
          <w:highlight w:val="none"/>
        </w:rPr>
      </w:pPr>
      <w:r>
        <w:rPr>
          <w:rFonts w:hint="default" w:ascii="Times New Roman" w:hAnsi="Times New Roman" w:eastAsia="黑体" w:cs="Times New Roman"/>
          <w:color w:val="auto"/>
          <w:sz w:val="30"/>
          <w:szCs w:val="30"/>
          <w:highlight w:val="none"/>
        </w:rPr>
        <w:t>七、结论</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1BE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7" w:hRule="atLeast"/>
        </w:trPr>
        <w:tc>
          <w:tcPr>
            <w:tcW w:w="9956" w:type="dxa"/>
            <w:noWrap w:val="0"/>
            <w:vAlign w:val="top"/>
          </w:tcPr>
          <w:p w14:paraId="7B9F34BE">
            <w:pPr>
              <w:tabs>
                <w:tab w:val="left" w:pos="1659"/>
              </w:tabs>
              <w:ind w:firstLine="480"/>
              <w:jc w:val="left"/>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本项目符合国家产业政策和相关规划，符合“三线一单”要求，选址选线合理，无明显制约因素。</w:t>
            </w:r>
            <w:r>
              <w:rPr>
                <w:rFonts w:hint="eastAsia" w:cs="Times New Roman"/>
                <w:color w:val="auto"/>
                <w:szCs w:val="24"/>
                <w:highlight w:val="none"/>
                <w:lang w:eastAsia="zh-CN"/>
              </w:rPr>
              <w:t>本项目</w:t>
            </w:r>
            <w:r>
              <w:rPr>
                <w:rFonts w:hint="default" w:ascii="Times New Roman" w:hAnsi="Times New Roman" w:cs="Times New Roman"/>
                <w:color w:val="auto"/>
                <w:szCs w:val="24"/>
                <w:highlight w:val="none"/>
              </w:rPr>
              <w:t>属于生态影响类建设项目，工程建设对环境的不利影响主要是施工期土地占用、动植物及其生境破坏、水土流失等生态环境影响，以及施工扬尘、施工噪声、施工废水、施工固废等污染影响。通过采取环评提出的各项保护措施和要求后，施工期的不利环境影响可以得到有效消除或减缓。从环境保护角度分析，</w:t>
            </w:r>
            <w:r>
              <w:rPr>
                <w:rFonts w:hint="eastAsia" w:cs="Times New Roman"/>
                <w:color w:val="auto"/>
                <w:szCs w:val="24"/>
                <w:highlight w:val="none"/>
                <w:lang w:eastAsia="zh-CN"/>
              </w:rPr>
              <w:t>本项目</w:t>
            </w:r>
            <w:r>
              <w:rPr>
                <w:rFonts w:hint="default" w:ascii="Times New Roman" w:hAnsi="Times New Roman" w:cs="Times New Roman"/>
                <w:color w:val="auto"/>
                <w:szCs w:val="24"/>
                <w:highlight w:val="none"/>
              </w:rPr>
              <w:t>的建设是可行的</w:t>
            </w:r>
            <w:r>
              <w:rPr>
                <w:rFonts w:hint="default" w:ascii="Times New Roman" w:hAnsi="Times New Roman" w:cs="Times New Roman"/>
                <w:color w:val="auto"/>
                <w:highlight w:val="none"/>
              </w:rPr>
              <w:t>。</w:t>
            </w:r>
          </w:p>
        </w:tc>
      </w:tr>
    </w:tbl>
    <w:p w14:paraId="55CEC5C0">
      <w:pPr>
        <w:ind w:left="0" w:leftChars="0" w:firstLine="0" w:firstLineChars="0"/>
        <w:rPr>
          <w:color w:val="auto"/>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MS Gothic"/>
    <w:panose1 w:val="00000000000000000000"/>
    <w:charset w:val="00"/>
    <w:family w:val="auto"/>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24B69">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7C58A">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92EFC">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CB60C">
    <w:pPr>
      <w:pStyle w:val="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AE34684">
                          <w:pPr>
                            <w:pStyle w:val="8"/>
                            <w:ind w:firstLine="360"/>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2AE34684">
                    <w:pPr>
                      <w:pStyle w:val="8"/>
                      <w:ind w:firstLine="360"/>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C2FE3">
    <w:pPr>
      <w:pStyle w:val="9"/>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93A21">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F8A05">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2187D5"/>
    <w:multiLevelType w:val="singleLevel"/>
    <w:tmpl w:val="912187D5"/>
    <w:lvl w:ilvl="0" w:tentative="0">
      <w:start w:val="1"/>
      <w:numFmt w:val="decimal"/>
      <w:suff w:val="nothing"/>
      <w:lvlText w:val="（%1）"/>
      <w:lvlJc w:val="left"/>
    </w:lvl>
  </w:abstractNum>
  <w:abstractNum w:abstractNumId="1">
    <w:nsid w:val="92153EA6"/>
    <w:multiLevelType w:val="singleLevel"/>
    <w:tmpl w:val="92153EA6"/>
    <w:lvl w:ilvl="0" w:tentative="0">
      <w:start w:val="12"/>
      <w:numFmt w:val="decimal"/>
      <w:suff w:val="nothing"/>
      <w:lvlText w:val="（%1）"/>
      <w:lvlJc w:val="left"/>
    </w:lvl>
  </w:abstractNum>
  <w:abstractNum w:abstractNumId="2">
    <w:nsid w:val="962DD81B"/>
    <w:multiLevelType w:val="singleLevel"/>
    <w:tmpl w:val="962DD81B"/>
    <w:lvl w:ilvl="0" w:tentative="0">
      <w:start w:val="5"/>
      <w:numFmt w:val="decimal"/>
      <w:suff w:val="nothing"/>
      <w:lvlText w:val="（%1）"/>
      <w:lvlJc w:val="left"/>
    </w:lvl>
  </w:abstractNum>
  <w:abstractNum w:abstractNumId="3">
    <w:nsid w:val="9E334F67"/>
    <w:multiLevelType w:val="singleLevel"/>
    <w:tmpl w:val="9E334F67"/>
    <w:lvl w:ilvl="0" w:tentative="0">
      <w:start w:val="1"/>
      <w:numFmt w:val="decimal"/>
      <w:suff w:val="nothing"/>
      <w:lvlText w:val="%1、"/>
      <w:lvlJc w:val="left"/>
    </w:lvl>
  </w:abstractNum>
  <w:abstractNum w:abstractNumId="4">
    <w:nsid w:val="A65E3D83"/>
    <w:multiLevelType w:val="singleLevel"/>
    <w:tmpl w:val="A65E3D83"/>
    <w:lvl w:ilvl="0" w:tentative="0">
      <w:start w:val="1"/>
      <w:numFmt w:val="decimal"/>
      <w:suff w:val="nothing"/>
      <w:lvlText w:val="%1、"/>
      <w:lvlJc w:val="left"/>
    </w:lvl>
  </w:abstractNum>
  <w:abstractNum w:abstractNumId="5">
    <w:nsid w:val="B600AB31"/>
    <w:multiLevelType w:val="singleLevel"/>
    <w:tmpl w:val="B600AB31"/>
    <w:lvl w:ilvl="0" w:tentative="0">
      <w:start w:val="1"/>
      <w:numFmt w:val="decimal"/>
      <w:suff w:val="nothing"/>
      <w:lvlText w:val="（%1）"/>
      <w:lvlJc w:val="left"/>
    </w:lvl>
  </w:abstractNum>
  <w:abstractNum w:abstractNumId="6">
    <w:nsid w:val="BB2ABC98"/>
    <w:multiLevelType w:val="singleLevel"/>
    <w:tmpl w:val="BB2ABC98"/>
    <w:lvl w:ilvl="0" w:tentative="0">
      <w:start w:val="2"/>
      <w:numFmt w:val="decimal"/>
      <w:suff w:val="nothing"/>
      <w:lvlText w:val="（%1）"/>
      <w:lvlJc w:val="left"/>
    </w:lvl>
  </w:abstractNum>
  <w:abstractNum w:abstractNumId="7">
    <w:nsid w:val="CDA34140"/>
    <w:multiLevelType w:val="singleLevel"/>
    <w:tmpl w:val="CDA34140"/>
    <w:lvl w:ilvl="0" w:tentative="0">
      <w:start w:val="1"/>
      <w:numFmt w:val="decimal"/>
      <w:suff w:val="nothing"/>
      <w:lvlText w:val="%1）"/>
      <w:lvlJc w:val="left"/>
    </w:lvl>
  </w:abstractNum>
  <w:abstractNum w:abstractNumId="8">
    <w:nsid w:val="DBA9CA72"/>
    <w:multiLevelType w:val="singleLevel"/>
    <w:tmpl w:val="DBA9CA72"/>
    <w:lvl w:ilvl="0" w:tentative="0">
      <w:start w:val="1"/>
      <w:numFmt w:val="decimal"/>
      <w:suff w:val="nothing"/>
      <w:lvlText w:val="（%1）"/>
      <w:lvlJc w:val="left"/>
    </w:lvl>
  </w:abstractNum>
  <w:abstractNum w:abstractNumId="9">
    <w:nsid w:val="E45D45A6"/>
    <w:multiLevelType w:val="singleLevel"/>
    <w:tmpl w:val="E45D45A6"/>
    <w:lvl w:ilvl="0" w:tentative="0">
      <w:start w:val="2"/>
      <w:numFmt w:val="decimal"/>
      <w:suff w:val="nothing"/>
      <w:lvlText w:val="（%1）"/>
      <w:lvlJc w:val="left"/>
    </w:lvl>
  </w:abstractNum>
  <w:abstractNum w:abstractNumId="10">
    <w:nsid w:val="2BE80312"/>
    <w:multiLevelType w:val="singleLevel"/>
    <w:tmpl w:val="2BE80312"/>
    <w:lvl w:ilvl="0" w:tentative="0">
      <w:start w:val="1"/>
      <w:numFmt w:val="decimal"/>
      <w:suff w:val="nothing"/>
      <w:lvlText w:val="%1、"/>
      <w:lvlJc w:val="left"/>
    </w:lvl>
  </w:abstractNum>
  <w:abstractNum w:abstractNumId="11">
    <w:nsid w:val="5DC1DA98"/>
    <w:multiLevelType w:val="singleLevel"/>
    <w:tmpl w:val="5DC1DA98"/>
    <w:lvl w:ilvl="0" w:tentative="0">
      <w:start w:val="1"/>
      <w:numFmt w:val="chineseCounting"/>
      <w:suff w:val="nothing"/>
      <w:lvlText w:val="%1、"/>
      <w:lvlJc w:val="left"/>
      <w:rPr>
        <w:rFonts w:hint="eastAsia"/>
      </w:rPr>
    </w:lvl>
  </w:abstractNum>
  <w:num w:numId="1">
    <w:abstractNumId w:val="11"/>
  </w:num>
  <w:num w:numId="2">
    <w:abstractNumId w:val="9"/>
  </w:num>
  <w:num w:numId="3">
    <w:abstractNumId w:val="2"/>
  </w:num>
  <w:num w:numId="4">
    <w:abstractNumId w:val="1"/>
  </w:num>
  <w:num w:numId="5">
    <w:abstractNumId w:val="6"/>
  </w:num>
  <w:num w:numId="6">
    <w:abstractNumId w:val="0"/>
  </w:num>
  <w:num w:numId="7">
    <w:abstractNumId w:val="5"/>
  </w:num>
  <w:num w:numId="8">
    <w:abstractNumId w:val="4"/>
  </w:num>
  <w:num w:numId="9">
    <w:abstractNumId w:val="10"/>
  </w:num>
  <w:num w:numId="10">
    <w:abstractNumId w:val="7"/>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574580"/>
    <w:rsid w:val="03407B60"/>
    <w:rsid w:val="04574580"/>
    <w:rsid w:val="05535E33"/>
    <w:rsid w:val="0AD761D7"/>
    <w:rsid w:val="0DE819AF"/>
    <w:rsid w:val="174326E2"/>
    <w:rsid w:val="180C57E0"/>
    <w:rsid w:val="186802BC"/>
    <w:rsid w:val="2AE71D15"/>
    <w:rsid w:val="3110569F"/>
    <w:rsid w:val="34A64D70"/>
    <w:rsid w:val="35585A5B"/>
    <w:rsid w:val="36BE6EA2"/>
    <w:rsid w:val="37E66A24"/>
    <w:rsid w:val="37EC3AB6"/>
    <w:rsid w:val="3C48097A"/>
    <w:rsid w:val="3D614573"/>
    <w:rsid w:val="3F7F33F9"/>
    <w:rsid w:val="43E9016D"/>
    <w:rsid w:val="44B3528B"/>
    <w:rsid w:val="453C2EA9"/>
    <w:rsid w:val="484B1FDB"/>
    <w:rsid w:val="4CA02851"/>
    <w:rsid w:val="4F1D4C56"/>
    <w:rsid w:val="50F10148"/>
    <w:rsid w:val="5290425D"/>
    <w:rsid w:val="54273E81"/>
    <w:rsid w:val="55B7421F"/>
    <w:rsid w:val="56000431"/>
    <w:rsid w:val="569D2311"/>
    <w:rsid w:val="589D0BB5"/>
    <w:rsid w:val="5FBF00A5"/>
    <w:rsid w:val="66FC4ACF"/>
    <w:rsid w:val="685A46C3"/>
    <w:rsid w:val="68D63538"/>
    <w:rsid w:val="69110F2F"/>
    <w:rsid w:val="6C582619"/>
    <w:rsid w:val="6C732BB3"/>
    <w:rsid w:val="6FFD3721"/>
    <w:rsid w:val="77420E4E"/>
    <w:rsid w:val="78047EB1"/>
    <w:rsid w:val="78D67AA0"/>
    <w:rsid w:val="7A8071AF"/>
    <w:rsid w:val="7D4D19BC"/>
    <w:rsid w:val="7FCE1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86" w:firstLineChars="200"/>
      <w:jc w:val="both"/>
    </w:pPr>
    <w:rPr>
      <w:rFonts w:ascii="Times New Roman" w:hAnsi="Times New Roman" w:eastAsia="宋体" w:cs="Times New Roman"/>
      <w:snapToGrid w:val="0"/>
      <w:sz w:val="24"/>
      <w:szCs w:val="22"/>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tabs>
        <w:tab w:val="left" w:pos="540"/>
        <w:tab w:val="left" w:pos="1080"/>
        <w:tab w:val="left" w:pos="1800"/>
      </w:tabs>
      <w:adjustRightInd w:val="0"/>
      <w:snapToGrid w:val="0"/>
      <w:spacing w:line="360" w:lineRule="auto"/>
      <w:ind w:firstLine="480"/>
    </w:pPr>
    <w:rPr>
      <w:rFonts w:ascii="仿宋_GB2312" w:hAnsi="宋体"/>
      <w:sz w:val="24"/>
      <w:szCs w:val="21"/>
    </w:rPr>
  </w:style>
  <w:style w:type="paragraph" w:styleId="3">
    <w:name w:val="annotation text"/>
    <w:basedOn w:val="1"/>
    <w:qFormat/>
    <w:uiPriority w:val="0"/>
    <w:pPr>
      <w:jc w:val="left"/>
    </w:pPr>
  </w:style>
  <w:style w:type="paragraph" w:styleId="4">
    <w:name w:val="Body Text"/>
    <w:basedOn w:val="1"/>
    <w:unhideWhenUsed/>
    <w:qFormat/>
    <w:uiPriority w:val="99"/>
    <w:pPr>
      <w:spacing w:after="120"/>
    </w:pPr>
  </w:style>
  <w:style w:type="paragraph" w:styleId="5">
    <w:name w:val="Body Text Indent"/>
    <w:basedOn w:val="1"/>
    <w:next w:val="4"/>
    <w:qFormat/>
    <w:uiPriority w:val="0"/>
    <w:pPr>
      <w:spacing w:line="400" w:lineRule="exact"/>
      <w:ind w:firstLine="520" w:firstLineChars="200"/>
    </w:pPr>
    <w:rPr>
      <w:rFonts w:ascii="宋体" w:hAnsi="宋体"/>
      <w:spacing w:val="10"/>
      <w:kern w:val="28"/>
      <w:sz w:val="24"/>
      <w:szCs w:val="24"/>
    </w:rPr>
  </w:style>
  <w:style w:type="paragraph" w:styleId="6">
    <w:name w:val="Body Text Indent 2"/>
    <w:basedOn w:val="1"/>
    <w:next w:val="7"/>
    <w:unhideWhenUsed/>
    <w:qFormat/>
    <w:uiPriority w:val="99"/>
    <w:pPr>
      <w:spacing w:line="360" w:lineRule="auto"/>
      <w:ind w:left="0" w:leftChars="0" w:firstLine="686" w:firstLineChars="200"/>
    </w:pPr>
    <w:rPr>
      <w:rFonts w:ascii="Times New Roman" w:hAnsi="Times New Roman" w:eastAsia="Times New Roman"/>
      <w:sz w:val="24"/>
    </w:rPr>
  </w:style>
  <w:style w:type="paragraph" w:styleId="7">
    <w:name w:val="Body Text First Indent 2"/>
    <w:basedOn w:val="5"/>
    <w:next w:val="1"/>
    <w:unhideWhenUsed/>
    <w:qFormat/>
    <w:uiPriority w:val="99"/>
    <w:pPr>
      <w:spacing w:after="120" w:line="240" w:lineRule="auto"/>
      <w:ind w:left="420" w:leftChars="200" w:firstLine="420"/>
    </w:pPr>
    <w:rPr>
      <w:rFonts w:ascii="Times New Roman" w:hAnsi="Times New Roman"/>
      <w:spacing w:val="0"/>
      <w:kern w:val="2"/>
      <w:sz w:val="21"/>
      <w:szCs w:val="22"/>
    </w:rPr>
  </w:style>
  <w:style w:type="paragraph" w:styleId="8">
    <w:name w:val="footer"/>
    <w:basedOn w:val="1"/>
    <w:unhideWhenUsed/>
    <w:qFormat/>
    <w:uiPriority w:val="99"/>
    <w:pPr>
      <w:tabs>
        <w:tab w:val="center" w:pos="4153"/>
        <w:tab w:val="right" w:pos="8306"/>
      </w:tabs>
      <w:snapToGrid w:val="0"/>
      <w:jc w:val="left"/>
    </w:pPr>
    <w:rPr>
      <w:kern w:val="0"/>
      <w:sz w:val="18"/>
      <w:szCs w:val="18"/>
    </w:rPr>
  </w:style>
  <w:style w:type="paragraph" w:styleId="9">
    <w:name w:val="header"/>
    <w:basedOn w:val="1"/>
    <w:next w:val="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0">
    <w:name w:val="Normal (Web)"/>
    <w:basedOn w:val="1"/>
    <w:qFormat/>
    <w:uiPriority w:val="0"/>
    <w:pPr>
      <w:pageBreakBefore/>
      <w:widowControl w:val="0"/>
      <w:spacing w:beforeAutospacing="1" w:afterAutospacing="1"/>
      <w:jc w:val="left"/>
    </w:pPr>
    <w:rPr>
      <w:rFonts w:ascii="宋体" w:hAnsi="宋体" w:eastAsia="宋体"/>
      <w:color w:val="000000"/>
      <w:szCs w:val="24"/>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qFormat/>
    <w:uiPriority w:val="99"/>
    <w:rPr>
      <w:rFonts w:ascii="仿宋_GB2312" w:hAnsi="Tahoma" w:eastAsia="仿宋_GB2312"/>
      <w:color w:val="0562B6"/>
      <w:szCs w:val="21"/>
      <w:u w:val="none"/>
    </w:rPr>
  </w:style>
  <w:style w:type="paragraph" w:customStyle="1" w:styleId="15">
    <w:name w:val="大表中文字"/>
    <w:basedOn w:val="1"/>
    <w:qFormat/>
    <w:uiPriority w:val="0"/>
    <w:pPr>
      <w:adjustRightInd w:val="0"/>
      <w:snapToGrid w:val="0"/>
      <w:spacing w:line="400" w:lineRule="exact"/>
      <w:ind w:firstLine="0" w:firstLineChars="0"/>
      <w:jc w:val="center"/>
    </w:pPr>
    <w:rPr>
      <w:rFonts w:ascii="Times New Roman" w:hAnsi="Times New Roman" w:eastAsia="宋体"/>
      <w:sz w:val="24"/>
      <w:szCs w:val="24"/>
    </w:rPr>
  </w:style>
  <w:style w:type="paragraph" w:customStyle="1" w:styleId="16">
    <w:name w:val="A表格"/>
    <w:basedOn w:val="1"/>
    <w:next w:val="1"/>
    <w:autoRedefine/>
    <w:qFormat/>
    <w:uiPriority w:val="0"/>
    <w:pPr>
      <w:jc w:val="center"/>
    </w:pPr>
    <w:rPr>
      <w:rFonts w:cs="宋体"/>
      <w:bCs/>
      <w:szCs w:val="20"/>
    </w:rPr>
  </w:style>
  <w:style w:type="paragraph" w:customStyle="1" w:styleId="17">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18">
    <w:name w:val="1正文加粗"/>
    <w:basedOn w:val="19"/>
    <w:qFormat/>
    <w:uiPriority w:val="0"/>
    <w:rPr>
      <w:b/>
    </w:rPr>
  </w:style>
  <w:style w:type="paragraph" w:customStyle="1" w:styleId="19">
    <w:name w:val="1正文文本"/>
    <w:basedOn w:val="1"/>
    <w:qFormat/>
    <w:uiPriority w:val="0"/>
    <w:pPr>
      <w:autoSpaceDE w:val="0"/>
      <w:autoSpaceDN w:val="0"/>
      <w:adjustRightInd w:val="0"/>
      <w:spacing w:line="480" w:lineRule="exact"/>
      <w:ind w:firstLine="200" w:firstLineChars="200"/>
    </w:pPr>
    <w:rPr>
      <w:rFonts w:hAnsi="宋体"/>
      <w:kern w:val="0"/>
      <w:sz w:val="24"/>
    </w:rPr>
  </w:style>
  <w:style w:type="paragraph" w:customStyle="1" w:styleId="20">
    <w:name w:val="1表头"/>
    <w:basedOn w:val="1"/>
    <w:qFormat/>
    <w:uiPriority w:val="0"/>
    <w:pPr>
      <w:adjustRightInd w:val="0"/>
      <w:snapToGrid w:val="0"/>
      <w:spacing w:before="50" w:beforeLines="50"/>
      <w:jc w:val="center"/>
    </w:pPr>
    <w:rPr>
      <w:b/>
      <w:bCs/>
      <w:szCs w:val="28"/>
    </w:rPr>
  </w:style>
  <w:style w:type="paragraph" w:customStyle="1" w:styleId="21">
    <w:name w:val="表头图头"/>
    <w:basedOn w:val="1"/>
    <w:qFormat/>
    <w:uiPriority w:val="0"/>
    <w:pPr>
      <w:jc w:val="center"/>
    </w:pPr>
    <w:rPr>
      <w:rFonts w:ascii="Times New Roman" w:hAnsi="Times New Roman" w:eastAsia="宋体"/>
      <w:color w:val="auto"/>
    </w:rPr>
  </w:style>
  <w:style w:type="paragraph" w:customStyle="1" w:styleId="22">
    <w:name w:val="表格（李勇）"/>
    <w:basedOn w:val="1"/>
    <w:qFormat/>
    <w:uiPriority w:val="0"/>
    <w:pPr>
      <w:widowControl/>
      <w:tabs>
        <w:tab w:val="left" w:pos="2646"/>
      </w:tabs>
      <w:jc w:val="center"/>
    </w:pPr>
    <w:rPr>
      <w:rFonts w:cs="宋体"/>
      <w:color w:val="000000"/>
      <w:sz w:val="20"/>
      <w:szCs w:val="20"/>
    </w:rPr>
  </w:style>
  <w:style w:type="paragraph" w:customStyle="1" w:styleId="23">
    <w:name w:val="小表中格式"/>
    <w:basedOn w:val="24"/>
    <w:qFormat/>
    <w:uiPriority w:val="0"/>
    <w:pPr>
      <w:spacing w:line="360" w:lineRule="exact"/>
      <w:ind w:left="0" w:leftChars="0" w:firstLine="0" w:firstLineChars="0"/>
      <w:jc w:val="center"/>
    </w:pPr>
    <w:rPr>
      <w:rFonts w:ascii="Times New Roman" w:hAnsi="Times New Roman" w:eastAsia="宋体"/>
      <w:w w:val="100"/>
      <w:sz w:val="21"/>
      <w:szCs w:val="20"/>
    </w:rPr>
  </w:style>
  <w:style w:type="paragraph" w:customStyle="1" w:styleId="24">
    <w:name w:val="样式 四号 左侧:  1.53 厘米"/>
    <w:basedOn w:val="1"/>
    <w:qFormat/>
    <w:uiPriority w:val="0"/>
    <w:pPr>
      <w:adjustRightInd w:val="0"/>
    </w:pPr>
    <w:rPr>
      <w:rFonts w:ascii="Times New Roman" w:hAnsi="Times New Roman" w:eastAsia="宋体" w:cs="Times New Roman"/>
      <w:w w:val="90"/>
      <w:sz w:val="28"/>
      <w:szCs w:val="28"/>
    </w:rPr>
  </w:style>
  <w:style w:type="paragraph" w:customStyle="1" w:styleId="25">
    <w:name w:val="A正文"/>
    <w:basedOn w:val="1"/>
    <w:qFormat/>
    <w:uiPriority w:val="0"/>
    <w:pPr>
      <w:autoSpaceDE w:val="0"/>
      <w:autoSpaceDN w:val="0"/>
      <w:adjustRightInd w:val="0"/>
      <w:spacing w:line="360" w:lineRule="auto"/>
      <w:ind w:firstLine="200" w:firstLineChars="200"/>
    </w:pPr>
    <w:rPr>
      <w:sz w:val="24"/>
    </w:rPr>
  </w:style>
  <w:style w:type="paragraph" w:customStyle="1" w:styleId="26">
    <w:name w:val="表"/>
    <w:basedOn w:val="4"/>
    <w:qFormat/>
    <w:uiPriority w:val="0"/>
    <w:pPr>
      <w:spacing w:before="120" w:line="240" w:lineRule="auto"/>
      <w:jc w:val="center"/>
    </w:pPr>
    <w:rPr>
      <w:rFonts w:ascii="Times New Roman" w:hAnsi="Times New Roman" w:eastAsia="宋体"/>
      <w:sz w:val="21"/>
    </w:rPr>
  </w:style>
  <w:style w:type="paragraph" w:customStyle="1" w:styleId="27">
    <w:name w:val="Table Paragraph"/>
    <w:basedOn w:val="1"/>
    <w:qFormat/>
    <w:uiPriority w:val="0"/>
    <w:pPr>
      <w:autoSpaceDE w:val="0"/>
      <w:autoSpaceDN w:val="0"/>
      <w:adjustRightInd w:val="0"/>
      <w:jc w:val="left"/>
    </w:pPr>
    <w:rPr>
      <w:rFonts w:ascii="Times New Roman" w:hAnsi="Times New Roman" w:eastAsia="宋体"/>
      <w:kern w:val="0"/>
      <w:sz w:val="24"/>
      <w:szCs w:val="24"/>
    </w:rPr>
  </w:style>
  <w:style w:type="paragraph" w:customStyle="1" w:styleId="28">
    <w:name w:val="表格文本"/>
    <w:basedOn w:val="1"/>
    <w:qFormat/>
    <w:uiPriority w:val="0"/>
    <w:pPr>
      <w:spacing w:line="240" w:lineRule="exact"/>
      <w:ind w:firstLine="0" w:firstLineChars="0"/>
      <w:jc w:val="center"/>
    </w:pPr>
    <w:rPr>
      <w:kern w:val="0"/>
      <w:sz w:val="21"/>
      <w:szCs w:val="21"/>
    </w:rPr>
  </w:style>
  <w:style w:type="paragraph" w:customStyle="1" w:styleId="29">
    <w:name w:val="表格"/>
    <w:basedOn w:val="1"/>
    <w:qFormat/>
    <w:uiPriority w:val="0"/>
    <w:pPr>
      <w:jc w:val="center"/>
    </w:pPr>
    <w:rPr>
      <w:rFonts w:ascii="仿宋_GB2312" w:hAnsi="Tahoma"/>
      <w:sz w:val="24"/>
      <w:szCs w:val="24"/>
    </w:rPr>
  </w:style>
  <w:style w:type="paragraph" w:customStyle="1" w:styleId="30">
    <w:name w:val="Default"/>
    <w:basedOn w:val="3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1">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2">
    <w:name w:val="图表名称"/>
    <w:basedOn w:val="1"/>
    <w:next w:val="1"/>
    <w:qFormat/>
    <w:uiPriority w:val="0"/>
    <w:pPr>
      <w:ind w:firstLine="0" w:firstLineChars="0"/>
      <w:jc w:val="left"/>
    </w:pPr>
    <w:rPr>
      <w:rFonts w:eastAsia="黑体"/>
      <w:szCs w:val="24"/>
    </w:rPr>
  </w:style>
  <w:style w:type="paragraph" w:customStyle="1" w:styleId="33">
    <w:name w:val="(000)宋小四"/>
    <w:basedOn w:val="1"/>
    <w:next w:val="1"/>
    <w:qFormat/>
    <w:uiPriority w:val="0"/>
    <w:pPr>
      <w:ind w:firstLine="198"/>
      <w:jc w:val="left"/>
    </w:pPr>
    <w:rPr>
      <w:color w:val="0070C0"/>
      <w:szCs w:val="24"/>
    </w:rPr>
  </w:style>
  <w:style w:type="paragraph" w:customStyle="1" w:styleId="34">
    <w:name w:val="表-正文-L"/>
    <w:basedOn w:val="1"/>
    <w:qFormat/>
    <w:uiPriority w:val="0"/>
    <w:pPr>
      <w:spacing w:line="440" w:lineRule="exact"/>
      <w:ind w:firstLine="480" w:firstLineChars="200"/>
    </w:pPr>
    <w:rPr>
      <w:bCs/>
      <w:sz w:val="24"/>
      <w:szCs w:val="20"/>
    </w:rPr>
  </w:style>
  <w:style w:type="paragraph" w:customStyle="1" w:styleId="35">
    <w:name w:val="表内字1"/>
    <w:basedOn w:val="1"/>
    <w:autoRedefine/>
    <w:qFormat/>
    <w:uiPriority w:val="0"/>
    <w:pPr>
      <w:adjustRightInd w:val="0"/>
      <w:snapToGrid w:val="0"/>
      <w:spacing w:line="300" w:lineRule="exact"/>
      <w:jc w:val="center"/>
    </w:pPr>
    <w:rPr>
      <w:color w:val="000000"/>
      <w:sz w:val="22"/>
      <w:szCs w:val="21"/>
    </w:rPr>
  </w:style>
  <w:style w:type="paragraph" w:customStyle="1" w:styleId="36">
    <w:name w:val="rpt_表项"/>
    <w:basedOn w:val="1"/>
    <w:qFormat/>
    <w:uiPriority w:val="0"/>
    <w:pPr>
      <w:spacing w:before="60" w:after="60"/>
      <w:jc w:val="center"/>
    </w:pPr>
    <w:rPr>
      <w:rFonts w:cs="宋体"/>
      <w:sz w:val="22"/>
      <w:szCs w:val="20"/>
    </w:rPr>
  </w:style>
  <w:style w:type="paragraph" w:customStyle="1" w:styleId="37">
    <w:name w:val="表格标题"/>
    <w:basedOn w:val="1"/>
    <w:qFormat/>
    <w:uiPriority w:val="0"/>
    <w:pPr>
      <w:tabs>
        <w:tab w:val="left" w:pos="2895"/>
      </w:tabs>
      <w:adjustRightInd w:val="0"/>
      <w:spacing w:line="240" w:lineRule="auto"/>
      <w:ind w:firstLine="0" w:firstLineChars="0"/>
      <w:jc w:val="center"/>
    </w:pPr>
    <w:rPr>
      <w:rFonts w:ascii="Times New Roman" w:hAnsi="Times New Roman" w:eastAsia="宋体"/>
      <w:sz w:val="21"/>
      <w:szCs w:val="24"/>
    </w:rPr>
  </w:style>
  <w:style w:type="paragraph" w:customStyle="1" w:styleId="38">
    <w:name w:val="0正文缩"/>
    <w:basedOn w:val="1"/>
    <w:qFormat/>
    <w:uiPriority w:val="0"/>
    <w:pPr>
      <w:ind w:firstLine="200" w:firstLineChars="200"/>
    </w:pPr>
  </w:style>
  <w:style w:type="paragraph" w:customStyle="1" w:styleId="39">
    <w:name w:val="正文111111111"/>
    <w:basedOn w:val="1"/>
    <w:qFormat/>
    <w:uiPriority w:val="0"/>
    <w:pPr>
      <w:spacing w:line="360" w:lineRule="auto"/>
      <w:ind w:firstLine="200" w:firstLineChars="200"/>
    </w:pPr>
    <w:rPr>
      <w:rFonts w:eastAsia="宋体" w:cs="Times New Roman"/>
      <w:sz w:val="24"/>
      <w:szCs w:val="22"/>
    </w:rPr>
  </w:style>
  <w:style w:type="paragraph" w:customStyle="1" w:styleId="40">
    <w:name w:val="表格文字内容"/>
    <w:basedOn w:val="1"/>
    <w:qFormat/>
    <w:uiPriority w:val="0"/>
    <w:pPr>
      <w:jc w:val="center"/>
    </w:pPr>
    <w:rPr>
      <w:szCs w:val="18"/>
    </w:rPr>
  </w:style>
  <w:style w:type="paragraph" w:styleId="41">
    <w:name w:val="List Paragraph"/>
    <w:basedOn w:val="1"/>
    <w:qFormat/>
    <w:uiPriority w:val="34"/>
    <w:pPr>
      <w:autoSpaceDE w:val="0"/>
      <w:autoSpaceDN w:val="0"/>
      <w:adjustRightInd w:val="0"/>
      <w:jc w:val="left"/>
    </w:pPr>
    <w:rPr>
      <w:rFonts w:ascii="Times New Roman" w:hAnsi="Times New Roman"/>
      <w:kern w:val="0"/>
      <w:sz w:val="24"/>
      <w:szCs w:val="24"/>
    </w:rPr>
  </w:style>
  <w:style w:type="paragraph" w:customStyle="1" w:styleId="42">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3">
    <w:name w:val="样式 正文缩进正文缩进2正文缩进 Char Char正文缩进 Char Char Char Char正文缩进 Char ..."/>
    <w:basedOn w:val="2"/>
    <w:qFormat/>
    <w:uiPriority w:val="0"/>
    <w:pPr>
      <w:tabs>
        <w:tab w:val="left" w:pos="105"/>
      </w:tabs>
      <w:ind w:firstLine="200"/>
    </w:pPr>
    <w:rPr>
      <w:rFonts w:hAnsi="仿宋_GB2312" w:cs="宋体"/>
      <w:lang w:val="en-US" w:eastAsia="zh-CN"/>
    </w:rPr>
  </w:style>
  <w:style w:type="paragraph" w:customStyle="1" w:styleId="44">
    <w:name w:val="表格文字格式"/>
    <w:basedOn w:val="29"/>
    <w:qFormat/>
    <w:uiPriority w:val="0"/>
    <w:pPr>
      <w:spacing w:beforeLines="0" w:afterLines="0" w:line="240" w:lineRule="auto"/>
    </w:pPr>
    <w:rPr>
      <w:rFonts w:ascii="Arial" w:hAnsi="Arial" w:cs="Arial"/>
      <w:snapToGrid w:val="0"/>
      <w:sz w:val="22"/>
      <w:szCs w:val="22"/>
    </w:rPr>
  </w:style>
  <w:style w:type="paragraph" w:customStyle="1" w:styleId="45">
    <w:name w:val="表内字"/>
    <w:basedOn w:val="29"/>
    <w:qFormat/>
    <w:uiPriority w:val="0"/>
    <w:rPr>
      <w:sz w:val="22"/>
      <w:szCs w:val="21"/>
    </w:rPr>
  </w:style>
  <w:style w:type="paragraph" w:customStyle="1" w:styleId="46">
    <w:name w:val="表格文字"/>
    <w:qFormat/>
    <w:uiPriority w:val="0"/>
    <w:pPr>
      <w:jc w:val="center"/>
    </w:pPr>
    <w:rPr>
      <w:rFonts w:ascii="Times New Roman" w:hAnsi="Times New Roman" w:eastAsia="宋体" w:cs="Times New Roman"/>
      <w:kern w:val="2"/>
      <w:sz w:val="21"/>
      <w:szCs w:val="24"/>
      <w:lang w:val="en-US" w:eastAsia="zh-CN" w:bidi="ar-SA"/>
    </w:rPr>
  </w:style>
  <w:style w:type="paragraph" w:customStyle="1" w:styleId="47">
    <w:name w:val="1表格中字"/>
    <w:basedOn w:val="1"/>
    <w:qFormat/>
    <w:uiPriority w:val="0"/>
    <w:pPr>
      <w:snapToGrid w:val="0"/>
      <w:jc w:val="center"/>
    </w:pPr>
    <w:rPr>
      <w:rFonts w:hAnsi="宋体"/>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3.wmf"/><Relationship Id="rId35" Type="http://schemas.openxmlformats.org/officeDocument/2006/relationships/oleObject" Target="embeddings/oleObject11.bin"/><Relationship Id="rId34" Type="http://schemas.openxmlformats.org/officeDocument/2006/relationships/image" Target="media/image12.png"/><Relationship Id="rId33" Type="http://schemas.openxmlformats.org/officeDocument/2006/relationships/image" Target="media/image11.wmf"/><Relationship Id="rId32" Type="http://schemas.openxmlformats.org/officeDocument/2006/relationships/oleObject" Target="embeddings/oleObject10.bin"/><Relationship Id="rId31" Type="http://schemas.openxmlformats.org/officeDocument/2006/relationships/image" Target="media/image10.wmf"/><Relationship Id="rId30" Type="http://schemas.openxmlformats.org/officeDocument/2006/relationships/oleObject" Target="embeddings/oleObject9.bin"/><Relationship Id="rId3" Type="http://schemas.openxmlformats.org/officeDocument/2006/relationships/footnotes" Target="footnotes.xml"/><Relationship Id="rId29" Type="http://schemas.openxmlformats.org/officeDocument/2006/relationships/image" Target="media/image9.wmf"/><Relationship Id="rId28" Type="http://schemas.openxmlformats.org/officeDocument/2006/relationships/oleObject" Target="embeddings/oleObject8.bin"/><Relationship Id="rId27" Type="http://schemas.openxmlformats.org/officeDocument/2006/relationships/image" Target="media/image8.wmf"/><Relationship Id="rId26" Type="http://schemas.openxmlformats.org/officeDocument/2006/relationships/oleObject" Target="embeddings/oleObject7.bin"/><Relationship Id="rId25" Type="http://schemas.openxmlformats.org/officeDocument/2006/relationships/image" Target="media/image7.emf"/><Relationship Id="rId24" Type="http://schemas.openxmlformats.org/officeDocument/2006/relationships/oleObject" Target="embeddings/oleObject6.bin"/><Relationship Id="rId23" Type="http://schemas.openxmlformats.org/officeDocument/2006/relationships/image" Target="media/image6.emf"/><Relationship Id="rId22" Type="http://schemas.openxmlformats.org/officeDocument/2006/relationships/oleObject" Target="embeddings/oleObject5.bin"/><Relationship Id="rId21" Type="http://schemas.openxmlformats.org/officeDocument/2006/relationships/image" Target="media/image5.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3.bin"/><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173</Pages>
  <Words>240</Words>
  <Characters>243</Characters>
  <Lines>0</Lines>
  <Paragraphs>0</Paragraphs>
  <TotalTime>1</TotalTime>
  <ScaleCrop>false</ScaleCrop>
  <LinksUpToDate>false</LinksUpToDate>
  <CharactersWithSpaces>337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2025-07-14T07:15:00Z</dcterms:created>
  <dc:creator>5 seconds of summer</dc:creator>
  <cp:lastModifiedBy>ice</cp:lastModifiedBy>
  <dcterms:modified xsi:type="dcterms:W3CDTF">2025-08-04T08:34:34Z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34842D089BD24E2AB50D2E5C108C2D6E_13</vt:lpwstr>
  </property>
  <property fmtid="{D5CDD505-2E9C-101B-9397-08002B2CF9AE}" pid="4" name="KSOTemplateDocerSaveRecord">
    <vt:lpwstr>eyJoZGlkIjoiZmJiNzAyZThjZTZlMWU0Zjk5MDFkMDBkZTRiMjdjZTAiLCJ1c2VySWQiOiIxNzE2OTM1NjE1In0=</vt:lpwstr>
  </property>
</Properties>
</file>